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1C25" w14:textId="77777777" w:rsidR="0077375F" w:rsidRDefault="009A1D42" w:rsidP="00E2047F">
      <w:pPr>
        <w:pStyle w:val="VEOHRCBodytext"/>
      </w:pPr>
      <w:r>
        <w:rPr>
          <w:noProof/>
          <w:lang w:val="en-US" w:eastAsia="en-US"/>
        </w:rPr>
        <mc:AlternateContent>
          <mc:Choice Requires="wps">
            <w:drawing>
              <wp:anchor distT="0" distB="0" distL="114300" distR="114300" simplePos="0" relativeHeight="251658240" behindDoc="0" locked="0" layoutInCell="1" allowOverlap="1" wp14:anchorId="0F7A685D" wp14:editId="660263C4">
                <wp:simplePos x="0" y="0"/>
                <wp:positionH relativeFrom="column">
                  <wp:posOffset>-668020</wp:posOffset>
                </wp:positionH>
                <wp:positionV relativeFrom="paragraph">
                  <wp:posOffset>-456565</wp:posOffset>
                </wp:positionV>
                <wp:extent cx="3360420" cy="99504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8D2F" w14:textId="77777777" w:rsidR="00632946" w:rsidRDefault="00632946" w:rsidP="000860D8">
                            <w:r>
                              <w:rPr>
                                <w:noProof/>
                                <w:lang w:val="en-US" w:eastAsia="en-US"/>
                              </w:rPr>
                              <w:drawing>
                                <wp:inline distT="0" distB="0" distL="0" distR="0" wp14:anchorId="4750E398" wp14:editId="05381C55">
                                  <wp:extent cx="3179445" cy="900430"/>
                                  <wp:effectExtent l="0" t="0" r="0" b="0"/>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900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2.55pt;margin-top:-35.9pt;width:264.6pt;height:7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" filled="f" stroked="f">
                <v:textbox style="mso-fit-shape-to-text:t">
                  <w:txbxContent>
                    <w:p w14:paraId="19898D2F" w14:textId="77777777" w:rsidR="00632946" w:rsidRDefault="00632946" w:rsidP="000860D8">
                      <w:r>
                        <w:rPr>
                          <w:noProof/>
                          <w:lang w:val="en-US" w:eastAsia="en-US"/>
                        </w:rPr>
                        <w:drawing>
                          <wp:inline distT="0" distB="0" distL="0" distR="0" wp14:anchorId="4750E398" wp14:editId="05381C55">
                            <wp:extent cx="3179445" cy="900430"/>
                            <wp:effectExtent l="0" t="0" r="0" b="0"/>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900430"/>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04BA47F3" wp14:editId="7966DE69">
                <wp:simplePos x="0" y="0"/>
                <wp:positionH relativeFrom="column">
                  <wp:posOffset>-570865</wp:posOffset>
                </wp:positionH>
                <wp:positionV relativeFrom="paragraph">
                  <wp:posOffset>1428750</wp:posOffset>
                </wp:positionV>
                <wp:extent cx="6972300" cy="1485900"/>
                <wp:effectExtent l="0" t="0" r="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F9A6" w14:textId="32954521" w:rsidR="00632946" w:rsidRPr="00E35A63" w:rsidRDefault="00632946" w:rsidP="000860D8">
                            <w:pPr>
                              <w:rPr>
                                <w:rFonts w:ascii="Arial" w:hAnsi="Arial" w:cs="Arial"/>
                                <w:color w:val="FFFFFF"/>
                                <w:sz w:val="80"/>
                                <w:szCs w:val="80"/>
                              </w:rPr>
                            </w:pPr>
                            <w:r>
                              <w:rPr>
                                <w:rFonts w:ascii="Arial" w:hAnsi="Arial" w:cs="Arial"/>
                                <w:color w:val="FFFFFF"/>
                                <w:sz w:val="80"/>
                                <w:szCs w:val="80"/>
                              </w:rPr>
                              <w:t>Annual Report 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4.9pt;margin-top:112.5pt;width:54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2AJbcCAADC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" filled="f" stroked="f">
                <v:textbox>
                  <w:txbxContent>
                    <w:p w14:paraId="3123F9A6" w14:textId="32954521" w:rsidR="00632946" w:rsidRPr="00E35A63" w:rsidRDefault="00632946" w:rsidP="000860D8">
                      <w:pPr>
                        <w:rPr>
                          <w:rFonts w:ascii="Arial" w:hAnsi="Arial" w:cs="Arial"/>
                          <w:color w:val="FFFFFF"/>
                          <w:sz w:val="80"/>
                          <w:szCs w:val="80"/>
                        </w:rPr>
                      </w:pPr>
                      <w:r>
                        <w:rPr>
                          <w:rFonts w:ascii="Arial" w:hAnsi="Arial" w:cs="Arial"/>
                          <w:color w:val="FFFFFF"/>
                          <w:sz w:val="80"/>
                          <w:szCs w:val="80"/>
                        </w:rPr>
                        <w:t>Annual Report 2015/16</w:t>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7A6F57A1" wp14:editId="1C81B480">
                <wp:simplePos x="0" y="0"/>
                <wp:positionH relativeFrom="column">
                  <wp:posOffset>-913765</wp:posOffset>
                </wp:positionH>
                <wp:positionV relativeFrom="paragraph">
                  <wp:posOffset>4206240</wp:posOffset>
                </wp:positionV>
                <wp:extent cx="7658100" cy="5166360"/>
                <wp:effectExtent l="0" t="0" r="38100" b="152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9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" fillcolor="#f3f4ea"/>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36F65377" wp14:editId="22ECC237">
                <wp:simplePos x="0" y="0"/>
                <wp:positionH relativeFrom="column">
                  <wp:posOffset>-913765</wp:posOffset>
                </wp:positionH>
                <wp:positionV relativeFrom="paragraph">
                  <wp:posOffset>-799465</wp:posOffset>
                </wp:positionV>
                <wp:extent cx="7658100" cy="5029200"/>
                <wp:effectExtent l="0" t="0" r="1270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1.9pt;margin-top:-62.9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" fillcolor="#00a5e6" stroked="f"/>
            </w:pict>
          </mc:Fallback>
        </mc:AlternateContent>
      </w:r>
    </w:p>
    <w:p w14:paraId="2C405A5D" w14:textId="76D051E3" w:rsidR="0077375F" w:rsidRDefault="0077375F" w:rsidP="00E2047F">
      <w:pPr>
        <w:pStyle w:val="VEOHRCsubhead"/>
      </w:pPr>
    </w:p>
    <w:p w14:paraId="4FAF5459" w14:textId="13C7ABC5" w:rsidR="0077375F" w:rsidRDefault="00670438" w:rsidP="00301490">
      <w:pPr>
        <w:pStyle w:val="VEOHRCBodytext"/>
      </w:pPr>
      <w:r>
        <w:rPr>
          <w:noProof/>
          <w:lang w:val="en-US" w:eastAsia="en-US"/>
        </w:rPr>
        <mc:AlternateContent>
          <mc:Choice Requires="wps">
            <w:drawing>
              <wp:anchor distT="0" distB="0" distL="114300" distR="114300" simplePos="0" relativeHeight="251660288" behindDoc="0" locked="0" layoutInCell="1" allowOverlap="1" wp14:anchorId="6FE3847B" wp14:editId="181E3933">
                <wp:simplePos x="0" y="0"/>
                <wp:positionH relativeFrom="column">
                  <wp:posOffset>-571500</wp:posOffset>
                </wp:positionH>
                <wp:positionV relativeFrom="paragraph">
                  <wp:posOffset>8910955</wp:posOffset>
                </wp:positionV>
                <wp:extent cx="74295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44D2" w14:textId="77777777" w:rsidR="00632946" w:rsidRPr="00670438" w:rsidRDefault="00632946" w:rsidP="000860D8">
                            <w:pPr>
                              <w:rPr>
                                <w:rFonts w:ascii="Arial" w:hAnsi="Arial" w:cs="Arial"/>
                                <w:color w:val="FFFFFF"/>
                                <w:sz w:val="28"/>
                                <w:szCs w:val="28"/>
                              </w:rPr>
                            </w:pPr>
                            <w:proofErr w:type="gramStart"/>
                            <w:r w:rsidRPr="00670438">
                              <w:rPr>
                                <w:rFonts w:ascii="Arial" w:hAnsi="Arial" w:cs="Arial"/>
                                <w:color w:val="FFFFFF"/>
                                <w:sz w:val="28"/>
                                <w:szCs w:val="28"/>
                              </w:rPr>
                              <w:t>humanrightscommission.vic.gov.au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4.95pt;margin-top:701.65pt;width: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" filled="f" stroked="f">
                <v:textbox>
                  <w:txbxContent>
                    <w:p w14:paraId="02C944D2" w14:textId="77777777" w:rsidR="00632946" w:rsidRPr="00670438" w:rsidRDefault="00632946" w:rsidP="000860D8">
                      <w:pPr>
                        <w:rPr>
                          <w:rFonts w:ascii="Arial" w:hAnsi="Arial" w:cs="Arial"/>
                          <w:color w:val="FFFFFF"/>
                          <w:sz w:val="28"/>
                          <w:szCs w:val="28"/>
                        </w:rPr>
                      </w:pPr>
                      <w:proofErr w:type="gramStart"/>
                      <w:r w:rsidRPr="00670438">
                        <w:rPr>
                          <w:rFonts w:ascii="Arial" w:hAnsi="Arial" w:cs="Arial"/>
                          <w:color w:val="FFFFFF"/>
                          <w:sz w:val="28"/>
                          <w:szCs w:val="28"/>
                        </w:rPr>
                        <w:t>humanrightscommission.vic.gov.au</w:t>
                      </w:r>
                      <w:proofErr w:type="gramEnd"/>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AE27437" wp14:editId="5BF3194B">
                <wp:simplePos x="0" y="0"/>
                <wp:positionH relativeFrom="column">
                  <wp:posOffset>-914400</wp:posOffset>
                </wp:positionH>
                <wp:positionV relativeFrom="paragraph">
                  <wp:posOffset>8789670</wp:posOffset>
                </wp:positionV>
                <wp:extent cx="7658100" cy="685800"/>
                <wp:effectExtent l="0" t="0" r="38100" b="254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95pt;margin-top:692.1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" fillcolor="#454545"/>
            </w:pict>
          </mc:Fallback>
        </mc:AlternateContent>
      </w:r>
      <w:r w:rsidR="00997BA1" w:rsidRPr="004D2862">
        <w:br w:type="page"/>
      </w:r>
      <w:r w:rsidR="009A1D42">
        <w:rPr>
          <w:noProof/>
          <w:lang w:val="en-US" w:eastAsia="en-US"/>
        </w:rPr>
        <w:lastRenderedPageBreak/>
        <w:drawing>
          <wp:inline distT="0" distB="0" distL="0" distR="0" wp14:anchorId="4034199D" wp14:editId="29C766D1">
            <wp:extent cx="2166620" cy="590550"/>
            <wp:effectExtent l="0" t="0" r="0" b="0"/>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90550"/>
                    </a:xfrm>
                    <a:prstGeom prst="rect">
                      <a:avLst/>
                    </a:prstGeom>
                    <a:noFill/>
                    <a:ln>
                      <a:noFill/>
                    </a:ln>
                  </pic:spPr>
                </pic:pic>
              </a:graphicData>
            </a:graphic>
          </wp:inline>
        </w:drawing>
      </w:r>
      <w:r w:rsidR="00A76969" w:rsidRPr="004D2862">
        <w:t xml:space="preserve"> </w:t>
      </w:r>
    </w:p>
    <w:p w14:paraId="759B826E" w14:textId="77777777" w:rsidR="00632946" w:rsidRDefault="00632946" w:rsidP="0077375F">
      <w:pPr>
        <w:pStyle w:val="VEOHRCBodytext"/>
        <w:rPr>
          <w:lang w:eastAsia="en-US"/>
        </w:rPr>
      </w:pPr>
    </w:p>
    <w:p w14:paraId="5AA527C0" w14:textId="52DE03EE" w:rsidR="0077375F" w:rsidRPr="0077375F" w:rsidRDefault="0077375F" w:rsidP="0077375F">
      <w:pPr>
        <w:pStyle w:val="VEOHRCBodytext"/>
        <w:rPr>
          <w:lang w:eastAsia="en-US"/>
        </w:rPr>
      </w:pPr>
      <w:r w:rsidRPr="0077375F">
        <w:rPr>
          <w:lang w:eastAsia="en-US"/>
        </w:rPr>
        <w:t>Published by the Victorian Equal Opportunity and Human Rights Commission,</w:t>
      </w:r>
      <w:r w:rsidR="001B0C5C">
        <w:rPr>
          <w:lang w:eastAsia="en-US"/>
        </w:rPr>
        <w:t xml:space="preserve"> </w:t>
      </w:r>
      <w:r w:rsidRPr="0077375F">
        <w:rPr>
          <w:lang w:eastAsia="en-US"/>
        </w:rPr>
        <w:t xml:space="preserve">Level 3, 204 </w:t>
      </w:r>
      <w:proofErr w:type="spellStart"/>
      <w:r w:rsidRPr="0077375F">
        <w:rPr>
          <w:lang w:eastAsia="en-US"/>
        </w:rPr>
        <w:t>Lygon</w:t>
      </w:r>
      <w:proofErr w:type="spellEnd"/>
      <w:r w:rsidRPr="0077375F">
        <w:rPr>
          <w:lang w:eastAsia="en-US"/>
        </w:rPr>
        <w:t xml:space="preserve"> Street, Carlton, Victoria 3053. October 2016.</w:t>
      </w:r>
    </w:p>
    <w:p w14:paraId="69E7BD81" w14:textId="77777777" w:rsidR="00632946" w:rsidRDefault="0077375F" w:rsidP="0077375F">
      <w:pPr>
        <w:widowControl w:val="0"/>
        <w:tabs>
          <w:tab w:val="left" w:pos="2640"/>
        </w:tabs>
        <w:suppressAutoHyphens/>
        <w:autoSpaceDE w:val="0"/>
        <w:autoSpaceDN w:val="0"/>
        <w:adjustRightInd w:val="0"/>
        <w:spacing w:after="113" w:line="250" w:lineRule="atLeast"/>
        <w:textAlignment w:val="center"/>
        <w:rPr>
          <w:rFonts w:ascii="ArialMT-Medium" w:hAnsi="ArialMT-Medium" w:cs="ArialMT-Medium"/>
          <w:color w:val="000000"/>
          <w:sz w:val="26"/>
          <w:szCs w:val="26"/>
          <w:lang w:val="en-GB" w:eastAsia="en-US"/>
        </w:rPr>
      </w:pPr>
      <w:r w:rsidRPr="0077375F">
        <w:rPr>
          <w:rFonts w:ascii="ArialMT-Medium" w:hAnsi="ArialMT-Medium" w:cs="ArialMT-Medium"/>
          <w:color w:val="000000"/>
          <w:sz w:val="26"/>
          <w:szCs w:val="26"/>
          <w:lang w:val="en-GB" w:eastAsia="en-US"/>
        </w:rPr>
        <w:t>Contact us</w:t>
      </w:r>
      <w:r w:rsidR="001B0C5C">
        <w:rPr>
          <w:rFonts w:ascii="ArialMT-Medium" w:hAnsi="ArialMT-Medium" w:cs="ArialMT-Medium"/>
          <w:color w:val="000000"/>
          <w:sz w:val="26"/>
          <w:szCs w:val="26"/>
          <w:lang w:val="en-GB" w:eastAsia="en-US"/>
        </w:rPr>
        <w:t xml:space="preserve"> </w:t>
      </w:r>
    </w:p>
    <w:p w14:paraId="0CF2E365" w14:textId="78D28625" w:rsidR="0077375F" w:rsidRPr="0077375F" w:rsidRDefault="0077375F" w:rsidP="0077375F">
      <w:pPr>
        <w:widowControl w:val="0"/>
        <w:tabs>
          <w:tab w:val="left" w:pos="2640"/>
        </w:tabs>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Enquiry Line </w:t>
      </w:r>
      <w:r w:rsidRPr="0077375F">
        <w:rPr>
          <w:rStyle w:val="VEOHRCBodytextChar"/>
          <w:lang w:eastAsia="en-US"/>
        </w:rPr>
        <w:tab/>
        <w:t>1300 292 153 or (03) 9032 3583</w:t>
      </w:r>
      <w:r w:rsidR="001B0C5C">
        <w:rPr>
          <w:rStyle w:val="VEOHRCBodytextChar"/>
          <w:lang w:eastAsia="en-US"/>
        </w:rPr>
        <w:t xml:space="preserve"> </w:t>
      </w:r>
      <w:r w:rsidR="00632946">
        <w:rPr>
          <w:rStyle w:val="VEOHRCBodytextChar"/>
          <w:lang w:eastAsia="en-US"/>
        </w:rPr>
        <w:br/>
      </w:r>
      <w:r w:rsidRPr="0077375F">
        <w:rPr>
          <w:rStyle w:val="VEOHRCBodytextChar"/>
          <w:lang w:eastAsia="en-US"/>
        </w:rPr>
        <w:t>Fax</w:t>
      </w:r>
      <w:r w:rsidRPr="0077375F">
        <w:rPr>
          <w:rStyle w:val="VEOHRCBodytextChar"/>
          <w:lang w:eastAsia="en-US"/>
        </w:rPr>
        <w:tab/>
        <w:t>1300 891 858</w:t>
      </w:r>
      <w:r w:rsidR="001B0C5C">
        <w:rPr>
          <w:rStyle w:val="VEOHRCBodytextChar"/>
          <w:lang w:eastAsia="en-US"/>
        </w:rPr>
        <w:t xml:space="preserve"> </w:t>
      </w:r>
      <w:r w:rsidRPr="0077375F">
        <w:rPr>
          <w:rStyle w:val="VEOHRCBodytextChar"/>
          <w:lang w:eastAsia="en-US"/>
        </w:rPr>
        <w:t>Hearing impaired (TTY)</w:t>
      </w:r>
      <w:r w:rsidRPr="0077375F">
        <w:rPr>
          <w:rStyle w:val="VEOHRCBodytextChar"/>
          <w:lang w:eastAsia="en-US"/>
        </w:rPr>
        <w:tab/>
        <w:t>1300 289 621</w:t>
      </w:r>
      <w:r w:rsidR="001B0C5C">
        <w:rPr>
          <w:rStyle w:val="VEOHRCBodytextChar"/>
          <w:lang w:eastAsia="en-US"/>
        </w:rPr>
        <w:t xml:space="preserve"> </w:t>
      </w:r>
      <w:r w:rsidR="00632946">
        <w:rPr>
          <w:rStyle w:val="VEOHRCBodytextChar"/>
          <w:lang w:eastAsia="en-US"/>
        </w:rPr>
        <w:br/>
      </w:r>
      <w:r w:rsidRPr="0077375F">
        <w:rPr>
          <w:rStyle w:val="VEOHRCBodytextChar"/>
          <w:lang w:eastAsia="en-US"/>
        </w:rPr>
        <w:t>Interpreters</w:t>
      </w:r>
      <w:r w:rsidRPr="0077375F">
        <w:rPr>
          <w:rStyle w:val="VEOHRCBodytextChar"/>
          <w:lang w:eastAsia="en-US"/>
        </w:rPr>
        <w:tab/>
        <w:t>1300 152 494</w:t>
      </w:r>
      <w:r w:rsidR="001B0C5C">
        <w:rPr>
          <w:rStyle w:val="VEOHRCBodytextChar"/>
          <w:lang w:eastAsia="en-US"/>
        </w:rPr>
        <w:t xml:space="preserve"> </w:t>
      </w:r>
      <w:r w:rsidRPr="0077375F">
        <w:rPr>
          <w:rStyle w:val="VEOHRCBodytextChar"/>
          <w:lang w:eastAsia="en-US"/>
        </w:rPr>
        <w:t>Email</w:t>
      </w:r>
      <w:r w:rsidRPr="0077375F">
        <w:rPr>
          <w:rStyle w:val="VEOHRCBodytextChar"/>
          <w:lang w:eastAsia="en-US"/>
        </w:rPr>
        <w:tab/>
      </w:r>
      <w:hyperlink r:id="rId10" w:history="1">
        <w:r w:rsidR="00632946" w:rsidRPr="003114D4">
          <w:rPr>
            <w:rStyle w:val="Hyperlink"/>
            <w:rFonts w:ascii="Arial" w:hAnsi="Arial" w:cs="ArialMT"/>
            <w:szCs w:val="19"/>
            <w:lang w:val="en-GB" w:eastAsia="en-US"/>
          </w:rPr>
          <w:t>information@veohrc.vic.gov.au</w:t>
        </w:r>
      </w:hyperlink>
      <w:r w:rsidR="00632946">
        <w:rPr>
          <w:rStyle w:val="VEOHRCURLChar"/>
          <w:lang w:val="en-GB" w:eastAsia="en-US"/>
        </w:rPr>
        <w:br/>
      </w:r>
      <w:r w:rsidRPr="0077375F">
        <w:rPr>
          <w:rStyle w:val="VEOHRCBodytextChar"/>
          <w:lang w:eastAsia="en-US"/>
        </w:rPr>
        <w:t>Website</w:t>
      </w:r>
      <w:r w:rsidRPr="0077375F">
        <w:rPr>
          <w:rStyle w:val="VEOHRCBodytextChar"/>
          <w:lang w:eastAsia="en-US"/>
        </w:rPr>
        <w:tab/>
      </w:r>
      <w:r w:rsidRPr="0077375F">
        <w:rPr>
          <w:rStyle w:val="VEOHRCURLChar"/>
          <w:lang w:val="en-GB" w:eastAsia="en-US"/>
        </w:rPr>
        <w:t>humanrightscommission.vic.gov.au</w:t>
      </w:r>
    </w:p>
    <w:p w14:paraId="5D0A49B8" w14:textId="1EEAE770" w:rsidR="0077375F" w:rsidRPr="00632946" w:rsidRDefault="0077375F" w:rsidP="00632946">
      <w:pPr>
        <w:pStyle w:val="VEOHRCBodytext"/>
        <w:rPr>
          <w:b/>
          <w:lang w:eastAsia="en-US"/>
        </w:rPr>
      </w:pPr>
      <w:r w:rsidRPr="00632946">
        <w:rPr>
          <w:b/>
          <w:lang w:eastAsia="en-US"/>
        </w:rPr>
        <w:t>Victorian Equal Opportunity and Human Rights Commission</w:t>
      </w:r>
      <w:r w:rsidR="001B0C5C" w:rsidRPr="00632946">
        <w:rPr>
          <w:b/>
          <w:lang w:eastAsia="en-US"/>
        </w:rPr>
        <w:t xml:space="preserve"> </w:t>
      </w:r>
      <w:r w:rsidRPr="00632946">
        <w:rPr>
          <w:b/>
          <w:lang w:eastAsia="en-US"/>
        </w:rPr>
        <w:t>Annual Report 2015/16</w:t>
      </w:r>
    </w:p>
    <w:p w14:paraId="6EBB023D" w14:textId="77777777" w:rsidR="0077375F" w:rsidRPr="0077375F" w:rsidRDefault="0077375F" w:rsidP="0077375F">
      <w:pPr>
        <w:pStyle w:val="VEOHRCBodytext"/>
        <w:rPr>
          <w:lang w:eastAsia="en-US"/>
        </w:rPr>
      </w:pPr>
      <w:r w:rsidRPr="0077375F">
        <w:rPr>
          <w:lang w:eastAsia="en-US"/>
        </w:rPr>
        <w:t>Copyright © State of Victoria 2016</w:t>
      </w:r>
    </w:p>
    <w:p w14:paraId="1751DBAB" w14:textId="77777777" w:rsidR="0077375F" w:rsidRPr="0077375F" w:rsidRDefault="0077375F" w:rsidP="0077375F">
      <w:pPr>
        <w:pStyle w:val="VEOHRCBodytext"/>
        <w:rPr>
          <w:lang w:eastAsia="en-US"/>
        </w:rPr>
      </w:pPr>
      <w:r w:rsidRPr="0077375F">
        <w:t xml:space="preserve">This publication is copyright. </w:t>
      </w:r>
      <w:proofErr w:type="gramStart"/>
      <w:r w:rsidRPr="0077375F">
        <w:t>No part of it may be reproduced by any process except</w:t>
      </w:r>
      <w:proofErr w:type="gramEnd"/>
      <w:r w:rsidRPr="0077375F">
        <w:t xml:space="preserve"> with permission from the Victorian Equal Opportunity and Human Rights Commission (the Commission) or in accordance with the </w:t>
      </w:r>
      <w:r w:rsidRPr="0077375F">
        <w:rPr>
          <w:rStyle w:val="VEOHRCBodytextChar"/>
          <w:i/>
          <w:lang w:eastAsia="en-US"/>
        </w:rPr>
        <w:t>Copyright Act 1968</w:t>
      </w:r>
      <w:r w:rsidRPr="0077375F">
        <w:rPr>
          <w:lang w:eastAsia="en-US"/>
        </w:rPr>
        <w:t xml:space="preserve">. </w:t>
      </w:r>
    </w:p>
    <w:p w14:paraId="3A64EC30" w14:textId="640886F3" w:rsidR="0077375F" w:rsidRPr="0077375F" w:rsidRDefault="0077375F" w:rsidP="0077375F">
      <w:pPr>
        <w:pStyle w:val="VEOHRCBodytext"/>
        <w:rPr>
          <w:lang w:eastAsia="en-US"/>
        </w:rPr>
      </w:pPr>
      <w:r w:rsidRPr="0077375F">
        <w:rPr>
          <w:lang w:eastAsia="en-US"/>
        </w:rPr>
        <w:t>On request the Commission may give permission for this material to be</w:t>
      </w:r>
      <w:r w:rsidR="001B0C5C">
        <w:rPr>
          <w:lang w:eastAsia="en-US"/>
        </w:rPr>
        <w:t xml:space="preserve"> </w:t>
      </w:r>
      <w:r w:rsidRPr="0077375F">
        <w:rPr>
          <w:lang w:eastAsia="en-US"/>
        </w:rPr>
        <w:t xml:space="preserve">reproduced provided it is for a purpose consistent with the objectives of the </w:t>
      </w:r>
      <w:r w:rsidRPr="0077375F">
        <w:rPr>
          <w:rStyle w:val="VEOHRCBodytextChar"/>
          <w:i/>
          <w:lang w:eastAsia="en-US"/>
        </w:rPr>
        <w:t>Equal Opportunity Act 2010</w:t>
      </w:r>
      <w:r w:rsidRPr="0077375F">
        <w:t xml:space="preserve">, the </w:t>
      </w:r>
      <w:r w:rsidRPr="0077375F">
        <w:rPr>
          <w:rStyle w:val="VEOHRCBodytextChar"/>
          <w:i/>
          <w:lang w:eastAsia="en-US"/>
        </w:rPr>
        <w:t xml:space="preserve">Charter of Human Rights and Responsibilities Act 2006 </w:t>
      </w:r>
      <w:r w:rsidRPr="0077375F">
        <w:t xml:space="preserve">or the </w:t>
      </w:r>
      <w:r w:rsidRPr="0077375F">
        <w:rPr>
          <w:rStyle w:val="VEOHRCBodytextChar"/>
          <w:i/>
          <w:lang w:eastAsia="en-US"/>
        </w:rPr>
        <w:t>Racial and Religious Tolerance Act 2001</w:t>
      </w:r>
      <w:r w:rsidRPr="0077375F">
        <w:rPr>
          <w:lang w:eastAsia="en-US"/>
        </w:rPr>
        <w:t xml:space="preserve"> and the Commission is acknowledged as the source.</w:t>
      </w:r>
    </w:p>
    <w:p w14:paraId="4CC5C8B3" w14:textId="77777777" w:rsidR="0077375F" w:rsidRPr="0077375F" w:rsidRDefault="0077375F" w:rsidP="0077375F">
      <w:pPr>
        <w:pStyle w:val="VEOHRCBodytext"/>
        <w:rPr>
          <w:rStyle w:val="VEOHRCBodytextChar"/>
          <w:lang w:eastAsia="en-US"/>
        </w:rPr>
      </w:pPr>
      <w:r w:rsidRPr="0077375F">
        <w:rPr>
          <w:lang w:eastAsia="en-US"/>
        </w:rPr>
        <w:t xml:space="preserve">Contact </w:t>
      </w:r>
      <w:r w:rsidRPr="0077375F">
        <w:rPr>
          <w:rStyle w:val="VEOHRCURLChar"/>
        </w:rPr>
        <w:t>communications@veohrc.vic.gov.au</w:t>
      </w:r>
      <w:r w:rsidRPr="00EF2338">
        <w:rPr>
          <w:rStyle w:val="VEOHRCURLChar"/>
        </w:rPr>
        <w:t xml:space="preserve"> </w:t>
      </w:r>
      <w:r w:rsidRPr="0077375F">
        <w:rPr>
          <w:rStyle w:val="VEOHRCBodytextChar"/>
          <w:lang w:eastAsia="en-US"/>
        </w:rPr>
        <w:t xml:space="preserve">for permission to reproduce material from the publication. </w:t>
      </w:r>
    </w:p>
    <w:p w14:paraId="5AB15E02" w14:textId="77777777" w:rsidR="0077375F" w:rsidRPr="0077375F" w:rsidRDefault="0077375F" w:rsidP="0077375F">
      <w:pPr>
        <w:pStyle w:val="VEOHRCHeading3"/>
        <w:rPr>
          <w:lang w:eastAsia="en-US"/>
        </w:rPr>
      </w:pPr>
      <w:r w:rsidRPr="0077375F">
        <w:rPr>
          <w:lang w:eastAsia="en-US"/>
        </w:rPr>
        <w:t xml:space="preserve">Accessible formats </w:t>
      </w:r>
    </w:p>
    <w:p w14:paraId="61704A8A" w14:textId="1F1AF321"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This document is available for downloading from our website at </w:t>
      </w:r>
      <w:r w:rsidRPr="0077375F">
        <w:rPr>
          <w:rStyle w:val="VEOHRCURLChar"/>
          <w:lang w:val="en-GB" w:eastAsia="en-US"/>
        </w:rPr>
        <w:t xml:space="preserve">humanrightscommission.vic.gov.au/resources </w:t>
      </w:r>
      <w:r w:rsidRPr="0077375F">
        <w:rPr>
          <w:rStyle w:val="VEOHRCBodytextChar"/>
          <w:lang w:eastAsia="en-US"/>
        </w:rPr>
        <w:t>in PDF and RTF.</w:t>
      </w:r>
      <w:r w:rsidR="001B0C5C">
        <w:rPr>
          <w:rStyle w:val="VEOHRCBodytextChar"/>
          <w:lang w:eastAsia="en-US"/>
        </w:rPr>
        <w:t xml:space="preserve"> </w:t>
      </w:r>
      <w:r w:rsidRPr="0077375F">
        <w:rPr>
          <w:rStyle w:val="VEOHRCBodytextChar"/>
          <w:lang w:eastAsia="en-US"/>
        </w:rPr>
        <w:t>Please contact the Commission if you require other accessible formats.</w:t>
      </w:r>
    </w:p>
    <w:p w14:paraId="2BE88BD7" w14:textId="77777777" w:rsidR="0077375F" w:rsidRPr="0077375F" w:rsidRDefault="0077375F" w:rsidP="0077375F">
      <w:pPr>
        <w:pStyle w:val="VEOHRCHeading3"/>
        <w:rPr>
          <w:lang w:eastAsia="en-US"/>
        </w:rPr>
      </w:pPr>
      <w:r w:rsidRPr="0077375F">
        <w:rPr>
          <w:lang w:eastAsia="en-US"/>
        </w:rPr>
        <w:t xml:space="preserve">Privacy </w:t>
      </w:r>
    </w:p>
    <w:p w14:paraId="13498CAD"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complies with Victorian privacy laws and the confidentiality provisions of the Equal Opportunity Act. Our privacy policy is available online at </w:t>
      </w:r>
      <w:r w:rsidRPr="0077375F">
        <w:rPr>
          <w:rStyle w:val="VEOHRCURLChar"/>
          <w:lang w:val="en-GB" w:eastAsia="en-US"/>
        </w:rPr>
        <w:t xml:space="preserve">humanrightscommission.vic.gov.au/privacy </w:t>
      </w:r>
      <w:r w:rsidRPr="0077375F">
        <w:rPr>
          <w:rStyle w:val="VEOHRCBodytextChar"/>
          <w:lang w:eastAsia="en-US"/>
        </w:rPr>
        <w:t>or by contacting us.</w:t>
      </w:r>
    </w:p>
    <w:p w14:paraId="07A68CF6" w14:textId="77777777" w:rsidR="0077375F" w:rsidRPr="0077375F" w:rsidRDefault="0077375F" w:rsidP="0077375F">
      <w:pPr>
        <w:pStyle w:val="VEOHRCHeading3"/>
        <w:rPr>
          <w:lang w:eastAsia="en-US"/>
        </w:rPr>
      </w:pPr>
      <w:r w:rsidRPr="0077375F">
        <w:rPr>
          <w:lang w:eastAsia="en-US"/>
        </w:rPr>
        <w:t xml:space="preserve">Disclaimer </w:t>
      </w:r>
    </w:p>
    <w:p w14:paraId="5F5E2D23" w14:textId="77777777" w:rsidR="0077375F" w:rsidRDefault="0077375F" w:rsidP="0077375F">
      <w:pPr>
        <w:pStyle w:val="VEOHRCBodytext"/>
        <w:rPr>
          <w:lang w:eastAsia="en-US"/>
        </w:rPr>
      </w:pPr>
      <w:r w:rsidRPr="0077375F">
        <w:rPr>
          <w:lang w:eastAsia="en-US"/>
        </w:rPr>
        <w:t>This information is intended as a guide only. It is not a substitute for legal advice.</w:t>
      </w:r>
    </w:p>
    <w:p w14:paraId="20740C74" w14:textId="369462B5" w:rsidR="0077375F" w:rsidRDefault="0077375F" w:rsidP="0077375F">
      <w:pPr>
        <w:pStyle w:val="VEOHRCBodytext"/>
        <w:rPr>
          <w:lang w:eastAsia="en-US"/>
        </w:rPr>
      </w:pPr>
      <w:r w:rsidRPr="0077375F">
        <w:rPr>
          <w:lang w:eastAsia="en-US"/>
        </w:rPr>
        <w:t>Ordered to be printed.</w:t>
      </w:r>
      <w:r w:rsidR="001B0C5C">
        <w:rPr>
          <w:lang w:eastAsia="en-US"/>
        </w:rPr>
        <w:t xml:space="preserve"> </w:t>
      </w:r>
      <w:r w:rsidR="00632946">
        <w:rPr>
          <w:lang w:eastAsia="en-US"/>
        </w:rPr>
        <w:br/>
      </w:r>
      <w:proofErr w:type="gramStart"/>
      <w:r w:rsidRPr="0077375F">
        <w:rPr>
          <w:lang w:eastAsia="en-US"/>
        </w:rPr>
        <w:t>PP No 209, Session 2014–16.</w:t>
      </w:r>
      <w:proofErr w:type="gramEnd"/>
      <w:r w:rsidR="001B0C5C">
        <w:rPr>
          <w:lang w:eastAsia="en-US"/>
        </w:rPr>
        <w:t xml:space="preserve"> </w:t>
      </w:r>
      <w:r w:rsidR="00632946">
        <w:rPr>
          <w:lang w:eastAsia="en-US"/>
        </w:rPr>
        <w:br/>
      </w:r>
      <w:r w:rsidRPr="0077375F">
        <w:rPr>
          <w:lang w:eastAsia="en-US"/>
        </w:rPr>
        <w:t>ISSN 1836–1447 (print)</w:t>
      </w:r>
    </w:p>
    <w:p w14:paraId="2F31BCFB" w14:textId="4419516A" w:rsidR="0077375F" w:rsidRPr="0077375F" w:rsidRDefault="0077375F" w:rsidP="0077375F">
      <w:pPr>
        <w:pStyle w:val="VEOHRCChapterTitle"/>
        <w:rPr>
          <w:lang w:eastAsia="en-US"/>
        </w:rPr>
      </w:pPr>
      <w:r w:rsidRPr="0077375F">
        <w:rPr>
          <w:lang w:eastAsia="en-US"/>
        </w:rPr>
        <w:lastRenderedPageBreak/>
        <w:t>Letter to the</w:t>
      </w:r>
      <w:r w:rsidR="001B0C5C">
        <w:rPr>
          <w:lang w:eastAsia="en-US"/>
        </w:rPr>
        <w:t xml:space="preserve"> </w:t>
      </w:r>
      <w:proofErr w:type="gramStart"/>
      <w:r w:rsidRPr="0077375F">
        <w:rPr>
          <w:lang w:eastAsia="en-US"/>
        </w:rPr>
        <w:t>Attorney-General</w:t>
      </w:r>
      <w:proofErr w:type="gramEnd"/>
    </w:p>
    <w:p w14:paraId="222BBD1B" w14:textId="4F09E7A4" w:rsidR="0077375F" w:rsidRPr="0077375F" w:rsidRDefault="0077375F" w:rsidP="0077375F">
      <w:pPr>
        <w:pStyle w:val="VEOHRCBodytext"/>
        <w:rPr>
          <w:lang w:eastAsia="en-US"/>
        </w:rPr>
      </w:pPr>
      <w:r w:rsidRPr="0077375F">
        <w:rPr>
          <w:lang w:eastAsia="en-US"/>
        </w:rPr>
        <w:t xml:space="preserve">In accordance with the </w:t>
      </w:r>
      <w:r w:rsidRPr="0077375F">
        <w:rPr>
          <w:i/>
          <w:lang w:eastAsia="en-US"/>
        </w:rPr>
        <w:t>Financial Management Act 1994</w:t>
      </w:r>
      <w:r w:rsidRPr="0077375F">
        <w:rPr>
          <w:lang w:eastAsia="en-US"/>
        </w:rPr>
        <w:t>, I am pleased to provide this report on the operations of the Victorian Equal Opportunity and Human Rights Commission for the year ending 30 June 2016.</w:t>
      </w:r>
    </w:p>
    <w:p w14:paraId="03027913" w14:textId="77777777" w:rsidR="0077375F" w:rsidRPr="0077375F" w:rsidRDefault="0077375F" w:rsidP="0077375F">
      <w:pPr>
        <w:pStyle w:val="VEOHRCBodytext"/>
        <w:rPr>
          <w:lang w:eastAsia="en-US"/>
        </w:rPr>
      </w:pPr>
      <w:r w:rsidRPr="0077375F">
        <w:rPr>
          <w:lang w:eastAsia="en-US"/>
        </w:rPr>
        <w:t>Yours sincerely</w:t>
      </w:r>
    </w:p>
    <w:p w14:paraId="630FBC3F" w14:textId="77777777" w:rsidR="0077375F" w:rsidRPr="0077375F" w:rsidRDefault="0077375F" w:rsidP="0077375F">
      <w:pPr>
        <w:pStyle w:val="VEOHRCHeading3"/>
        <w:rPr>
          <w:lang w:eastAsia="en-US"/>
        </w:rPr>
      </w:pPr>
      <w:r w:rsidRPr="0077375F">
        <w:rPr>
          <w:lang w:eastAsia="en-US"/>
        </w:rPr>
        <w:t>John Searle</w:t>
      </w:r>
    </w:p>
    <w:p w14:paraId="07FE6E04" w14:textId="77777777" w:rsidR="0077375F" w:rsidRDefault="0077375F" w:rsidP="0077375F">
      <w:pPr>
        <w:pStyle w:val="VEOHRCBodytext"/>
        <w:rPr>
          <w:lang w:eastAsia="en-US"/>
        </w:rPr>
      </w:pPr>
      <w:r w:rsidRPr="0077375F">
        <w:rPr>
          <w:lang w:eastAsia="en-US"/>
        </w:rPr>
        <w:t>Chairperson, Victorian Equal Opportunity and Human Rights Commission</w:t>
      </w:r>
    </w:p>
    <w:p w14:paraId="4D6AD773" w14:textId="1F0E707F" w:rsidR="0077375F" w:rsidRPr="0077375F" w:rsidRDefault="0077375F" w:rsidP="0077375F">
      <w:pPr>
        <w:pStyle w:val="VEOHRCChapterTitle"/>
        <w:rPr>
          <w:lang w:eastAsia="en-US"/>
        </w:rPr>
      </w:pPr>
      <w:r w:rsidRPr="0077375F">
        <w:rPr>
          <w:lang w:eastAsia="en-US"/>
        </w:rPr>
        <w:lastRenderedPageBreak/>
        <w:t>Chairperson’s message</w:t>
      </w:r>
    </w:p>
    <w:p w14:paraId="16D84167" w14:textId="77777777" w:rsidR="0077375F" w:rsidRPr="0077375F" w:rsidRDefault="0077375F" w:rsidP="0077375F">
      <w:pPr>
        <w:pStyle w:val="VEOHRCBodytext"/>
        <w:rPr>
          <w:lang w:eastAsia="en-US"/>
        </w:rPr>
      </w:pPr>
      <w:r w:rsidRPr="0077375F">
        <w:rPr>
          <w:lang w:eastAsia="en-US"/>
        </w:rPr>
        <w:t xml:space="preserve">It is my pleasure to present the 2015/16 Annual Report of the Victorian Equal Opportunity and Human Rights Commission on behalf of the Board. </w:t>
      </w:r>
    </w:p>
    <w:p w14:paraId="0151D21B" w14:textId="77777777" w:rsidR="0077375F" w:rsidRPr="0077375F" w:rsidRDefault="0077375F" w:rsidP="0077375F">
      <w:pPr>
        <w:pStyle w:val="VEOHRCBodytext"/>
        <w:rPr>
          <w:lang w:eastAsia="en-US"/>
        </w:rPr>
      </w:pPr>
      <w:r w:rsidRPr="0077375F">
        <w:rPr>
          <w:lang w:eastAsia="en-US"/>
        </w:rPr>
        <w:t>The past year has seen the Commission undertake many pieces of work that respond to the prevalence of discrimination and inequality. In addition to the provision of services, including taking complaints, resolving disputes and providing education and consultancy, we focused on addressing areas of systemic discrimination.</w:t>
      </w:r>
    </w:p>
    <w:p w14:paraId="3AF60670" w14:textId="77777777" w:rsidR="0077375F" w:rsidRPr="0077375F" w:rsidRDefault="0077375F" w:rsidP="0077375F">
      <w:pPr>
        <w:pStyle w:val="VEOHRCBodytext"/>
        <w:rPr>
          <w:lang w:eastAsia="en-US"/>
        </w:rPr>
      </w:pPr>
      <w:r w:rsidRPr="0077375F">
        <w:rPr>
          <w:lang w:eastAsia="en-US"/>
        </w:rPr>
        <w:t>In Australia we have witnessed a growing horror at the prevalence of violence against women. There is a community-wide push for change and an acknowledgement that we all have a role to play in addressing these abhorrent attitudes toward women. We read about gender inequality on sporting fields, in workplaces and in the media. It is inspiring to see major organisations lining up to address this and a push for real change seems underway.</w:t>
      </w:r>
    </w:p>
    <w:p w14:paraId="0B61CC1C"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One example of this can be seen in the </w:t>
      </w:r>
      <w:r w:rsidRPr="0077375F">
        <w:rPr>
          <w:rStyle w:val="VEOHRCBodytextChar"/>
          <w:i/>
          <w:lang w:eastAsia="en-US"/>
        </w:rPr>
        <w:t>Independent Review into sex discrimination and sexual harassment, including predatory behaviour, in Victoria Police</w:t>
      </w:r>
      <w:r w:rsidRPr="0077375F">
        <w:rPr>
          <w:rStyle w:val="VEOHRCBodytextChar"/>
          <w:lang w:eastAsia="en-US"/>
        </w:rPr>
        <w:t>. This was a major piece of work and came in response to concerns about gender inequality within the organisation. The Commission was enlisted to conduct the review and provide frank and fearless advice. The Phase One Report was released in December 2015 and work continues to assist Victoria Police in implementing the recommendations made in that report. I commend Victoria Police for engaging the Commission in this important work.</w:t>
      </w:r>
    </w:p>
    <w:p w14:paraId="41E00FCF" w14:textId="77777777" w:rsidR="0077375F" w:rsidRPr="0077375F" w:rsidRDefault="0077375F" w:rsidP="0077375F">
      <w:pPr>
        <w:pStyle w:val="VEOHRCBodytext"/>
        <w:rPr>
          <w:lang w:eastAsia="en-US"/>
        </w:rPr>
      </w:pPr>
      <w:r w:rsidRPr="0077375F">
        <w:rPr>
          <w:lang w:eastAsia="en-US"/>
        </w:rPr>
        <w:t xml:space="preserve">I would like to take this opportunity to thank former Commissioner Kate Jenkins for her leadership in undertaking this important work and for her tireless commitment to the aims of the Commission to protect human rights and promote equal opportunity for all Victorians. </w:t>
      </w:r>
    </w:p>
    <w:p w14:paraId="4BCB5689" w14:textId="77777777" w:rsidR="0077375F" w:rsidRPr="0077375F" w:rsidRDefault="0077375F" w:rsidP="0077375F">
      <w:pPr>
        <w:pStyle w:val="VEOHRCBodytext"/>
        <w:rPr>
          <w:lang w:eastAsia="en-US"/>
        </w:rPr>
      </w:pPr>
      <w:r w:rsidRPr="0077375F">
        <w:rPr>
          <w:lang w:eastAsia="en-US"/>
        </w:rPr>
        <w:t>I would also like to welcome Kristen Hilton as the new Commissioner. Already under her leadership we have felt a sense of guidance and inspiration and have also seen a second major independent review being announced, this time in the fire services sector, and I look forward to the change to our society that work will instigate.</w:t>
      </w:r>
    </w:p>
    <w:p w14:paraId="52C3938B" w14:textId="4EF7FA53" w:rsidR="0077375F" w:rsidRPr="0077375F" w:rsidRDefault="0077375F" w:rsidP="0077375F">
      <w:pPr>
        <w:pStyle w:val="VEOHRCBodytext"/>
        <w:rPr>
          <w:lang w:eastAsia="en-US"/>
        </w:rPr>
      </w:pPr>
      <w:r w:rsidRPr="0077375F">
        <w:rPr>
          <w:lang w:eastAsia="en-US"/>
        </w:rPr>
        <w:t xml:space="preserve">This is my final Annual Report, as my </w:t>
      </w:r>
      <w:proofErr w:type="gramStart"/>
      <w:r w:rsidRPr="0077375F">
        <w:rPr>
          <w:lang w:eastAsia="en-US"/>
        </w:rPr>
        <w:t>term of office as Chairperson is due to expire</w:t>
      </w:r>
      <w:proofErr w:type="gramEnd"/>
      <w:r w:rsidRPr="0077375F">
        <w:rPr>
          <w:lang w:eastAsia="en-US"/>
        </w:rPr>
        <w:t xml:space="preserve"> shortly. I have enjoyed my term as Chairperson enormously and have been humbled as I have watched the staff of the Commission go about their work tirelessly, passionately and with unrivalled commitment. I extend to them</w:t>
      </w:r>
      <w:r w:rsidR="001B0C5C">
        <w:rPr>
          <w:lang w:eastAsia="en-US"/>
        </w:rPr>
        <w:t xml:space="preserve"> </w:t>
      </w:r>
      <w:r w:rsidRPr="0077375F">
        <w:rPr>
          <w:lang w:eastAsia="en-US"/>
        </w:rPr>
        <w:t>a debt of gratitude and thanks on behalf of the Board and all Victorians.</w:t>
      </w:r>
    </w:p>
    <w:p w14:paraId="34002A2B" w14:textId="77777777" w:rsidR="0077375F" w:rsidRPr="0077375F" w:rsidRDefault="0077375F" w:rsidP="0077375F">
      <w:pPr>
        <w:pStyle w:val="VEOHRCBodytext"/>
        <w:rPr>
          <w:lang w:eastAsia="en-US"/>
        </w:rPr>
      </w:pPr>
      <w:r w:rsidRPr="0077375F">
        <w:rPr>
          <w:lang w:eastAsia="en-US"/>
        </w:rPr>
        <w:t xml:space="preserve">I would also like to thank all of my Board members for their constant support, guidance, and </w:t>
      </w:r>
      <w:proofErr w:type="spellStart"/>
      <w:r w:rsidRPr="0077375F">
        <w:rPr>
          <w:lang w:eastAsia="en-US"/>
        </w:rPr>
        <w:t>ongoing</w:t>
      </w:r>
      <w:proofErr w:type="spellEnd"/>
      <w:r w:rsidRPr="0077375F">
        <w:rPr>
          <w:lang w:eastAsia="en-US"/>
        </w:rPr>
        <w:t xml:space="preserve"> commitment, without which I am certain the demands of office would have been far more stressful.</w:t>
      </w:r>
    </w:p>
    <w:p w14:paraId="15FA30A6" w14:textId="4ECB4D74" w:rsidR="0077375F" w:rsidRDefault="0077375F" w:rsidP="0077375F">
      <w:pPr>
        <w:pStyle w:val="VEOHRCBodytext"/>
        <w:rPr>
          <w:lang w:eastAsia="en-US"/>
        </w:rPr>
      </w:pPr>
      <w:r w:rsidRPr="0077375F">
        <w:rPr>
          <w:lang w:eastAsia="en-US"/>
        </w:rPr>
        <w:t>Finally I wish the Commissioner, the Board and the staff all the best of luck as they continue to provide such an invaluable service to the people of Victoria. It has been an honour and a privilege to serve</w:t>
      </w:r>
      <w:r w:rsidR="001B0C5C">
        <w:rPr>
          <w:lang w:eastAsia="en-US"/>
        </w:rPr>
        <w:t xml:space="preserve"> </w:t>
      </w:r>
      <w:r w:rsidRPr="0077375F">
        <w:rPr>
          <w:lang w:eastAsia="en-US"/>
        </w:rPr>
        <w:t>as Chairperson.</w:t>
      </w:r>
    </w:p>
    <w:p w14:paraId="529140AE" w14:textId="77777777" w:rsidR="0077375F" w:rsidRDefault="0077375F" w:rsidP="0077375F">
      <w:pPr>
        <w:pStyle w:val="VEOHRCBodytext"/>
        <w:rPr>
          <w:lang w:eastAsia="en-US"/>
        </w:rPr>
      </w:pPr>
      <w:r w:rsidRPr="0077375F">
        <w:rPr>
          <w:lang w:eastAsia="en-US"/>
        </w:rPr>
        <w:t>Yours sincerely,</w:t>
      </w:r>
    </w:p>
    <w:p w14:paraId="1761A896" w14:textId="30E51973" w:rsidR="0077375F" w:rsidRPr="0077375F" w:rsidRDefault="0077375F" w:rsidP="0035165B">
      <w:pPr>
        <w:pStyle w:val="VEOHRCBodytext"/>
        <w:rPr>
          <w:rStyle w:val="VEOHRCBodytextChar"/>
          <w:lang w:eastAsia="en-US"/>
        </w:rPr>
      </w:pPr>
      <w:r w:rsidRPr="0035165B">
        <w:rPr>
          <w:rStyle w:val="VEOHRCBodytextChar"/>
          <w:b/>
          <w:lang w:eastAsia="en-US"/>
        </w:rPr>
        <w:t>John Searle</w:t>
      </w:r>
      <w:r w:rsidR="001B0C5C" w:rsidRPr="0035165B">
        <w:rPr>
          <w:rStyle w:val="VEOHRCBodytextChar"/>
          <w:b/>
          <w:lang w:eastAsia="en-US"/>
        </w:rPr>
        <w:t xml:space="preserve"> </w:t>
      </w:r>
      <w:r w:rsidR="0035165B" w:rsidRPr="0035165B">
        <w:rPr>
          <w:rStyle w:val="VEOHRCBodytextChar"/>
          <w:b/>
          <w:lang w:eastAsia="en-US"/>
        </w:rPr>
        <w:br/>
      </w:r>
      <w:r w:rsidRPr="0077375F">
        <w:rPr>
          <w:rStyle w:val="VEOHRCBodytextChar"/>
          <w:lang w:eastAsia="en-US"/>
        </w:rPr>
        <w:t>Chairperson</w:t>
      </w:r>
      <w:r w:rsidR="001B0C5C">
        <w:rPr>
          <w:rStyle w:val="VEOHRCBodytextChar"/>
          <w:lang w:eastAsia="en-US"/>
        </w:rPr>
        <w:t xml:space="preserve"> </w:t>
      </w:r>
      <w:r w:rsidR="0035165B">
        <w:rPr>
          <w:rStyle w:val="VEOHRCBodytextChar"/>
          <w:lang w:eastAsia="en-US"/>
        </w:rPr>
        <w:br/>
      </w:r>
      <w:proofErr w:type="gramStart"/>
      <w:r w:rsidRPr="0077375F">
        <w:rPr>
          <w:rStyle w:val="VEOHRCBodytextChar"/>
          <w:lang w:eastAsia="en-US"/>
        </w:rPr>
        <w:t>Victorian</w:t>
      </w:r>
      <w:proofErr w:type="gramEnd"/>
      <w:r w:rsidRPr="0077375F">
        <w:rPr>
          <w:rStyle w:val="VEOHRCBodytextChar"/>
          <w:lang w:eastAsia="en-US"/>
        </w:rPr>
        <w:t xml:space="preserve"> Equal Opportunity</w:t>
      </w:r>
      <w:r w:rsidR="001B0C5C">
        <w:rPr>
          <w:rStyle w:val="VEOHRCBodytextChar"/>
          <w:lang w:eastAsia="en-US"/>
        </w:rPr>
        <w:t xml:space="preserve"> </w:t>
      </w:r>
      <w:r w:rsidRPr="0077375F">
        <w:rPr>
          <w:rStyle w:val="VEOHRCBodytextChar"/>
          <w:lang w:eastAsia="en-US"/>
        </w:rPr>
        <w:t xml:space="preserve">and Human Rights Commission </w:t>
      </w:r>
    </w:p>
    <w:p w14:paraId="188D4016" w14:textId="77777777" w:rsidR="0077375F" w:rsidRPr="0077375F" w:rsidRDefault="0077375F" w:rsidP="0077375F">
      <w:pPr>
        <w:pStyle w:val="VEOHRCChapterTitle"/>
        <w:rPr>
          <w:lang w:eastAsia="en-US"/>
        </w:rPr>
      </w:pPr>
      <w:r w:rsidRPr="0077375F">
        <w:rPr>
          <w:lang w:eastAsia="en-US"/>
        </w:rPr>
        <w:lastRenderedPageBreak/>
        <w:t>Commissioner’s message</w:t>
      </w:r>
    </w:p>
    <w:p w14:paraId="7DE04B4E" w14:textId="04E075A2" w:rsidR="0077375F" w:rsidRPr="0077375F" w:rsidRDefault="0077375F" w:rsidP="0077375F">
      <w:pPr>
        <w:pStyle w:val="VEOHRCBodytext"/>
        <w:rPr>
          <w:lang w:eastAsia="en-US"/>
        </w:rPr>
      </w:pPr>
      <w:r w:rsidRPr="0077375F">
        <w:rPr>
          <w:lang w:eastAsia="en-US"/>
        </w:rPr>
        <w:t>The Victorian Equal Opportunity and Human Rights Commission has continued</w:t>
      </w:r>
      <w:r w:rsidR="001B0C5C">
        <w:rPr>
          <w:lang w:eastAsia="en-US"/>
        </w:rPr>
        <w:t xml:space="preserve"> </w:t>
      </w:r>
      <w:r w:rsidRPr="0077375F">
        <w:rPr>
          <w:lang w:eastAsia="en-US"/>
        </w:rPr>
        <w:t xml:space="preserve">to be a strong and powerful voice in advocating for the rights of all Victorians. </w:t>
      </w:r>
    </w:p>
    <w:p w14:paraId="20B5DBD6" w14:textId="77777777" w:rsidR="0077375F" w:rsidRPr="0077375F" w:rsidRDefault="0077375F" w:rsidP="0077375F">
      <w:pPr>
        <w:pStyle w:val="VEOHRCBodytext"/>
        <w:rPr>
          <w:lang w:eastAsia="en-US"/>
        </w:rPr>
      </w:pPr>
      <w:r w:rsidRPr="0077375F">
        <w:rPr>
          <w:lang w:eastAsia="en-US"/>
        </w:rPr>
        <w:t xml:space="preserve">Since being appointed Commissioner on 1 June 2016, I have frequently been asked what Victorians can expect from their new Commissioner. </w:t>
      </w:r>
    </w:p>
    <w:p w14:paraId="7BBF54D0" w14:textId="77777777" w:rsidR="0077375F" w:rsidRPr="0077375F" w:rsidRDefault="0077375F" w:rsidP="0077375F">
      <w:pPr>
        <w:pStyle w:val="VEOHRCBodytext"/>
        <w:rPr>
          <w:lang w:eastAsia="en-US"/>
        </w:rPr>
      </w:pPr>
      <w:r w:rsidRPr="0077375F">
        <w:rPr>
          <w:lang w:eastAsia="en-US"/>
        </w:rPr>
        <w:t>Victorians can expect someone who is passionate about promoting and educating people about their rights. I am interested in having meaningful conversations with people across Victoria about the disadvantage, exclusions and vulnerability that people experience – whether that’s due to sex discrimination or racism, discrimination because of disability or because of parental or carer status. I also want to understand what impact those experiences have, both to individuals and their families, and how they affect our community more broadly</w:t>
      </w:r>
    </w:p>
    <w:p w14:paraId="7625B8FA"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does not exist just to educate people on relevant laws. It works across the community and with organisations to try to understand and prevent the root causes of discrimination. The Commission’s Report on the </w:t>
      </w:r>
      <w:r w:rsidRPr="0077375F">
        <w:rPr>
          <w:rStyle w:val="VEOHRCBodytextChar"/>
          <w:i/>
          <w:lang w:eastAsia="en-US"/>
        </w:rPr>
        <w:t>Independent Review into sex discrimination and sexual harassment in Victoria Police</w:t>
      </w:r>
      <w:r w:rsidRPr="0077375F">
        <w:rPr>
          <w:rStyle w:val="VEOHRCBodytextChar"/>
          <w:lang w:eastAsia="en-US"/>
        </w:rPr>
        <w:t xml:space="preserve"> is an example of how transformative this work can be. Victoria Police have shown a tremendous willingness to learn about the drivers of discrimination within their workplace and a commitment to fundamentally changing culture and structures that support inequality. As a continuance of this major organisational work we have begun the Independent Equity and Diversity Review in MFB and CFA and will report on our findings in mid-2017.</w:t>
      </w:r>
    </w:p>
    <w:p w14:paraId="2036541F" w14:textId="77777777" w:rsidR="0077375F" w:rsidRPr="0077375F" w:rsidRDefault="0077375F" w:rsidP="0077375F">
      <w:pPr>
        <w:pStyle w:val="VEOHRCBodytext"/>
        <w:rPr>
          <w:lang w:eastAsia="en-US"/>
        </w:rPr>
      </w:pPr>
      <w:r w:rsidRPr="0077375F">
        <w:rPr>
          <w:lang w:eastAsia="en-US"/>
        </w:rPr>
        <w:t>As this Annual Report will attest, the work of the Commission is constantly adapting in its focus and breadth, charting new paths and developing new strategies to respond to challenges as they occur. Ensuring every Victorian is aware of their rights and how they can exercise them means listening to community, working with organisations to improve their practices, educating the broader community about the harm of discrimination and the benefits of diversity, and influencing government.</w:t>
      </w:r>
    </w:p>
    <w:p w14:paraId="5F45E221" w14:textId="77777777" w:rsidR="0077375F" w:rsidRPr="0077375F" w:rsidRDefault="0077375F" w:rsidP="0077375F">
      <w:pPr>
        <w:pStyle w:val="VEOHRCBodytext"/>
        <w:rPr>
          <w:lang w:eastAsia="en-US"/>
        </w:rPr>
      </w:pPr>
      <w:r w:rsidRPr="0077375F">
        <w:rPr>
          <w:lang w:eastAsia="en-US"/>
        </w:rPr>
        <w:t xml:space="preserve">It is a great privilege to join an organisation with a long and proud tradition of serving Victorians. I would like to warmly thank the former Commissioner Kate Jenkins for her leadership in advocating for equality on behalf of all Victorians. I would also like to thank John Searle for his five years of service as our Chair. </w:t>
      </w:r>
    </w:p>
    <w:p w14:paraId="55995DCA" w14:textId="77777777" w:rsidR="0077375F" w:rsidRDefault="0077375F" w:rsidP="0077375F">
      <w:pPr>
        <w:pStyle w:val="VEOHRCBodytext"/>
        <w:rPr>
          <w:lang w:eastAsia="en-US"/>
        </w:rPr>
      </w:pPr>
      <w:r w:rsidRPr="0077375F">
        <w:rPr>
          <w:lang w:eastAsia="en-US"/>
        </w:rPr>
        <w:t>I look forward to continuing the innovative and high-impact work underway at the Commission and to furthering the Commission’s work in addressing systemic discrimination and in making human rights relevant and accessible for everyone.</w:t>
      </w:r>
    </w:p>
    <w:p w14:paraId="6B36A78C" w14:textId="377266BA" w:rsidR="0077375F" w:rsidRDefault="0077375F" w:rsidP="0077375F">
      <w:pPr>
        <w:widowControl w:val="0"/>
        <w:suppressAutoHyphens/>
        <w:autoSpaceDE w:val="0"/>
        <w:autoSpaceDN w:val="0"/>
        <w:adjustRightInd w:val="0"/>
        <w:spacing w:before="113" w:after="113" w:line="250" w:lineRule="atLeast"/>
        <w:textAlignment w:val="center"/>
        <w:rPr>
          <w:rStyle w:val="VEOHRCBodytextChar"/>
          <w:lang w:eastAsia="en-US"/>
        </w:rPr>
      </w:pPr>
      <w:r w:rsidRPr="0035165B">
        <w:rPr>
          <w:rStyle w:val="VEOHRCBodytextChar"/>
          <w:b/>
          <w:lang w:eastAsia="en-US"/>
        </w:rPr>
        <w:t>Kristen Hilton</w:t>
      </w:r>
      <w:r w:rsidR="001B0C5C">
        <w:rPr>
          <w:rStyle w:val="VEOHRCBodytextChar"/>
          <w:lang w:eastAsia="en-US"/>
        </w:rPr>
        <w:t xml:space="preserve"> </w:t>
      </w:r>
      <w:r w:rsidR="0035165B">
        <w:rPr>
          <w:rStyle w:val="VEOHRCBodytextChar"/>
          <w:lang w:eastAsia="en-US"/>
        </w:rPr>
        <w:br/>
      </w:r>
      <w:r w:rsidRPr="0077375F">
        <w:rPr>
          <w:rStyle w:val="VEOHRCBodytextChar"/>
          <w:lang w:eastAsia="en-US"/>
        </w:rPr>
        <w:t>Commissioner</w:t>
      </w:r>
      <w:r w:rsidR="001B0C5C">
        <w:rPr>
          <w:rStyle w:val="VEOHRCBodytextChar"/>
          <w:lang w:eastAsia="en-US"/>
        </w:rPr>
        <w:t xml:space="preserve"> </w:t>
      </w:r>
      <w:r w:rsidR="0035165B">
        <w:rPr>
          <w:rStyle w:val="VEOHRCBodytextChar"/>
          <w:lang w:eastAsia="en-US"/>
        </w:rPr>
        <w:br/>
      </w:r>
      <w:proofErr w:type="gramStart"/>
      <w:r w:rsidRPr="0077375F">
        <w:rPr>
          <w:rStyle w:val="VEOHRCBodytextChar"/>
          <w:lang w:eastAsia="en-US"/>
        </w:rPr>
        <w:t>Victorian</w:t>
      </w:r>
      <w:proofErr w:type="gramEnd"/>
      <w:r w:rsidRPr="0077375F">
        <w:rPr>
          <w:rStyle w:val="VEOHRCBodytextChar"/>
          <w:lang w:eastAsia="en-US"/>
        </w:rPr>
        <w:t xml:space="preserve"> Equal Opportunity</w:t>
      </w:r>
      <w:r w:rsidR="001B0C5C">
        <w:rPr>
          <w:rStyle w:val="VEOHRCBodytextChar"/>
          <w:lang w:eastAsia="en-US"/>
        </w:rPr>
        <w:t xml:space="preserve"> </w:t>
      </w:r>
      <w:r w:rsidRPr="0077375F">
        <w:rPr>
          <w:rStyle w:val="VEOHRCBodytextChar"/>
          <w:lang w:eastAsia="en-US"/>
        </w:rPr>
        <w:t>and Human Rights Commission</w:t>
      </w:r>
    </w:p>
    <w:p w14:paraId="7BD96D97" w14:textId="180AA3B2" w:rsidR="0077375F" w:rsidRPr="0077375F" w:rsidRDefault="0077375F" w:rsidP="0077375F">
      <w:pPr>
        <w:pStyle w:val="VEOHRCChapterTitle"/>
        <w:rPr>
          <w:lang w:eastAsia="en-US"/>
        </w:rPr>
      </w:pPr>
      <w:r w:rsidRPr="0077375F">
        <w:rPr>
          <w:lang w:eastAsia="en-US"/>
        </w:rPr>
        <w:lastRenderedPageBreak/>
        <w:t>The Board</w:t>
      </w:r>
    </w:p>
    <w:p w14:paraId="5F4E393B" w14:textId="2602608A" w:rsidR="0077375F" w:rsidRPr="0077375F" w:rsidRDefault="0077375F" w:rsidP="0077375F">
      <w:pPr>
        <w:pStyle w:val="VEOHRCHeading3"/>
        <w:rPr>
          <w:lang w:eastAsia="en-US"/>
        </w:rPr>
      </w:pPr>
      <w:r w:rsidRPr="0077375F">
        <w:rPr>
          <w:lang w:eastAsia="en-US"/>
        </w:rPr>
        <w:t>John Searle – Chairperson</w:t>
      </w:r>
      <w:r w:rsidR="001B0C5C">
        <w:rPr>
          <w:lang w:eastAsia="en-US"/>
        </w:rPr>
        <w:t xml:space="preserve"> </w:t>
      </w:r>
      <w:r w:rsidRPr="0077375F">
        <w:rPr>
          <w:lang w:eastAsia="en-US"/>
        </w:rPr>
        <w:t>August 2011–August 2016</w:t>
      </w:r>
    </w:p>
    <w:p w14:paraId="56F6848B" w14:textId="77777777" w:rsidR="0077375F" w:rsidRPr="0077375F" w:rsidRDefault="0077375F" w:rsidP="0077375F">
      <w:pPr>
        <w:pStyle w:val="VEOHRCBodytext"/>
        <w:rPr>
          <w:lang w:eastAsia="en-US"/>
        </w:rPr>
      </w:pPr>
      <w:r w:rsidRPr="0077375F">
        <w:rPr>
          <w:lang w:eastAsia="en-US"/>
        </w:rPr>
        <w:t>John Searle was the President of the Jewish Community Council of Victoria, the peak body of the Victorian Jewish community, and a member of the Executive of the Zionist Council of Victoria (ZCV) from 2008–11. Immediately prior to that, John served as the Chairman of the B’nai B’rith Anti-Defamation Commission.</w:t>
      </w:r>
    </w:p>
    <w:p w14:paraId="4A47A8DB" w14:textId="77777777" w:rsidR="0077375F" w:rsidRPr="0077375F" w:rsidRDefault="0077375F" w:rsidP="0077375F">
      <w:pPr>
        <w:pStyle w:val="VEOHRCBodytext"/>
        <w:rPr>
          <w:lang w:eastAsia="en-US"/>
        </w:rPr>
      </w:pPr>
      <w:r w:rsidRPr="0077375F">
        <w:rPr>
          <w:lang w:eastAsia="en-US"/>
        </w:rPr>
        <w:t>John has served as the Deputy President of the Executive Council of Australian Jewry, still sits on that organisation’s Committee of Management and also continues to serve as a member of the Executive of the ZCV. He has worked with disadvantaged youth and members of many culturally and linguistically diverse (CALD) communities. He has made a significant contribution to the Victorian community through his work in charitable and community organisations, his work involving interfaith and multicultural affairs, and his work to combat discrimination and vilification. He was recognised by Victoria Police with an award for his community service in 2009 and was appointed as a White Ribbon Ambassador in November 2014. John holds a Bachelor of Economics and a Bachelor of Laws and has been a practising barrister for 26 years, specialising in civil litigation.</w:t>
      </w:r>
    </w:p>
    <w:p w14:paraId="3A25A3AA" w14:textId="23A42CA1" w:rsidR="0077375F" w:rsidRPr="0077375F" w:rsidRDefault="0077375F" w:rsidP="0077375F">
      <w:pPr>
        <w:pStyle w:val="VEOHRCHeading3"/>
        <w:rPr>
          <w:lang w:eastAsia="en-US"/>
        </w:rPr>
      </w:pPr>
      <w:r w:rsidRPr="0077375F">
        <w:rPr>
          <w:lang w:eastAsia="en-US"/>
        </w:rPr>
        <w:t xml:space="preserve">Josef </w:t>
      </w:r>
      <w:proofErr w:type="spellStart"/>
      <w:r w:rsidRPr="0077375F">
        <w:rPr>
          <w:lang w:eastAsia="en-US"/>
        </w:rPr>
        <w:t>Szwarc</w:t>
      </w:r>
      <w:proofErr w:type="spellEnd"/>
      <w:r w:rsidR="001B0C5C">
        <w:rPr>
          <w:lang w:eastAsia="en-US"/>
        </w:rPr>
        <w:t xml:space="preserve"> </w:t>
      </w:r>
      <w:r w:rsidRPr="0077375F">
        <w:rPr>
          <w:lang w:eastAsia="en-US"/>
        </w:rPr>
        <w:t>August 2012–current</w:t>
      </w:r>
    </w:p>
    <w:p w14:paraId="1F5F6246" w14:textId="77777777" w:rsidR="0077375F" w:rsidRDefault="0077375F" w:rsidP="0077375F">
      <w:pPr>
        <w:pStyle w:val="VEOHRCBodytext"/>
        <w:rPr>
          <w:lang w:eastAsia="en-US"/>
        </w:rPr>
      </w:pPr>
      <w:r w:rsidRPr="0077375F">
        <w:rPr>
          <w:lang w:eastAsia="en-US"/>
        </w:rPr>
        <w:t xml:space="preserve">Josef </w:t>
      </w:r>
      <w:proofErr w:type="spellStart"/>
      <w:r w:rsidRPr="0077375F">
        <w:rPr>
          <w:lang w:eastAsia="en-US"/>
        </w:rPr>
        <w:t>Szwarc</w:t>
      </w:r>
      <w:proofErr w:type="spellEnd"/>
      <w:r w:rsidRPr="0077375F">
        <w:rPr>
          <w:lang w:eastAsia="en-US"/>
        </w:rPr>
        <w:t xml:space="preserve"> is Research and Policy Manager of the Victorian Foundation for Survivors of Torture, which provides a range of services to advance the health and wellbeing of people from refugee backgrounds </w:t>
      </w:r>
      <w:proofErr w:type="gramStart"/>
      <w:r w:rsidRPr="0077375F">
        <w:rPr>
          <w:lang w:eastAsia="en-US"/>
        </w:rPr>
        <w:t>who</w:t>
      </w:r>
      <w:proofErr w:type="gramEnd"/>
      <w:r w:rsidRPr="0077375F">
        <w:rPr>
          <w:lang w:eastAsia="en-US"/>
        </w:rPr>
        <w:t xml:space="preserve"> have survived torture and other traumatic events. He has worked in a variety of social and legal policy positions in governmental and civil society agencies in Australia and the UK, including research and advocacy at the International Secretariat of Amnesty International.</w:t>
      </w:r>
    </w:p>
    <w:p w14:paraId="5D89A203" w14:textId="3F19A681" w:rsidR="0077375F" w:rsidRPr="0077375F" w:rsidRDefault="0077375F" w:rsidP="0077375F">
      <w:pPr>
        <w:pStyle w:val="VEOHRCHeading3"/>
        <w:rPr>
          <w:lang w:eastAsia="en-US"/>
        </w:rPr>
      </w:pPr>
      <w:proofErr w:type="spellStart"/>
      <w:r w:rsidRPr="0077375F">
        <w:rPr>
          <w:lang w:eastAsia="en-US"/>
        </w:rPr>
        <w:t>Abeselom</w:t>
      </w:r>
      <w:proofErr w:type="spellEnd"/>
      <w:r w:rsidRPr="0077375F">
        <w:rPr>
          <w:lang w:eastAsia="en-US"/>
        </w:rPr>
        <w:t xml:space="preserve"> </w:t>
      </w:r>
      <w:proofErr w:type="spellStart"/>
      <w:r w:rsidRPr="0077375F">
        <w:rPr>
          <w:lang w:eastAsia="en-US"/>
        </w:rPr>
        <w:t>Nega</w:t>
      </w:r>
      <w:proofErr w:type="spellEnd"/>
      <w:r w:rsidR="001B0C5C">
        <w:rPr>
          <w:lang w:eastAsia="en-US"/>
        </w:rPr>
        <w:t xml:space="preserve"> </w:t>
      </w:r>
      <w:r w:rsidRPr="0077375F">
        <w:rPr>
          <w:lang w:eastAsia="en-US"/>
        </w:rPr>
        <w:t>August 2012–current</w:t>
      </w:r>
    </w:p>
    <w:p w14:paraId="0419237C" w14:textId="77777777" w:rsidR="0077375F" w:rsidRPr="0077375F" w:rsidRDefault="0077375F" w:rsidP="0077375F">
      <w:pPr>
        <w:pStyle w:val="VEOHRCBodytext"/>
        <w:rPr>
          <w:lang w:eastAsia="en-US"/>
        </w:rPr>
      </w:pPr>
      <w:proofErr w:type="spellStart"/>
      <w:r w:rsidRPr="0077375F">
        <w:rPr>
          <w:lang w:eastAsia="en-US"/>
        </w:rPr>
        <w:t>Abeselom</w:t>
      </w:r>
      <w:proofErr w:type="spellEnd"/>
      <w:r w:rsidRPr="0077375F">
        <w:rPr>
          <w:lang w:eastAsia="en-US"/>
        </w:rPr>
        <w:t xml:space="preserve"> </w:t>
      </w:r>
      <w:proofErr w:type="spellStart"/>
      <w:r w:rsidRPr="0077375F">
        <w:rPr>
          <w:lang w:eastAsia="en-US"/>
        </w:rPr>
        <w:t>Nega</w:t>
      </w:r>
      <w:proofErr w:type="spellEnd"/>
      <w:r w:rsidRPr="0077375F">
        <w:rPr>
          <w:lang w:eastAsia="en-US"/>
        </w:rPr>
        <w:t xml:space="preserve"> is the CEO of </w:t>
      </w:r>
      <w:proofErr w:type="spellStart"/>
      <w:r w:rsidRPr="0077375F">
        <w:rPr>
          <w:lang w:eastAsia="en-US"/>
        </w:rPr>
        <w:t>iEmpower</w:t>
      </w:r>
      <w:proofErr w:type="spellEnd"/>
      <w:r w:rsidRPr="0077375F">
        <w:rPr>
          <w:lang w:eastAsia="en-US"/>
        </w:rPr>
        <w:t xml:space="preserve"> – a highly respected specialist youth services organisation. Previously, </w:t>
      </w:r>
      <w:proofErr w:type="spellStart"/>
      <w:r w:rsidRPr="0077375F">
        <w:rPr>
          <w:lang w:eastAsia="en-US"/>
        </w:rPr>
        <w:t>Abeselom</w:t>
      </w:r>
      <w:proofErr w:type="spellEnd"/>
      <w:r w:rsidRPr="0077375F">
        <w:rPr>
          <w:lang w:eastAsia="en-US"/>
        </w:rPr>
        <w:t xml:space="preserve"> was the General Manager of AMES Employment. He served as the founding Chairperson of the Federation of African Communities Council of Australia and he is currently a Commissioner of the Victorian Multicultural Commission.</w:t>
      </w:r>
    </w:p>
    <w:p w14:paraId="53731015" w14:textId="77777777" w:rsidR="0077375F" w:rsidRPr="0077375F" w:rsidRDefault="0077375F" w:rsidP="0077375F">
      <w:pPr>
        <w:pStyle w:val="VEOHRCBodytext"/>
        <w:rPr>
          <w:lang w:eastAsia="en-US"/>
        </w:rPr>
      </w:pPr>
      <w:r w:rsidRPr="0077375F">
        <w:rPr>
          <w:lang w:eastAsia="en-US"/>
        </w:rPr>
        <w:t>He has served as a Board member of the National Accreditation Authority for Translators and Interpreters for nine years, making him the longest serving Board member in the organisation’s 40-year history.</w:t>
      </w:r>
    </w:p>
    <w:p w14:paraId="003CCCC6" w14:textId="777CF7E7" w:rsidR="0077375F" w:rsidRPr="0077375F" w:rsidRDefault="0077375F" w:rsidP="0077375F">
      <w:pPr>
        <w:pStyle w:val="VEOHRCBodytext"/>
        <w:rPr>
          <w:lang w:eastAsia="en-US"/>
        </w:rPr>
      </w:pPr>
      <w:proofErr w:type="spellStart"/>
      <w:r w:rsidRPr="0077375F">
        <w:rPr>
          <w:lang w:eastAsia="en-US"/>
        </w:rPr>
        <w:t>Abeselom</w:t>
      </w:r>
      <w:proofErr w:type="spellEnd"/>
      <w:r w:rsidRPr="0077375F">
        <w:rPr>
          <w:lang w:eastAsia="en-US"/>
        </w:rPr>
        <w:t xml:space="preserve"> is also the current Chair of the Melbourne Employment Forum, an</w:t>
      </w:r>
      <w:r w:rsidR="001B0C5C">
        <w:rPr>
          <w:lang w:eastAsia="en-US"/>
        </w:rPr>
        <w:t xml:space="preserve"> </w:t>
      </w:r>
      <w:r w:rsidRPr="0077375F">
        <w:rPr>
          <w:lang w:eastAsia="en-US"/>
        </w:rPr>
        <w:t xml:space="preserve">organisation working to create employment opportunities to refugees and migrants. He is committed to bringing sustainable human rights outcomes for children and young people. </w:t>
      </w:r>
      <w:proofErr w:type="spellStart"/>
      <w:r w:rsidRPr="0077375F">
        <w:rPr>
          <w:lang w:eastAsia="en-US"/>
        </w:rPr>
        <w:t>Abeselom</w:t>
      </w:r>
      <w:proofErr w:type="spellEnd"/>
      <w:r w:rsidRPr="0077375F">
        <w:rPr>
          <w:lang w:eastAsia="en-US"/>
        </w:rPr>
        <w:t xml:space="preserve"> is a member of numerous professional bodies.</w:t>
      </w:r>
    </w:p>
    <w:p w14:paraId="378884EC" w14:textId="679B9F68" w:rsidR="0077375F" w:rsidRPr="0077375F" w:rsidRDefault="0077375F" w:rsidP="0077375F">
      <w:pPr>
        <w:pStyle w:val="VEOHRCHeading3"/>
        <w:rPr>
          <w:lang w:eastAsia="en-US"/>
        </w:rPr>
      </w:pPr>
      <w:r w:rsidRPr="0077375F">
        <w:rPr>
          <w:lang w:eastAsia="en-US"/>
        </w:rPr>
        <w:t>Colleen Pearce</w:t>
      </w:r>
      <w:r w:rsidR="001B0C5C">
        <w:rPr>
          <w:lang w:eastAsia="en-US"/>
        </w:rPr>
        <w:t xml:space="preserve"> </w:t>
      </w:r>
      <w:r w:rsidRPr="0077375F">
        <w:rPr>
          <w:lang w:eastAsia="en-US"/>
        </w:rPr>
        <w:t>November 2012–current</w:t>
      </w:r>
    </w:p>
    <w:p w14:paraId="0B602609" w14:textId="77777777" w:rsidR="0077375F" w:rsidRPr="0077375F" w:rsidRDefault="0077375F" w:rsidP="0077375F">
      <w:pPr>
        <w:pStyle w:val="VEOHRCBodytext"/>
        <w:rPr>
          <w:lang w:eastAsia="en-US"/>
        </w:rPr>
      </w:pPr>
      <w:r w:rsidRPr="0077375F">
        <w:rPr>
          <w:lang w:eastAsia="en-US"/>
        </w:rPr>
        <w:t xml:space="preserve">Colleen Pearce has nearly 30 years’ experience in the community and health sectors. She is Victoria’s first female Public Advocate, a position she has held since September 2007. She is also chair of the Community Visitor boards. Colleen is a fearless advocate for the human rights and interests of people with disabilities and mental illness. In 2003 Colleen received a Commonwealth Centenary Medal for her contribution to community services in Victoria. She is a board member of the Connecting Home, an organisation established in response to the recommendations </w:t>
      </w:r>
      <w:r w:rsidRPr="0077375F">
        <w:rPr>
          <w:lang w:eastAsia="en-US"/>
        </w:rPr>
        <w:lastRenderedPageBreak/>
        <w:t xml:space="preserve">arising from the Stolen Generations Taskforce Report. Colleen is a member of the </w:t>
      </w:r>
      <w:proofErr w:type="spellStart"/>
      <w:r w:rsidRPr="0077375F">
        <w:rPr>
          <w:lang w:eastAsia="en-US"/>
        </w:rPr>
        <w:t>Yuin</w:t>
      </w:r>
      <w:proofErr w:type="spellEnd"/>
      <w:r w:rsidRPr="0077375F">
        <w:rPr>
          <w:lang w:eastAsia="en-US"/>
        </w:rPr>
        <w:t xml:space="preserve"> people of the </w:t>
      </w:r>
      <w:proofErr w:type="gramStart"/>
      <w:r w:rsidRPr="0077375F">
        <w:rPr>
          <w:lang w:eastAsia="en-US"/>
        </w:rPr>
        <w:t>south-east</w:t>
      </w:r>
      <w:proofErr w:type="gramEnd"/>
      <w:r w:rsidRPr="0077375F">
        <w:rPr>
          <w:lang w:eastAsia="en-US"/>
        </w:rPr>
        <w:t xml:space="preserve"> coast of New South Wales.</w:t>
      </w:r>
    </w:p>
    <w:p w14:paraId="029FD009" w14:textId="1FFB31DD" w:rsidR="0077375F" w:rsidRPr="0077375F" w:rsidRDefault="0077375F" w:rsidP="0077375F">
      <w:pPr>
        <w:pStyle w:val="VEOHRCHeading3"/>
        <w:rPr>
          <w:lang w:eastAsia="en-US"/>
        </w:rPr>
      </w:pPr>
      <w:r w:rsidRPr="0077375F">
        <w:rPr>
          <w:lang w:eastAsia="en-US"/>
        </w:rPr>
        <w:t>Megan Boston</w:t>
      </w:r>
      <w:r w:rsidR="001B0C5C">
        <w:rPr>
          <w:lang w:eastAsia="en-US"/>
        </w:rPr>
        <w:t xml:space="preserve"> </w:t>
      </w:r>
      <w:r w:rsidRPr="0077375F">
        <w:rPr>
          <w:lang w:eastAsia="en-US"/>
        </w:rPr>
        <w:t>August 2014–current</w:t>
      </w:r>
    </w:p>
    <w:p w14:paraId="47FC958D" w14:textId="77777777" w:rsidR="0077375F" w:rsidRPr="0077375F" w:rsidRDefault="0077375F" w:rsidP="0077375F">
      <w:pPr>
        <w:pStyle w:val="VEOHRCBodytext"/>
        <w:rPr>
          <w:lang w:eastAsia="en-US"/>
        </w:rPr>
      </w:pPr>
      <w:r w:rsidRPr="0077375F">
        <w:rPr>
          <w:lang w:eastAsia="en-US"/>
        </w:rPr>
        <w:t>Megan Boston is a chartered accountant with skills and expertise in the areas of finance, audit, risk management and governance. She is a board member of South East Water, AMES and Beyond Medical Education (BME). Megan also chairs the AMES Audit and Risk Committee and the BME Finance, Audit and Risk Committee.</w:t>
      </w:r>
    </w:p>
    <w:p w14:paraId="4002297A" w14:textId="0D269CAF" w:rsidR="0077375F" w:rsidRPr="0077375F" w:rsidRDefault="0077375F" w:rsidP="0077375F">
      <w:pPr>
        <w:pStyle w:val="VEOHRCHeading3"/>
        <w:rPr>
          <w:lang w:eastAsia="en-US"/>
        </w:rPr>
      </w:pPr>
      <w:r w:rsidRPr="0077375F">
        <w:rPr>
          <w:lang w:eastAsia="en-US"/>
        </w:rPr>
        <w:t>Tim Goodwin</w:t>
      </w:r>
      <w:r w:rsidR="001B0C5C">
        <w:rPr>
          <w:lang w:eastAsia="en-US"/>
        </w:rPr>
        <w:t xml:space="preserve"> </w:t>
      </w:r>
      <w:r w:rsidRPr="0077375F">
        <w:rPr>
          <w:lang w:eastAsia="en-US"/>
        </w:rPr>
        <w:t>March 2015–current</w:t>
      </w:r>
    </w:p>
    <w:p w14:paraId="2DFE0357" w14:textId="77777777" w:rsidR="0077375F" w:rsidRPr="0077375F" w:rsidRDefault="0077375F" w:rsidP="0077375F">
      <w:pPr>
        <w:pStyle w:val="VEOHRCBodytext"/>
        <w:rPr>
          <w:lang w:eastAsia="en-US"/>
        </w:rPr>
      </w:pPr>
      <w:r w:rsidRPr="0077375F">
        <w:rPr>
          <w:lang w:eastAsia="en-US"/>
        </w:rPr>
        <w:t xml:space="preserve">Tim Goodwin is a barrister, practising primarily in commercial and public law. He has a Master of Laws from Harvard Law School and is a member of the Indigenous Lawyers’ Committee, the Commercial Bar Association of the Victorian Bar and a member of the Australian Association of Constitutional Law. He is a board member of the Australian Research Alliance for Children and Youth and a Trustee of the Reichstein Foundation and the Roberta Sykes Indigenous Education Foundation. Tim is a member of the </w:t>
      </w:r>
      <w:proofErr w:type="spellStart"/>
      <w:r w:rsidRPr="0077375F">
        <w:rPr>
          <w:lang w:eastAsia="en-US"/>
        </w:rPr>
        <w:t>Yuin</w:t>
      </w:r>
      <w:proofErr w:type="spellEnd"/>
      <w:r w:rsidRPr="0077375F">
        <w:rPr>
          <w:lang w:eastAsia="en-US"/>
        </w:rPr>
        <w:t xml:space="preserve"> people of the </w:t>
      </w:r>
      <w:proofErr w:type="gramStart"/>
      <w:r w:rsidRPr="0077375F">
        <w:rPr>
          <w:lang w:eastAsia="en-US"/>
        </w:rPr>
        <w:t>south-east</w:t>
      </w:r>
      <w:proofErr w:type="gramEnd"/>
      <w:r w:rsidRPr="0077375F">
        <w:rPr>
          <w:lang w:eastAsia="en-US"/>
        </w:rPr>
        <w:t xml:space="preserve"> coast of New South Wales.</w:t>
      </w:r>
    </w:p>
    <w:p w14:paraId="04D2E82A" w14:textId="7A3BDE1A" w:rsidR="0077375F" w:rsidRPr="0077375F" w:rsidRDefault="0077375F" w:rsidP="0077375F">
      <w:pPr>
        <w:pStyle w:val="VEOHRCHeading3"/>
        <w:rPr>
          <w:lang w:eastAsia="en-US"/>
        </w:rPr>
      </w:pPr>
      <w:proofErr w:type="spellStart"/>
      <w:r w:rsidRPr="0077375F">
        <w:rPr>
          <w:lang w:eastAsia="en-US"/>
        </w:rPr>
        <w:t>Moana</w:t>
      </w:r>
      <w:proofErr w:type="spellEnd"/>
      <w:r w:rsidRPr="0077375F">
        <w:rPr>
          <w:lang w:eastAsia="en-US"/>
        </w:rPr>
        <w:t xml:space="preserve"> Weir</w:t>
      </w:r>
      <w:r w:rsidR="001B0C5C">
        <w:rPr>
          <w:lang w:eastAsia="en-US"/>
        </w:rPr>
        <w:t xml:space="preserve"> </w:t>
      </w:r>
      <w:r w:rsidRPr="0077375F">
        <w:rPr>
          <w:lang w:eastAsia="en-US"/>
        </w:rPr>
        <w:t>March 2015–current</w:t>
      </w:r>
    </w:p>
    <w:p w14:paraId="2A2158A5" w14:textId="44EA486F" w:rsidR="0077375F" w:rsidRPr="0077375F" w:rsidRDefault="0077375F" w:rsidP="0077375F">
      <w:pPr>
        <w:pStyle w:val="VEOHRCBodytext"/>
        <w:rPr>
          <w:lang w:eastAsia="en-US"/>
        </w:rPr>
      </w:pPr>
      <w:proofErr w:type="spellStart"/>
      <w:r w:rsidRPr="0077375F">
        <w:rPr>
          <w:lang w:eastAsia="en-US"/>
        </w:rPr>
        <w:t>Moana</w:t>
      </w:r>
      <w:proofErr w:type="spellEnd"/>
      <w:r w:rsidRPr="0077375F">
        <w:rPr>
          <w:lang w:eastAsia="en-US"/>
        </w:rPr>
        <w:t xml:space="preserve"> Weir is an experienced lawyer and board member, with 14 years’ experience as company secretary and senior officer of ASX listed entities, as well as serving on the boards for V/Line Corporation and Melbourne Montessori School. At the senior management level, </w:t>
      </w:r>
      <w:proofErr w:type="spellStart"/>
      <w:r w:rsidRPr="0077375F">
        <w:rPr>
          <w:lang w:eastAsia="en-US"/>
        </w:rPr>
        <w:t>Moana</w:t>
      </w:r>
      <w:proofErr w:type="spellEnd"/>
      <w:r w:rsidRPr="0077375F">
        <w:rPr>
          <w:lang w:eastAsia="en-US"/>
        </w:rPr>
        <w:t xml:space="preserve"> has been responsible for corporate governance, sustainability management, legal and risk management, corporate communications and external reporting. She has a passion for driving real change and better outcomes in equal opportunity and human rights, including the areas of gender diversity and inclusion in the workplace. </w:t>
      </w:r>
    </w:p>
    <w:p w14:paraId="5C526D0F" w14:textId="77777777" w:rsidR="0077375F" w:rsidRPr="0077375F" w:rsidRDefault="0077375F" w:rsidP="0077375F">
      <w:pPr>
        <w:pStyle w:val="VEOHRCHeading2"/>
        <w:rPr>
          <w:lang w:eastAsia="en-US"/>
        </w:rPr>
      </w:pPr>
      <w:r w:rsidRPr="0077375F">
        <w:rPr>
          <w:lang w:eastAsia="en-US"/>
        </w:rPr>
        <w:t>Audit and risk committee</w:t>
      </w:r>
    </w:p>
    <w:p w14:paraId="612EBE5A" w14:textId="256490AD" w:rsidR="0077375F" w:rsidRPr="0077375F" w:rsidRDefault="0077375F" w:rsidP="0077375F">
      <w:pPr>
        <w:pStyle w:val="VEOHRCHeading3"/>
        <w:rPr>
          <w:lang w:eastAsia="en-US"/>
        </w:rPr>
      </w:pPr>
      <w:r w:rsidRPr="0077375F">
        <w:rPr>
          <w:lang w:eastAsia="en-US"/>
        </w:rPr>
        <w:t>Megan Boston (Chair)</w:t>
      </w:r>
      <w:r w:rsidR="001B0C5C">
        <w:rPr>
          <w:lang w:eastAsia="en-US"/>
        </w:rPr>
        <w:t xml:space="preserve"> </w:t>
      </w:r>
      <w:proofErr w:type="spellStart"/>
      <w:r w:rsidRPr="0077375F">
        <w:rPr>
          <w:lang w:eastAsia="en-US"/>
        </w:rPr>
        <w:t>Abeselom</w:t>
      </w:r>
      <w:proofErr w:type="spellEnd"/>
      <w:r w:rsidRPr="0077375F">
        <w:rPr>
          <w:lang w:eastAsia="en-US"/>
        </w:rPr>
        <w:t xml:space="preserve"> </w:t>
      </w:r>
      <w:proofErr w:type="spellStart"/>
      <w:r w:rsidRPr="0077375F">
        <w:rPr>
          <w:lang w:eastAsia="en-US"/>
        </w:rPr>
        <w:t>Nega</w:t>
      </w:r>
      <w:proofErr w:type="spellEnd"/>
    </w:p>
    <w:p w14:paraId="59495DBB" w14:textId="77777777" w:rsidR="0077375F" w:rsidRPr="0077375F" w:rsidRDefault="0077375F" w:rsidP="0077375F">
      <w:pPr>
        <w:pStyle w:val="VEOHRCHeading3"/>
        <w:rPr>
          <w:lang w:eastAsia="en-US"/>
        </w:rPr>
      </w:pPr>
      <w:r w:rsidRPr="0077375F">
        <w:rPr>
          <w:lang w:eastAsia="en-US"/>
        </w:rPr>
        <w:t xml:space="preserve">Jeff Floyd </w:t>
      </w:r>
    </w:p>
    <w:p w14:paraId="6E9DC35F" w14:textId="77777777" w:rsidR="0077375F" w:rsidRPr="0077375F" w:rsidRDefault="0077375F" w:rsidP="0077375F">
      <w:pPr>
        <w:pStyle w:val="VEOHRCBodytext"/>
        <w:rPr>
          <w:lang w:eastAsia="en-US"/>
        </w:rPr>
      </w:pPr>
      <w:r w:rsidRPr="0077375F">
        <w:rPr>
          <w:lang w:eastAsia="en-US"/>
        </w:rPr>
        <w:t>Jeff Floyd is the CEO of Strategic Advisory and Facilitation Services, a management and risk consulting business. He is an Adjunct Professor at Victoria University and has had a distinguished career as a CEO in both the public and private sectors; including extensive experience in Board and Audit Committee roles. Jeff is passionate about achieving equality of opportunity for all, and has a particular interest in the quality of public sector and not-for-profit governance.</w:t>
      </w:r>
    </w:p>
    <w:p w14:paraId="355CF7B1" w14:textId="77777777" w:rsidR="0077375F" w:rsidRPr="0077375F" w:rsidRDefault="0077375F" w:rsidP="0077375F">
      <w:pPr>
        <w:pStyle w:val="VEOHRCHeading3"/>
        <w:rPr>
          <w:lang w:eastAsia="en-US"/>
        </w:rPr>
      </w:pPr>
      <w:r w:rsidRPr="0077375F">
        <w:rPr>
          <w:lang w:eastAsia="en-US"/>
        </w:rPr>
        <w:t xml:space="preserve">Sue Madden </w:t>
      </w:r>
    </w:p>
    <w:p w14:paraId="0F13D6CB" w14:textId="77777777" w:rsidR="0077375F" w:rsidRDefault="0077375F" w:rsidP="0077375F">
      <w:pPr>
        <w:pStyle w:val="VEOHRCBodytext"/>
        <w:rPr>
          <w:lang w:eastAsia="en-US"/>
        </w:rPr>
      </w:pPr>
      <w:r w:rsidRPr="0077375F">
        <w:rPr>
          <w:lang w:eastAsia="en-US"/>
        </w:rPr>
        <w:t xml:space="preserve">Sue Madden is an experienced finance professional with capability spanning commercial operations within the oil and gas industry, the not-for-profit cancer research sector, a publicly listed biotechnology company and recently the start-up of a subsidiary attached to a large water utility. Sue is experienced in the implementation of finance systems and processes as well as corporate governance, fiscal reporting and financial analyses. Sue is also a member of the Finance and Audit Committee of </w:t>
      </w:r>
      <w:proofErr w:type="spellStart"/>
      <w:r w:rsidRPr="0077375F">
        <w:rPr>
          <w:lang w:eastAsia="en-US"/>
        </w:rPr>
        <w:t>BreastScreen</w:t>
      </w:r>
      <w:proofErr w:type="spellEnd"/>
      <w:r w:rsidRPr="0077375F">
        <w:rPr>
          <w:lang w:eastAsia="en-US"/>
        </w:rPr>
        <w:t xml:space="preserve"> Victoria.</w:t>
      </w:r>
    </w:p>
    <w:p w14:paraId="0903D43C" w14:textId="2949CB95" w:rsidR="0077375F" w:rsidRPr="0077375F" w:rsidRDefault="0077375F" w:rsidP="0077375F">
      <w:pPr>
        <w:pStyle w:val="VEOHRCChapterTitle"/>
        <w:rPr>
          <w:lang w:eastAsia="en-US"/>
        </w:rPr>
      </w:pPr>
      <w:r w:rsidRPr="0077375F">
        <w:rPr>
          <w:lang w:eastAsia="en-US"/>
        </w:rPr>
        <w:lastRenderedPageBreak/>
        <w:t>2015/16 highlights</w:t>
      </w:r>
    </w:p>
    <w:p w14:paraId="72F1B44C" w14:textId="77777777" w:rsidR="0077375F" w:rsidRPr="0077375F" w:rsidRDefault="0077375F" w:rsidP="0077375F">
      <w:pPr>
        <w:pStyle w:val="VEOHRCHeading2"/>
        <w:rPr>
          <w:lang w:eastAsia="en-US"/>
        </w:rPr>
      </w:pPr>
      <w:r w:rsidRPr="0077375F">
        <w:rPr>
          <w:lang w:eastAsia="en-US"/>
        </w:rPr>
        <w:t>Independent Review into Victoria Police</w:t>
      </w:r>
    </w:p>
    <w:p w14:paraId="3D9EB1C9"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conducted an </w:t>
      </w:r>
      <w:r w:rsidRPr="0077375F">
        <w:rPr>
          <w:rStyle w:val="VEOHRCBodytextChar"/>
          <w:i/>
          <w:lang w:eastAsia="en-US"/>
        </w:rPr>
        <w:t>Independent Review into sex discrimination and sexual harassment, including predatory behaviour, in Victoria Police</w:t>
      </w:r>
      <w:r w:rsidRPr="0077375F">
        <w:rPr>
          <w:rStyle w:val="VEOHRCBodytextChar"/>
          <w:lang w:eastAsia="en-US"/>
        </w:rPr>
        <w:t>. Phase one of the report was released in December 2015. The Review revealed how the impact of sexual discrimination and harassment has resulted in isolation and exclusion within the workplace for many members. Chronic under-reporting of incidences of sexual discrimination or harassment was also revealed with staff generally fearful of personal or professional repercussions that may stem from making a complaint or seeking support. The Review identifies actions to promote safety and equality, and includes recommendations and an action plan for Victoria Police, which we will independently monitor and report on over three years.</w:t>
      </w:r>
    </w:p>
    <w:p w14:paraId="0C172E56" w14:textId="77777777" w:rsidR="0077375F" w:rsidRPr="0077375F" w:rsidRDefault="0077375F" w:rsidP="0077375F">
      <w:pPr>
        <w:pStyle w:val="VEOHRCHeading2"/>
        <w:rPr>
          <w:lang w:eastAsia="en-US"/>
        </w:rPr>
      </w:pPr>
      <w:r w:rsidRPr="0077375F">
        <w:rPr>
          <w:lang w:eastAsia="en-US"/>
        </w:rPr>
        <w:t>Easy English Guide to Reporting Crime</w:t>
      </w:r>
    </w:p>
    <w:p w14:paraId="70594333"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As part of </w:t>
      </w:r>
      <w:proofErr w:type="spellStart"/>
      <w:r w:rsidRPr="0077375F">
        <w:rPr>
          <w:rStyle w:val="VEOHRCBodytextChar"/>
          <w:lang w:eastAsia="en-US"/>
        </w:rPr>
        <w:t>ongoing</w:t>
      </w:r>
      <w:proofErr w:type="spellEnd"/>
      <w:r w:rsidRPr="0077375F">
        <w:rPr>
          <w:rStyle w:val="VEOHRCBodytextChar"/>
          <w:lang w:eastAsia="en-US"/>
        </w:rPr>
        <w:t xml:space="preserve"> work to implement the Commission’s recommendations from </w:t>
      </w:r>
      <w:r w:rsidRPr="0077375F">
        <w:rPr>
          <w:rStyle w:val="VEOHRCBodytextChar"/>
          <w:i/>
          <w:lang w:eastAsia="en-US"/>
        </w:rPr>
        <w:t>Beyond doubt: the experiences of people with disabilities reporting crime</w:t>
      </w:r>
      <w:r w:rsidRPr="0077375F">
        <w:rPr>
          <w:rStyle w:val="VEOHRCBodytextChar"/>
          <w:lang w:eastAsia="en-US"/>
        </w:rPr>
        <w:t xml:space="preserve">, Victoria Police worked with the Commission to produce an Easy English resource on reporting crime. </w:t>
      </w:r>
      <w:proofErr w:type="gramStart"/>
      <w:r w:rsidRPr="0077375F">
        <w:rPr>
          <w:rStyle w:val="VEOHRCBodytextChar"/>
          <w:lang w:eastAsia="en-US"/>
        </w:rPr>
        <w:t>The resource aims to assist a range of audiences, particularly people with cognitive and communication disabilities, to understand their rights and how to report crime to police.</w:t>
      </w:r>
      <w:proofErr w:type="gramEnd"/>
      <w:r w:rsidRPr="0077375F">
        <w:rPr>
          <w:rStyle w:val="VEOHRCBodytextChar"/>
          <w:lang w:eastAsia="en-US"/>
        </w:rPr>
        <w:t xml:space="preserve"> The resource includes information on what a crime is, where a crime can occur, how to report a crime or make a complaint, and where to go for additional help and support. It represents a step forward for communication access and access to justice for all Victorians. </w:t>
      </w:r>
    </w:p>
    <w:p w14:paraId="2B73F0F1" w14:textId="77777777" w:rsidR="0077375F" w:rsidRPr="0077375F" w:rsidRDefault="0077375F" w:rsidP="0077375F">
      <w:pPr>
        <w:pStyle w:val="VEOHRCHeading2"/>
        <w:rPr>
          <w:lang w:eastAsia="en-US"/>
        </w:rPr>
      </w:pPr>
      <w:r w:rsidRPr="0077375F">
        <w:rPr>
          <w:lang w:eastAsia="en-US"/>
        </w:rPr>
        <w:t>Report Racism</w:t>
      </w:r>
    </w:p>
    <w:p w14:paraId="19EF194E" w14:textId="77777777" w:rsidR="0077375F" w:rsidRPr="0077375F" w:rsidRDefault="0077375F" w:rsidP="0077375F">
      <w:pPr>
        <w:pStyle w:val="VEOHRCBodytext"/>
        <w:rPr>
          <w:lang w:eastAsia="en-US"/>
        </w:rPr>
      </w:pPr>
      <w:r w:rsidRPr="0077375F">
        <w:rPr>
          <w:lang w:eastAsia="en-US"/>
        </w:rPr>
        <w:t xml:space="preserve">The Report Racism third-party reporting initiative completed its pilot phase on 31 December 2015, and continues to operate as the Commission consults with community members and partner organisations on the next steps for the project. An independent evaluation of the project showed that while the initiative has been well received by community members, significant barriers continue to prevent the Aboriginal community from reporting racism. </w:t>
      </w:r>
    </w:p>
    <w:p w14:paraId="1E958AF2" w14:textId="42087BA3" w:rsidR="0077375F" w:rsidRPr="0077375F" w:rsidRDefault="0077375F" w:rsidP="0077375F">
      <w:pPr>
        <w:pStyle w:val="VEOHRCHeading2"/>
        <w:rPr>
          <w:lang w:eastAsia="en-US"/>
        </w:rPr>
      </w:pPr>
      <w:r w:rsidRPr="0077375F">
        <w:rPr>
          <w:lang w:eastAsia="en-US"/>
        </w:rPr>
        <w:t xml:space="preserve">Signs for Health: Improving </w:t>
      </w:r>
      <w:proofErr w:type="spellStart"/>
      <w:r w:rsidRPr="0077375F">
        <w:rPr>
          <w:lang w:eastAsia="en-US"/>
        </w:rPr>
        <w:t>Auslan</w:t>
      </w:r>
      <w:proofErr w:type="spellEnd"/>
      <w:r w:rsidR="001B0C5C">
        <w:rPr>
          <w:lang w:eastAsia="en-US"/>
        </w:rPr>
        <w:t xml:space="preserve"> </w:t>
      </w:r>
      <w:r w:rsidRPr="0077375F">
        <w:rPr>
          <w:lang w:eastAsia="en-US"/>
        </w:rPr>
        <w:t>and communication access in hospitals</w:t>
      </w:r>
    </w:p>
    <w:p w14:paraId="6A003A6E"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Responding to concerns raised by the Commission’s Disability Reference Group and other stakeholders, the Commission is developing an online resource, </w:t>
      </w:r>
      <w:r w:rsidRPr="0077375F">
        <w:rPr>
          <w:rStyle w:val="VEOHRCBodytextChar"/>
          <w:i/>
          <w:lang w:eastAsia="en-US"/>
        </w:rPr>
        <w:t>Signs for Health,</w:t>
      </w:r>
      <w:r w:rsidRPr="0077375F">
        <w:rPr>
          <w:rStyle w:val="VEOHRCBodytextChar"/>
          <w:lang w:eastAsia="en-US"/>
        </w:rPr>
        <w:t xml:space="preserve"> to improve the use of </w:t>
      </w:r>
      <w:proofErr w:type="spellStart"/>
      <w:r w:rsidRPr="0077375F">
        <w:rPr>
          <w:rStyle w:val="VEOHRCBodytextChar"/>
          <w:lang w:eastAsia="en-US"/>
        </w:rPr>
        <w:t>Auslan</w:t>
      </w:r>
      <w:proofErr w:type="spellEnd"/>
      <w:r w:rsidRPr="0077375F">
        <w:rPr>
          <w:rStyle w:val="VEOHRCBodytextChar"/>
          <w:lang w:eastAsia="en-US"/>
        </w:rPr>
        <w:t xml:space="preserve"> and communication accessibility in Victorian hospitals. Consultations conducted in hospitals in metropolitan Melbourne and regional Victoria showed varying levels of awareness among hospital staff about their legal obligations to provide </w:t>
      </w:r>
      <w:proofErr w:type="spellStart"/>
      <w:r w:rsidRPr="0077375F">
        <w:rPr>
          <w:rStyle w:val="VEOHRCBodytextChar"/>
          <w:lang w:eastAsia="en-US"/>
        </w:rPr>
        <w:t>Auslan</w:t>
      </w:r>
      <w:proofErr w:type="spellEnd"/>
      <w:r w:rsidRPr="0077375F">
        <w:rPr>
          <w:rStyle w:val="VEOHRCBodytextChar"/>
          <w:lang w:eastAsia="en-US"/>
        </w:rPr>
        <w:t xml:space="preserve"> interpreters and the technologies available to assist with people who are deaf, hard of hearing and </w:t>
      </w:r>
      <w:proofErr w:type="spellStart"/>
      <w:r w:rsidRPr="0077375F">
        <w:rPr>
          <w:rStyle w:val="VEOHRCBodytextChar"/>
          <w:lang w:eastAsia="en-US"/>
        </w:rPr>
        <w:t>deafblind</w:t>
      </w:r>
      <w:proofErr w:type="spellEnd"/>
      <w:r w:rsidRPr="0077375F">
        <w:rPr>
          <w:rStyle w:val="VEOHRCBodytextChar"/>
          <w:lang w:eastAsia="en-US"/>
        </w:rPr>
        <w:t xml:space="preserve">. </w:t>
      </w:r>
    </w:p>
    <w:p w14:paraId="25CE89F8" w14:textId="77777777" w:rsidR="0077375F" w:rsidRPr="0077375F" w:rsidRDefault="0077375F" w:rsidP="0077375F">
      <w:pPr>
        <w:pStyle w:val="VEOHRCHeading2"/>
        <w:rPr>
          <w:lang w:eastAsia="en-US"/>
        </w:rPr>
      </w:pPr>
      <w:r w:rsidRPr="0077375F">
        <w:rPr>
          <w:lang w:eastAsia="en-US"/>
        </w:rPr>
        <w:t>Disability Access Bench Book</w:t>
      </w:r>
    </w:p>
    <w:p w14:paraId="7F8FBA2B"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is developing a </w:t>
      </w:r>
      <w:r w:rsidRPr="0077375F">
        <w:rPr>
          <w:rStyle w:val="VEOHRCBodytextChar"/>
          <w:i/>
          <w:lang w:eastAsia="en-US"/>
        </w:rPr>
        <w:t>Disability Access Bench Book</w:t>
      </w:r>
      <w:r w:rsidRPr="0077375F">
        <w:rPr>
          <w:rStyle w:val="VEOHRCBodytextChar"/>
          <w:lang w:eastAsia="en-US"/>
        </w:rPr>
        <w:t xml:space="preserve"> with the Judicial College of Victoria (JCV). The book follows a recommendation to the JCV from the Commission’s report, </w:t>
      </w:r>
      <w:proofErr w:type="gramStart"/>
      <w:r w:rsidRPr="0077375F">
        <w:rPr>
          <w:rStyle w:val="VEOHRCBodytextChar"/>
          <w:i/>
          <w:lang w:eastAsia="en-US"/>
        </w:rPr>
        <w:t>Beyond</w:t>
      </w:r>
      <w:proofErr w:type="gramEnd"/>
      <w:r w:rsidRPr="0077375F">
        <w:rPr>
          <w:rStyle w:val="VEOHRCBodytextChar"/>
          <w:i/>
          <w:lang w:eastAsia="en-US"/>
        </w:rPr>
        <w:t xml:space="preserve"> doubt: the experiences of people with disabilities reporting crime.</w:t>
      </w:r>
      <w:r w:rsidRPr="0077375F">
        <w:rPr>
          <w:rStyle w:val="VEOHRCBodytextChar"/>
          <w:lang w:eastAsia="en-US"/>
        </w:rPr>
        <w:t xml:space="preserve"> </w:t>
      </w:r>
    </w:p>
    <w:p w14:paraId="47E603F9" w14:textId="621F574C" w:rsidR="0077375F" w:rsidRPr="0077375F" w:rsidRDefault="0077375F" w:rsidP="0077375F">
      <w:pPr>
        <w:pStyle w:val="VEOHRCBodytext"/>
        <w:rPr>
          <w:lang w:eastAsia="en-US"/>
        </w:rPr>
      </w:pPr>
      <w:r w:rsidRPr="0077375F">
        <w:rPr>
          <w:lang w:eastAsia="en-US"/>
        </w:rPr>
        <w:lastRenderedPageBreak/>
        <w:t>The first of its kind in Victoria, it provides detailed guidance for judges, magistrates and tribunal members on making adjustments for people with disabilities in courts and tribunals</w:t>
      </w:r>
      <w:r w:rsidR="001B0C5C">
        <w:rPr>
          <w:lang w:eastAsia="en-US"/>
        </w:rPr>
        <w:t xml:space="preserve"> </w:t>
      </w:r>
      <w:r w:rsidRPr="0077375F">
        <w:rPr>
          <w:lang w:eastAsia="en-US"/>
        </w:rPr>
        <w:t xml:space="preserve">to ensure they can participate on an equal basis with others. </w:t>
      </w:r>
    </w:p>
    <w:p w14:paraId="5E334724" w14:textId="77777777" w:rsidR="0077375F" w:rsidRPr="0077375F" w:rsidRDefault="0077375F" w:rsidP="0077375F">
      <w:pPr>
        <w:pStyle w:val="VEOHRCHeading2"/>
        <w:rPr>
          <w:color w:val="02BAC8"/>
          <w:lang w:eastAsia="en-US"/>
        </w:rPr>
      </w:pPr>
      <w:r w:rsidRPr="0077375F">
        <w:rPr>
          <w:lang w:eastAsia="en-US"/>
        </w:rPr>
        <w:t>Equity and Diversity Review into CFA and MFB</w:t>
      </w:r>
    </w:p>
    <w:p w14:paraId="703D0831" w14:textId="77777777" w:rsidR="0077375F" w:rsidRPr="0077375F" w:rsidRDefault="0077375F" w:rsidP="0077375F">
      <w:pPr>
        <w:pStyle w:val="VEOHRCBodytext"/>
        <w:rPr>
          <w:lang w:eastAsia="en-US"/>
        </w:rPr>
      </w:pPr>
      <w:r w:rsidRPr="0077375F">
        <w:rPr>
          <w:lang w:eastAsia="en-US"/>
        </w:rPr>
        <w:t xml:space="preserve">The Commission is undertaking an independent review into equity and diversity within the Country Fire Authority (CFA) and Metropolitan Fire Brigade (MFB). </w:t>
      </w:r>
    </w:p>
    <w:p w14:paraId="70703104" w14:textId="77777777" w:rsidR="0077375F" w:rsidRPr="0077375F" w:rsidRDefault="0077375F" w:rsidP="0077375F">
      <w:pPr>
        <w:pStyle w:val="VEOHRCBodytext"/>
        <w:rPr>
          <w:lang w:eastAsia="en-US"/>
        </w:rPr>
      </w:pPr>
      <w:r w:rsidRPr="0077375F">
        <w:rPr>
          <w:lang w:eastAsia="en-US"/>
        </w:rPr>
        <w:t xml:space="preserve">The Review will look at barriers and opportunities for building safe and respectful environments in both organisations and will consider the extent, nature and impact of discrimination, including bullying, and sexual harassment. </w:t>
      </w:r>
    </w:p>
    <w:p w14:paraId="1B1551FA" w14:textId="24425056" w:rsidR="0077375F" w:rsidRPr="0077375F" w:rsidRDefault="0077375F" w:rsidP="0077375F">
      <w:pPr>
        <w:pStyle w:val="VEOHRCBodytext"/>
        <w:rPr>
          <w:lang w:eastAsia="en-US"/>
        </w:rPr>
      </w:pPr>
      <w:r w:rsidRPr="0077375F">
        <w:rPr>
          <w:lang w:eastAsia="en-US"/>
        </w:rPr>
        <w:t>The Review’s findings will inform specific recommendations for each organisation that take into account the different experiences of employees and volunteers. The recommendations will also take into account the type of work that people do and function they perform within each organisation. We will publicly report on the findings in</w:t>
      </w:r>
      <w:r w:rsidR="001B0C5C">
        <w:rPr>
          <w:lang w:eastAsia="en-US"/>
        </w:rPr>
        <w:t xml:space="preserve"> </w:t>
      </w:r>
      <w:r w:rsidRPr="0077375F">
        <w:rPr>
          <w:lang w:eastAsia="en-US"/>
        </w:rPr>
        <w:t>mid-2017 and work with both organisations to implement</w:t>
      </w:r>
      <w:r w:rsidR="001B0C5C">
        <w:rPr>
          <w:lang w:eastAsia="en-US"/>
        </w:rPr>
        <w:t xml:space="preserve"> </w:t>
      </w:r>
      <w:r w:rsidRPr="0077375F">
        <w:rPr>
          <w:lang w:eastAsia="en-US"/>
        </w:rPr>
        <w:t>any recommendations.</w:t>
      </w:r>
    </w:p>
    <w:p w14:paraId="1BF6B079" w14:textId="77777777" w:rsidR="0077375F" w:rsidRPr="0077375F" w:rsidRDefault="0077375F" w:rsidP="0077375F">
      <w:pPr>
        <w:pStyle w:val="VEOHRCHeading2"/>
        <w:rPr>
          <w:lang w:eastAsia="en-US"/>
        </w:rPr>
      </w:pPr>
      <w:r w:rsidRPr="0077375F">
        <w:rPr>
          <w:lang w:eastAsia="en-US"/>
        </w:rPr>
        <w:t>Pride not Prejudice: LGBTI video series</w:t>
      </w:r>
    </w:p>
    <w:p w14:paraId="61DCE4D3"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Fifteen years ago sexual orientation and gender identity were included as protected attributes under the Equal Opportunity Act. In recognition of this, the Commission produced a video series to discuss the progress that has been made and the challenges that remain for LGBTI communities in Victoria. The first film in the series, </w:t>
      </w:r>
      <w:r w:rsidRPr="0077375F">
        <w:rPr>
          <w:rStyle w:val="VEOHRCBodytextChar"/>
          <w:i/>
          <w:lang w:eastAsia="en-US"/>
        </w:rPr>
        <w:t>Pride not Prejudice: LGBTI and equal opportunity</w:t>
      </w:r>
      <w:r w:rsidRPr="0077375F">
        <w:rPr>
          <w:rStyle w:val="VEOHRCBodytextChar"/>
          <w:lang w:eastAsia="en-US"/>
        </w:rPr>
        <w:t xml:space="preserve">, featured interviews with prominent members of Victoria’s LGBTI communities, reminding us of the efforts to advocate for change and the work that is still to be done. Other films in the series, which was produced in partnership with Master of Media students from RMIT, have dealt with issues regarding Aboriginal members of the LGBTI community, healthcare and expunged homosexual convictions. </w:t>
      </w:r>
    </w:p>
    <w:p w14:paraId="72436ECE" w14:textId="77777777" w:rsidR="0077375F" w:rsidRPr="0077375F" w:rsidRDefault="0077375F" w:rsidP="0077375F">
      <w:pPr>
        <w:pStyle w:val="VEOHRCHeading2"/>
        <w:rPr>
          <w:lang w:eastAsia="en-US"/>
        </w:rPr>
      </w:pPr>
      <w:r w:rsidRPr="0077375F">
        <w:rPr>
          <w:lang w:eastAsia="en-US"/>
        </w:rPr>
        <w:t>Charter Review update</w:t>
      </w:r>
    </w:p>
    <w:p w14:paraId="1FFED437" w14:textId="77777777" w:rsidR="0077375F" w:rsidRPr="0077375F" w:rsidRDefault="0077375F" w:rsidP="0077375F">
      <w:pPr>
        <w:pStyle w:val="VEOHRCBodytext"/>
        <w:rPr>
          <w:lang w:eastAsia="en-US"/>
        </w:rPr>
      </w:pPr>
      <w:r w:rsidRPr="0077375F">
        <w:rPr>
          <w:lang w:eastAsia="en-US"/>
        </w:rPr>
        <w:t xml:space="preserve">The report on the Eight-Year Review of the Charter of Human Rights and Responsibilities was tabled in September 2015, making 52 recommendations to the Victorian Government. The Commission provided a submission to the review, including recommendations to provide education to public agencies about the Charter. </w:t>
      </w:r>
    </w:p>
    <w:p w14:paraId="0E2013BB" w14:textId="77777777" w:rsidR="0077375F" w:rsidRPr="0077375F" w:rsidRDefault="0077375F" w:rsidP="0077375F">
      <w:pPr>
        <w:pStyle w:val="VEOHRCBodytext"/>
        <w:rPr>
          <w:lang w:eastAsia="en-US"/>
        </w:rPr>
      </w:pPr>
      <w:r w:rsidRPr="0077375F">
        <w:rPr>
          <w:lang w:eastAsia="en-US"/>
        </w:rPr>
        <w:t xml:space="preserve">Following the Government’s announcement of support for 42 of the 52 recommendations, the Commission will be working across the public sector to help create positive and enduring changes in organisations. The Commission also welcomes the support for a reference to </w:t>
      </w:r>
      <w:proofErr w:type="gramStart"/>
      <w:r w:rsidRPr="0077375F">
        <w:rPr>
          <w:lang w:eastAsia="en-US"/>
        </w:rPr>
        <w:t>self determination</w:t>
      </w:r>
      <w:proofErr w:type="gramEnd"/>
      <w:r w:rsidRPr="0077375F">
        <w:rPr>
          <w:lang w:eastAsia="en-US"/>
        </w:rPr>
        <w:t xml:space="preserve"> having a special importance for Aboriginal people of Victoria, as descendants of Australia’s first people, in the preamble of the Charter. </w:t>
      </w:r>
    </w:p>
    <w:p w14:paraId="7FA1A6ED"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More information about the Review is available at </w:t>
      </w:r>
      <w:r w:rsidRPr="0077375F">
        <w:rPr>
          <w:rStyle w:val="VEOHRCURLChar"/>
          <w:lang w:val="en-GB" w:eastAsia="en-US"/>
        </w:rPr>
        <w:t>humanrightscommission.vic.gov.au/charter-review</w:t>
      </w:r>
      <w:r w:rsidRPr="0077375F">
        <w:rPr>
          <w:rStyle w:val="VEOHRCBodytextChar"/>
          <w:lang w:eastAsia="en-US"/>
        </w:rPr>
        <w:t>.</w:t>
      </w:r>
    </w:p>
    <w:p w14:paraId="778DC290" w14:textId="77777777" w:rsidR="0077375F" w:rsidRPr="0077375F" w:rsidRDefault="0077375F" w:rsidP="0077375F">
      <w:pPr>
        <w:pStyle w:val="VEOHRCHeading2"/>
        <w:rPr>
          <w:lang w:eastAsia="en-US"/>
        </w:rPr>
      </w:pPr>
      <w:r w:rsidRPr="0077375F">
        <w:rPr>
          <w:lang w:eastAsia="en-US"/>
        </w:rPr>
        <w:t>Complaints and Enquiries</w:t>
      </w:r>
    </w:p>
    <w:p w14:paraId="060A43F6" w14:textId="6150BF0B" w:rsidR="0077375F" w:rsidRDefault="0077375F" w:rsidP="0077375F">
      <w:pPr>
        <w:pStyle w:val="VEOHRCBodytext"/>
        <w:rPr>
          <w:lang w:eastAsia="en-US"/>
        </w:rPr>
      </w:pPr>
      <w:r w:rsidRPr="0077375F">
        <w:rPr>
          <w:lang w:eastAsia="en-US"/>
        </w:rPr>
        <w:t xml:space="preserve">In 2015/2016 the Commission responded to 8170 enquiries made by the community for information and advice. Disability discrimination was the highest area of enquiry followed by race, sex, sexual harassment, age, </w:t>
      </w:r>
      <w:proofErr w:type="gramStart"/>
      <w:r w:rsidRPr="0077375F">
        <w:rPr>
          <w:lang w:eastAsia="en-US"/>
        </w:rPr>
        <w:t>carer</w:t>
      </w:r>
      <w:proofErr w:type="gramEnd"/>
      <w:r w:rsidRPr="0077375F">
        <w:rPr>
          <w:lang w:eastAsia="en-US"/>
        </w:rPr>
        <w:t>/parental status and employment activity.</w:t>
      </w:r>
      <w:r w:rsidR="001B0C5C">
        <w:rPr>
          <w:lang w:eastAsia="en-US"/>
        </w:rPr>
        <w:t xml:space="preserve"> </w:t>
      </w:r>
      <w:r w:rsidRPr="0077375F">
        <w:rPr>
          <w:lang w:eastAsia="en-US"/>
        </w:rPr>
        <w:t xml:space="preserve">The Commission accepted 865 complaint files for dispute resolution. The largest area of complaint was employment followed by goods and services, and education. Disability was the most frequent attribute in complaints of </w:t>
      </w:r>
      <w:r w:rsidRPr="0077375F">
        <w:rPr>
          <w:lang w:eastAsia="en-US"/>
        </w:rPr>
        <w:lastRenderedPageBreak/>
        <w:t xml:space="preserve">discrimination, followed by race, sex, sexual harassment, age, employment activity and physical features. </w:t>
      </w:r>
    </w:p>
    <w:p w14:paraId="2364FE49" w14:textId="0723DE0D" w:rsidR="0077375F" w:rsidRPr="0077375F" w:rsidRDefault="0077375F" w:rsidP="0077375F">
      <w:pPr>
        <w:pStyle w:val="VEOHRCChapterTitle"/>
        <w:rPr>
          <w:lang w:eastAsia="en-US"/>
        </w:rPr>
      </w:pPr>
      <w:r w:rsidRPr="0077375F">
        <w:rPr>
          <w:lang w:eastAsia="en-US"/>
        </w:rPr>
        <w:lastRenderedPageBreak/>
        <w:t>About the Commission</w:t>
      </w:r>
    </w:p>
    <w:p w14:paraId="747C092A" w14:textId="77777777" w:rsidR="0077375F" w:rsidRPr="0077375F" w:rsidRDefault="0077375F" w:rsidP="0077375F">
      <w:pPr>
        <w:pStyle w:val="VEOHRCHeading2"/>
        <w:rPr>
          <w:lang w:eastAsia="en-US"/>
        </w:rPr>
      </w:pPr>
      <w:r w:rsidRPr="0077375F">
        <w:rPr>
          <w:lang w:eastAsia="en-US"/>
        </w:rPr>
        <w:t>Our laws</w:t>
      </w:r>
    </w:p>
    <w:p w14:paraId="55787782" w14:textId="77777777" w:rsidR="0077375F" w:rsidRPr="0077375F" w:rsidRDefault="0077375F" w:rsidP="0077375F">
      <w:pPr>
        <w:pStyle w:val="VEOHRCBodytext"/>
        <w:rPr>
          <w:lang w:eastAsia="en-US"/>
        </w:rPr>
      </w:pPr>
      <w:r w:rsidRPr="0077375F">
        <w:rPr>
          <w:lang w:eastAsia="en-US"/>
        </w:rPr>
        <w:t xml:space="preserve">The Victorian Equal Opportunity and Human Rights Commission is an independent statutory body that reports to Parliament through the </w:t>
      </w:r>
      <w:proofErr w:type="gramStart"/>
      <w:r w:rsidRPr="0077375F">
        <w:rPr>
          <w:lang w:eastAsia="en-US"/>
        </w:rPr>
        <w:t>Attorney-General</w:t>
      </w:r>
      <w:proofErr w:type="gramEnd"/>
      <w:r w:rsidRPr="0077375F">
        <w:rPr>
          <w:lang w:eastAsia="en-US"/>
        </w:rPr>
        <w:t>.</w:t>
      </w:r>
    </w:p>
    <w:p w14:paraId="098D9BC2" w14:textId="1E0CEDE6" w:rsidR="0077375F" w:rsidRPr="0077375F" w:rsidRDefault="0077375F" w:rsidP="0077375F">
      <w:pPr>
        <w:pStyle w:val="VEOHRCBodytext"/>
        <w:rPr>
          <w:lang w:eastAsia="en-US"/>
        </w:rPr>
      </w:pPr>
      <w:r w:rsidRPr="0077375F">
        <w:rPr>
          <w:lang w:eastAsia="en-US"/>
        </w:rPr>
        <w:t>The Commission has responsibilities under</w:t>
      </w:r>
      <w:r w:rsidR="001B0C5C">
        <w:rPr>
          <w:lang w:eastAsia="en-US"/>
        </w:rPr>
        <w:t xml:space="preserve"> </w:t>
      </w:r>
      <w:r w:rsidRPr="0077375F">
        <w:rPr>
          <w:lang w:eastAsia="en-US"/>
        </w:rPr>
        <w:t>three laws:</w:t>
      </w:r>
    </w:p>
    <w:p w14:paraId="189D19AD" w14:textId="77777777" w:rsidR="0077375F" w:rsidRPr="0077375F" w:rsidRDefault="0077375F" w:rsidP="0077375F">
      <w:pPr>
        <w:pStyle w:val="VEOHRCListBullet"/>
        <w:rPr>
          <w:i/>
          <w:lang w:eastAsia="en-US"/>
        </w:rPr>
      </w:pPr>
      <w:r w:rsidRPr="0077375F">
        <w:rPr>
          <w:i/>
          <w:lang w:eastAsia="en-US"/>
        </w:rPr>
        <w:t>Equal Opportunity Act 2010</w:t>
      </w:r>
    </w:p>
    <w:p w14:paraId="5DEEBE2A" w14:textId="77777777" w:rsidR="0077375F" w:rsidRPr="0077375F" w:rsidRDefault="0077375F" w:rsidP="0077375F">
      <w:pPr>
        <w:pStyle w:val="VEOHRCListBullet"/>
        <w:rPr>
          <w:i/>
          <w:lang w:eastAsia="en-US"/>
        </w:rPr>
      </w:pPr>
      <w:r w:rsidRPr="0077375F">
        <w:rPr>
          <w:i/>
          <w:lang w:eastAsia="en-US"/>
        </w:rPr>
        <w:t>Racial and Religious Tolerance Act 2001</w:t>
      </w:r>
    </w:p>
    <w:p w14:paraId="2B023391"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i/>
          <w:lang w:eastAsia="en-US"/>
        </w:rPr>
      </w:pPr>
      <w:r w:rsidRPr="0077375F">
        <w:rPr>
          <w:rStyle w:val="VEOHRCBodytextChar"/>
          <w:i/>
          <w:lang w:eastAsia="en-US"/>
        </w:rPr>
        <w:t>Charter of Human Rights and Responsibilities Act 2006</w:t>
      </w:r>
      <w:r w:rsidRPr="0077375F">
        <w:rPr>
          <w:rStyle w:val="VEOHRCBodytextChar"/>
          <w:lang w:eastAsia="en-US"/>
        </w:rPr>
        <w:t xml:space="preserve"> (the Charter)</w:t>
      </w:r>
      <w:r w:rsidRPr="0077375F">
        <w:rPr>
          <w:rStyle w:val="VEOHRCBodytextChar"/>
          <w:i/>
          <w:lang w:eastAsia="en-US"/>
        </w:rPr>
        <w:t xml:space="preserve">. </w:t>
      </w:r>
    </w:p>
    <w:p w14:paraId="0E810125"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The Equal Opportunity Act</w:t>
      </w:r>
      <w:r w:rsidRPr="0077375F">
        <w:rPr>
          <w:rStyle w:val="VEOHRCBodytextChar"/>
          <w:i/>
          <w:lang w:eastAsia="en-US"/>
        </w:rPr>
        <w:t xml:space="preserve"> </w:t>
      </w:r>
      <w:r w:rsidRPr="0077375F">
        <w:rPr>
          <w:rStyle w:val="VEOHRCBodytextChar"/>
          <w:lang w:eastAsia="en-US"/>
        </w:rPr>
        <w:t>makes it against the law to discriminate against people on the basis of a number of personal characteristics or attributes. It also prohibits sexual harassment and victimisation.</w:t>
      </w:r>
    </w:p>
    <w:p w14:paraId="06159627" w14:textId="77777777" w:rsidR="0077375F" w:rsidRPr="0077375F" w:rsidRDefault="0077375F" w:rsidP="0077375F">
      <w:pPr>
        <w:pStyle w:val="VEOHRCBodytext"/>
        <w:rPr>
          <w:lang w:eastAsia="en-US"/>
        </w:rPr>
      </w:pPr>
      <w:r w:rsidRPr="0077375F">
        <w:rPr>
          <w:lang w:eastAsia="en-US"/>
        </w:rPr>
        <w:t>The Racial and Religious Tolerance Act makes it against the law to vilify people because of their race or religion.</w:t>
      </w:r>
    </w:p>
    <w:p w14:paraId="24F787F2" w14:textId="77777777" w:rsidR="0077375F" w:rsidRDefault="0077375F" w:rsidP="0077375F">
      <w:pPr>
        <w:pStyle w:val="VEOHRCBodytext"/>
        <w:rPr>
          <w:lang w:eastAsia="en-US"/>
        </w:rPr>
      </w:pPr>
      <w:r w:rsidRPr="0077375F">
        <w:rPr>
          <w:lang w:eastAsia="en-US"/>
        </w:rPr>
        <w:t xml:space="preserve">The Charter identifies 20 human rights applicable to all Victorians, and requires government and public bodies to consider these rights when making laws and providing services. </w:t>
      </w:r>
    </w:p>
    <w:p w14:paraId="46335F24" w14:textId="52DDE06D" w:rsidR="0077375F" w:rsidRPr="0077375F" w:rsidRDefault="0077375F" w:rsidP="0077375F">
      <w:pPr>
        <w:pStyle w:val="VEOHRCBodytext"/>
        <w:rPr>
          <w:lang w:eastAsia="en-US"/>
        </w:rPr>
      </w:pPr>
      <w:r w:rsidRPr="0077375F">
        <w:rPr>
          <w:lang w:eastAsia="en-US"/>
        </w:rPr>
        <w:t>These Acts also allow the Commission to undertake a range of functions, including:</w:t>
      </w:r>
    </w:p>
    <w:p w14:paraId="3BD5C1C5" w14:textId="77777777" w:rsidR="0077375F" w:rsidRPr="0077375F" w:rsidRDefault="0077375F" w:rsidP="0077375F">
      <w:pPr>
        <w:pStyle w:val="VEOHRCListBullet"/>
        <w:rPr>
          <w:lang w:eastAsia="en-US"/>
        </w:rPr>
      </w:pPr>
      <w:proofErr w:type="gramStart"/>
      <w:r w:rsidRPr="0077375F">
        <w:rPr>
          <w:lang w:eastAsia="en-US"/>
        </w:rPr>
        <w:t>promoting</w:t>
      </w:r>
      <w:proofErr w:type="gramEnd"/>
      <w:r w:rsidRPr="0077375F">
        <w:rPr>
          <w:lang w:eastAsia="en-US"/>
        </w:rPr>
        <w:t xml:space="preserve"> and advancing the objectives of these Acts and advocating for these laws</w:t>
      </w:r>
    </w:p>
    <w:p w14:paraId="1277664E" w14:textId="77777777" w:rsidR="0077375F" w:rsidRPr="0077375F" w:rsidRDefault="0077375F" w:rsidP="0077375F">
      <w:pPr>
        <w:pStyle w:val="VEOHRCListBullet"/>
        <w:rPr>
          <w:lang w:eastAsia="en-US"/>
        </w:rPr>
      </w:pPr>
      <w:proofErr w:type="gramStart"/>
      <w:r w:rsidRPr="0077375F">
        <w:rPr>
          <w:lang w:eastAsia="en-US"/>
        </w:rPr>
        <w:t>informing</w:t>
      </w:r>
      <w:proofErr w:type="gramEnd"/>
      <w:r w:rsidRPr="0077375F">
        <w:rPr>
          <w:lang w:eastAsia="en-US"/>
        </w:rPr>
        <w:t xml:space="preserve"> and educating people about their rights and responsibilities under these laws</w:t>
      </w:r>
    </w:p>
    <w:p w14:paraId="099C799C" w14:textId="77777777" w:rsidR="0077375F" w:rsidRPr="0077375F" w:rsidRDefault="0077375F" w:rsidP="0077375F">
      <w:pPr>
        <w:pStyle w:val="VEOHRCListBullet"/>
        <w:rPr>
          <w:lang w:eastAsia="en-US"/>
        </w:rPr>
      </w:pPr>
      <w:proofErr w:type="gramStart"/>
      <w:r w:rsidRPr="0077375F">
        <w:rPr>
          <w:lang w:eastAsia="en-US"/>
        </w:rPr>
        <w:t>helping</w:t>
      </w:r>
      <w:proofErr w:type="gramEnd"/>
      <w:r w:rsidRPr="0077375F">
        <w:rPr>
          <w:lang w:eastAsia="en-US"/>
        </w:rPr>
        <w:t xml:space="preserve"> people resolve disputes about discrimination, sexual harassment, victimisation, and racial and religious vilification</w:t>
      </w:r>
    </w:p>
    <w:p w14:paraId="52F1FCC9" w14:textId="77777777" w:rsidR="0077375F" w:rsidRPr="0077375F" w:rsidRDefault="0077375F" w:rsidP="0077375F">
      <w:pPr>
        <w:pStyle w:val="VEOHRCListBullet"/>
        <w:rPr>
          <w:lang w:eastAsia="en-US"/>
        </w:rPr>
      </w:pPr>
      <w:proofErr w:type="gramStart"/>
      <w:r w:rsidRPr="0077375F">
        <w:rPr>
          <w:lang w:eastAsia="en-US"/>
        </w:rPr>
        <w:t>undertaking</w:t>
      </w:r>
      <w:proofErr w:type="gramEnd"/>
      <w:r w:rsidRPr="0077375F">
        <w:rPr>
          <w:lang w:eastAsia="en-US"/>
        </w:rPr>
        <w:t xml:space="preserve"> voluntary reviews of programs and practices to help people and organisations comply with the law</w:t>
      </w:r>
    </w:p>
    <w:p w14:paraId="287B7DD1" w14:textId="77777777" w:rsidR="0077375F" w:rsidRPr="0077375F" w:rsidRDefault="0077375F" w:rsidP="0077375F">
      <w:pPr>
        <w:pStyle w:val="VEOHRCListBullet"/>
        <w:rPr>
          <w:lang w:eastAsia="en-US"/>
        </w:rPr>
      </w:pPr>
      <w:proofErr w:type="gramStart"/>
      <w:r w:rsidRPr="0077375F">
        <w:rPr>
          <w:lang w:eastAsia="en-US"/>
        </w:rPr>
        <w:t>undertaking</w:t>
      </w:r>
      <w:proofErr w:type="gramEnd"/>
      <w:r w:rsidRPr="0077375F">
        <w:rPr>
          <w:lang w:eastAsia="en-US"/>
        </w:rPr>
        <w:t xml:space="preserve"> research to identify, understand and find solutions to systemic causes of discrimination and human rights breaches </w:t>
      </w:r>
    </w:p>
    <w:p w14:paraId="249689C1" w14:textId="77777777" w:rsidR="0077375F" w:rsidRPr="0077375F" w:rsidRDefault="0077375F" w:rsidP="0077375F">
      <w:pPr>
        <w:pStyle w:val="VEOHRCListBullet"/>
        <w:rPr>
          <w:lang w:eastAsia="en-US"/>
        </w:rPr>
      </w:pPr>
      <w:proofErr w:type="gramStart"/>
      <w:r w:rsidRPr="0077375F">
        <w:rPr>
          <w:lang w:eastAsia="en-US"/>
        </w:rPr>
        <w:t>conducting</w:t>
      </w:r>
      <w:proofErr w:type="gramEnd"/>
      <w:r w:rsidRPr="0077375F">
        <w:rPr>
          <w:lang w:eastAsia="en-US"/>
        </w:rPr>
        <w:t xml:space="preserve"> investigations to identify and eliminate systemic discrimination </w:t>
      </w:r>
    </w:p>
    <w:p w14:paraId="3E2F67E3" w14:textId="77777777" w:rsidR="0077375F" w:rsidRPr="0077375F" w:rsidRDefault="0077375F" w:rsidP="0077375F">
      <w:pPr>
        <w:pStyle w:val="VEOHRCListBullet"/>
        <w:rPr>
          <w:lang w:eastAsia="en-US"/>
        </w:rPr>
      </w:pPr>
      <w:proofErr w:type="gramStart"/>
      <w:r w:rsidRPr="0077375F">
        <w:rPr>
          <w:lang w:eastAsia="en-US"/>
        </w:rPr>
        <w:t>intervening</w:t>
      </w:r>
      <w:proofErr w:type="gramEnd"/>
      <w:r w:rsidRPr="0077375F">
        <w:rPr>
          <w:lang w:eastAsia="en-US"/>
        </w:rPr>
        <w:t xml:space="preserve"> in court and tribunal proceedings that involve equal opportunity and human rights issues</w:t>
      </w:r>
    </w:p>
    <w:p w14:paraId="3BB140D6" w14:textId="77777777" w:rsidR="0077375F" w:rsidRPr="0077375F" w:rsidRDefault="0077375F" w:rsidP="0077375F">
      <w:pPr>
        <w:pStyle w:val="VEOHRCListBullet"/>
        <w:rPr>
          <w:lang w:eastAsia="en-US"/>
        </w:rPr>
      </w:pPr>
      <w:proofErr w:type="gramStart"/>
      <w:r w:rsidRPr="0077375F">
        <w:rPr>
          <w:lang w:eastAsia="en-US"/>
        </w:rPr>
        <w:t>reporting</w:t>
      </w:r>
      <w:proofErr w:type="gramEnd"/>
      <w:r w:rsidRPr="0077375F">
        <w:rPr>
          <w:lang w:eastAsia="en-US"/>
        </w:rPr>
        <w:t xml:space="preserve"> to government about the operation of the Charter and about the Commission’s education and research</w:t>
      </w:r>
    </w:p>
    <w:p w14:paraId="42287EBF" w14:textId="77777777" w:rsidR="0077375F" w:rsidRDefault="0077375F" w:rsidP="0077375F">
      <w:pPr>
        <w:pStyle w:val="VEOHRCListBullet"/>
        <w:rPr>
          <w:lang w:eastAsia="en-US"/>
        </w:rPr>
      </w:pPr>
      <w:proofErr w:type="gramStart"/>
      <w:r w:rsidRPr="0077375F">
        <w:rPr>
          <w:lang w:eastAsia="en-US"/>
        </w:rPr>
        <w:t>advising</w:t>
      </w:r>
      <w:proofErr w:type="gramEnd"/>
      <w:r w:rsidRPr="0077375F">
        <w:rPr>
          <w:lang w:eastAsia="en-US"/>
        </w:rPr>
        <w:t xml:space="preserve"> government on anything relevant to the Charter or discriminatory provisions of any Act.</w:t>
      </w:r>
    </w:p>
    <w:p w14:paraId="7E3291C9" w14:textId="47271A4B" w:rsidR="0077375F" w:rsidRPr="0077375F" w:rsidRDefault="0077375F" w:rsidP="0077375F">
      <w:pPr>
        <w:pStyle w:val="VEOHRCHeading2"/>
        <w:rPr>
          <w:lang w:eastAsia="en-US"/>
        </w:rPr>
      </w:pPr>
      <w:r w:rsidRPr="0077375F">
        <w:rPr>
          <w:lang w:eastAsia="en-US"/>
        </w:rPr>
        <w:t xml:space="preserve">Strategic Plan </w:t>
      </w:r>
    </w:p>
    <w:p w14:paraId="750FBF68"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Our </w:t>
      </w:r>
      <w:r w:rsidRPr="0077375F">
        <w:rPr>
          <w:rStyle w:val="VEOHRCBodytextChar"/>
          <w:i/>
          <w:lang w:eastAsia="en-US"/>
        </w:rPr>
        <w:t xml:space="preserve">2014–16 Strategic Plan </w:t>
      </w:r>
      <w:r w:rsidRPr="0077375F">
        <w:rPr>
          <w:rStyle w:val="VEOHRCBodytextChar"/>
          <w:lang w:eastAsia="en-US"/>
        </w:rPr>
        <w:t>outlines the Commission’s key priorities as targeted impact, systemic change and community engagement. Those priorities are defined as follows:</w:t>
      </w:r>
    </w:p>
    <w:p w14:paraId="782EEE7E" w14:textId="77777777" w:rsidR="0077375F" w:rsidRPr="0077375F" w:rsidRDefault="0077375F" w:rsidP="0077375F">
      <w:pPr>
        <w:pStyle w:val="VEOHRCHeading3"/>
        <w:rPr>
          <w:lang w:eastAsia="en-US"/>
        </w:rPr>
      </w:pPr>
      <w:r w:rsidRPr="0077375F">
        <w:rPr>
          <w:lang w:eastAsia="en-US"/>
        </w:rPr>
        <w:t>Targeted impact</w:t>
      </w:r>
    </w:p>
    <w:p w14:paraId="3B803F66" w14:textId="16BDDA1F" w:rsidR="0077375F" w:rsidRPr="0077375F" w:rsidRDefault="0077375F" w:rsidP="0077375F">
      <w:pPr>
        <w:pStyle w:val="VEOHRCBodytext"/>
        <w:rPr>
          <w:lang w:eastAsia="en-US"/>
        </w:rPr>
      </w:pPr>
      <w:r w:rsidRPr="0077375F">
        <w:rPr>
          <w:lang w:eastAsia="en-US"/>
        </w:rPr>
        <w:t>We will work with people whose rights are</w:t>
      </w:r>
      <w:r w:rsidR="001B0C5C">
        <w:rPr>
          <w:lang w:eastAsia="en-US"/>
        </w:rPr>
        <w:t xml:space="preserve"> </w:t>
      </w:r>
      <w:r w:rsidRPr="0077375F">
        <w:rPr>
          <w:lang w:eastAsia="en-US"/>
        </w:rPr>
        <w:t>being breached and the organisations that</w:t>
      </w:r>
      <w:r w:rsidR="001B0C5C">
        <w:rPr>
          <w:lang w:eastAsia="en-US"/>
        </w:rPr>
        <w:t xml:space="preserve"> </w:t>
      </w:r>
      <w:r w:rsidRPr="0077375F">
        <w:rPr>
          <w:lang w:eastAsia="en-US"/>
        </w:rPr>
        <w:t>work with them.</w:t>
      </w:r>
    </w:p>
    <w:p w14:paraId="420D0DFC" w14:textId="77777777" w:rsidR="0077375F" w:rsidRPr="0077375F" w:rsidRDefault="0077375F" w:rsidP="0077375F">
      <w:pPr>
        <w:pStyle w:val="VEOHRCBodytext"/>
        <w:rPr>
          <w:lang w:eastAsia="en-US"/>
        </w:rPr>
      </w:pPr>
      <w:r w:rsidRPr="0077375F">
        <w:rPr>
          <w:lang w:eastAsia="en-US"/>
        </w:rPr>
        <w:t>Our priority groups will be:</w:t>
      </w:r>
    </w:p>
    <w:p w14:paraId="09DE65E6" w14:textId="77777777" w:rsidR="0077375F" w:rsidRPr="0077375F" w:rsidRDefault="0077375F" w:rsidP="0077375F">
      <w:pPr>
        <w:pStyle w:val="VEOHRCListBullet"/>
        <w:rPr>
          <w:lang w:eastAsia="en-US"/>
        </w:rPr>
      </w:pPr>
      <w:proofErr w:type="gramStart"/>
      <w:r w:rsidRPr="0077375F">
        <w:rPr>
          <w:lang w:eastAsia="en-US"/>
        </w:rPr>
        <w:lastRenderedPageBreak/>
        <w:t>people</w:t>
      </w:r>
      <w:proofErr w:type="gramEnd"/>
      <w:r w:rsidRPr="0077375F">
        <w:rPr>
          <w:lang w:eastAsia="en-US"/>
        </w:rPr>
        <w:t xml:space="preserve"> experiencing racial and religious discrimination and vilification</w:t>
      </w:r>
    </w:p>
    <w:p w14:paraId="33F7EADE" w14:textId="77777777" w:rsidR="0077375F" w:rsidRPr="0077375F" w:rsidRDefault="0077375F" w:rsidP="0077375F">
      <w:pPr>
        <w:pStyle w:val="VEOHRCListBullet"/>
        <w:rPr>
          <w:lang w:eastAsia="en-US"/>
        </w:rPr>
      </w:pPr>
      <w:proofErr w:type="gramStart"/>
      <w:r w:rsidRPr="0077375F">
        <w:rPr>
          <w:lang w:eastAsia="en-US"/>
        </w:rPr>
        <w:t>people</w:t>
      </w:r>
      <w:proofErr w:type="gramEnd"/>
      <w:r w:rsidRPr="0077375F">
        <w:rPr>
          <w:lang w:eastAsia="en-US"/>
        </w:rPr>
        <w:t xml:space="preserve"> with disabilities</w:t>
      </w:r>
    </w:p>
    <w:p w14:paraId="48FA16F9" w14:textId="77777777" w:rsidR="0077375F" w:rsidRPr="0077375F" w:rsidRDefault="0077375F" w:rsidP="0077375F">
      <w:pPr>
        <w:pStyle w:val="VEOHRCListBullet"/>
        <w:rPr>
          <w:lang w:eastAsia="en-US"/>
        </w:rPr>
      </w:pPr>
      <w:proofErr w:type="gramStart"/>
      <w:r w:rsidRPr="0077375F">
        <w:rPr>
          <w:lang w:eastAsia="en-US"/>
        </w:rPr>
        <w:t>women</w:t>
      </w:r>
      <w:proofErr w:type="gramEnd"/>
      <w:r w:rsidRPr="0077375F">
        <w:rPr>
          <w:lang w:eastAsia="en-US"/>
        </w:rPr>
        <w:t xml:space="preserve">. </w:t>
      </w:r>
    </w:p>
    <w:p w14:paraId="3D501D82" w14:textId="77777777" w:rsidR="0077375F" w:rsidRPr="0077375F" w:rsidRDefault="0077375F" w:rsidP="0077375F">
      <w:pPr>
        <w:pStyle w:val="VEOHRCHeading3"/>
        <w:rPr>
          <w:lang w:eastAsia="en-US"/>
        </w:rPr>
      </w:pPr>
      <w:r w:rsidRPr="0077375F">
        <w:rPr>
          <w:lang w:eastAsia="en-US"/>
        </w:rPr>
        <w:t>Systemic change</w:t>
      </w:r>
    </w:p>
    <w:p w14:paraId="4588CFE7" w14:textId="77777777" w:rsidR="0077375F" w:rsidRPr="0077375F" w:rsidRDefault="0077375F" w:rsidP="0077375F">
      <w:pPr>
        <w:pStyle w:val="VEOHRCBodytext"/>
        <w:rPr>
          <w:lang w:eastAsia="en-US"/>
        </w:rPr>
      </w:pPr>
      <w:r w:rsidRPr="0077375F">
        <w:rPr>
          <w:lang w:eastAsia="en-US"/>
        </w:rPr>
        <w:t>We will work with employers, government and service providers to equip them to meet their obligations and drive systemic change.</w:t>
      </w:r>
    </w:p>
    <w:p w14:paraId="2C9CBC4B" w14:textId="77777777" w:rsidR="0077375F" w:rsidRPr="0077375F" w:rsidRDefault="0077375F" w:rsidP="0077375F">
      <w:pPr>
        <w:pStyle w:val="VEOHRCBodytext"/>
        <w:rPr>
          <w:lang w:eastAsia="en-US"/>
        </w:rPr>
      </w:pPr>
      <w:r w:rsidRPr="0077375F">
        <w:rPr>
          <w:lang w:eastAsia="en-US"/>
        </w:rPr>
        <w:t>Our priority areas will be:</w:t>
      </w:r>
    </w:p>
    <w:p w14:paraId="13F047E4" w14:textId="77777777" w:rsidR="0077375F" w:rsidRPr="0077375F" w:rsidRDefault="0077375F" w:rsidP="0077375F">
      <w:pPr>
        <w:pStyle w:val="VEOHRCListBullet"/>
        <w:rPr>
          <w:lang w:eastAsia="en-US"/>
        </w:rPr>
      </w:pPr>
      <w:proofErr w:type="gramStart"/>
      <w:r w:rsidRPr="0077375F">
        <w:rPr>
          <w:lang w:eastAsia="en-US"/>
        </w:rPr>
        <w:t>employment</w:t>
      </w:r>
      <w:proofErr w:type="gramEnd"/>
    </w:p>
    <w:p w14:paraId="0402A39D" w14:textId="77777777" w:rsidR="0077375F" w:rsidRPr="0077375F" w:rsidRDefault="0077375F" w:rsidP="0077375F">
      <w:pPr>
        <w:pStyle w:val="VEOHRCListBullet"/>
        <w:rPr>
          <w:lang w:eastAsia="en-US"/>
        </w:rPr>
      </w:pPr>
      <w:proofErr w:type="gramStart"/>
      <w:r w:rsidRPr="0077375F">
        <w:rPr>
          <w:lang w:eastAsia="en-US"/>
        </w:rPr>
        <w:t>sport</w:t>
      </w:r>
      <w:proofErr w:type="gramEnd"/>
    </w:p>
    <w:p w14:paraId="744B70D5" w14:textId="77777777" w:rsidR="0077375F" w:rsidRPr="0077375F" w:rsidRDefault="0077375F" w:rsidP="0077375F">
      <w:pPr>
        <w:pStyle w:val="VEOHRCListBullet"/>
        <w:rPr>
          <w:lang w:eastAsia="en-US"/>
        </w:rPr>
      </w:pPr>
      <w:proofErr w:type="gramStart"/>
      <w:r w:rsidRPr="0077375F">
        <w:rPr>
          <w:lang w:eastAsia="en-US"/>
        </w:rPr>
        <w:t>the</w:t>
      </w:r>
      <w:proofErr w:type="gramEnd"/>
      <w:r w:rsidRPr="0077375F">
        <w:rPr>
          <w:lang w:eastAsia="en-US"/>
        </w:rPr>
        <w:t xml:space="preserve"> justice system</w:t>
      </w:r>
    </w:p>
    <w:p w14:paraId="0D34A16E" w14:textId="77777777" w:rsidR="0077375F" w:rsidRPr="0077375F" w:rsidRDefault="0077375F" w:rsidP="0077375F">
      <w:pPr>
        <w:pStyle w:val="VEOHRCListBullet"/>
        <w:rPr>
          <w:lang w:eastAsia="en-US"/>
        </w:rPr>
      </w:pPr>
      <w:proofErr w:type="gramStart"/>
      <w:r w:rsidRPr="0077375F">
        <w:rPr>
          <w:lang w:eastAsia="en-US"/>
        </w:rPr>
        <w:t>the</w:t>
      </w:r>
      <w:proofErr w:type="gramEnd"/>
      <w:r w:rsidRPr="0077375F">
        <w:rPr>
          <w:lang w:eastAsia="en-US"/>
        </w:rPr>
        <w:t xml:space="preserve"> public sector.</w:t>
      </w:r>
    </w:p>
    <w:p w14:paraId="3721AACA" w14:textId="77777777" w:rsidR="0077375F" w:rsidRPr="0077375F" w:rsidRDefault="0077375F" w:rsidP="0077375F">
      <w:pPr>
        <w:pStyle w:val="VEOHRCHeading3"/>
        <w:rPr>
          <w:lang w:eastAsia="en-US"/>
        </w:rPr>
      </w:pPr>
      <w:r w:rsidRPr="0077375F">
        <w:rPr>
          <w:lang w:eastAsia="en-US"/>
        </w:rPr>
        <w:t>Community engagement</w:t>
      </w:r>
    </w:p>
    <w:p w14:paraId="21A1D935" w14:textId="77777777" w:rsidR="0077375F" w:rsidRPr="0077375F" w:rsidRDefault="0077375F" w:rsidP="0077375F">
      <w:pPr>
        <w:pStyle w:val="VEOHRCBodytext"/>
        <w:rPr>
          <w:lang w:eastAsia="en-US"/>
        </w:rPr>
      </w:pPr>
      <w:r w:rsidRPr="0077375F">
        <w:rPr>
          <w:lang w:eastAsia="en-US"/>
        </w:rPr>
        <w:t>We will reach a wider audience of Victorians who have had little involvement with human rights and equal opportunity in the past by leading community conversation and empowering all Victorians to act.</w:t>
      </w:r>
    </w:p>
    <w:p w14:paraId="59168737" w14:textId="77777777" w:rsidR="0077375F" w:rsidRPr="0077375F" w:rsidRDefault="0077375F" w:rsidP="0077375F">
      <w:pPr>
        <w:pStyle w:val="VEOHRCBodytext"/>
        <w:rPr>
          <w:lang w:eastAsia="en-US"/>
        </w:rPr>
      </w:pPr>
      <w:r w:rsidRPr="0077375F">
        <w:rPr>
          <w:lang w:eastAsia="en-US"/>
        </w:rPr>
        <w:t>We will continually monitor the priority areas and identify new areas of need.</w:t>
      </w:r>
    </w:p>
    <w:p w14:paraId="6360A404" w14:textId="77777777" w:rsidR="0077375F" w:rsidRPr="0077375F" w:rsidRDefault="0077375F" w:rsidP="0077375F">
      <w:pPr>
        <w:pStyle w:val="VEOHRCHeading2"/>
        <w:rPr>
          <w:lang w:eastAsia="en-US"/>
        </w:rPr>
      </w:pPr>
      <w:r w:rsidRPr="0077375F">
        <w:rPr>
          <w:lang w:eastAsia="en-US"/>
        </w:rPr>
        <w:t>Vision</w:t>
      </w:r>
    </w:p>
    <w:p w14:paraId="0D8118C1" w14:textId="77777777" w:rsidR="0077375F" w:rsidRPr="0077375F" w:rsidRDefault="0077375F" w:rsidP="0077375F">
      <w:pPr>
        <w:pStyle w:val="VEOHRCBodytext"/>
        <w:rPr>
          <w:lang w:eastAsia="en-US"/>
        </w:rPr>
      </w:pPr>
      <w:r w:rsidRPr="0077375F">
        <w:rPr>
          <w:lang w:eastAsia="en-US"/>
        </w:rPr>
        <w:t>Inspired by the laws we regulate and our statutory functions, our vision is for a community where every person values, understands and respects human rights and equal opportunity.</w:t>
      </w:r>
    </w:p>
    <w:p w14:paraId="2C9F5BC9" w14:textId="77777777" w:rsidR="0077375F" w:rsidRPr="0077375F" w:rsidRDefault="0077375F" w:rsidP="0077375F">
      <w:pPr>
        <w:pStyle w:val="VEOHRCHeading2"/>
        <w:rPr>
          <w:lang w:eastAsia="en-US"/>
        </w:rPr>
      </w:pPr>
      <w:r w:rsidRPr="0077375F">
        <w:rPr>
          <w:lang w:eastAsia="en-US"/>
        </w:rPr>
        <w:t xml:space="preserve">Mission </w:t>
      </w:r>
    </w:p>
    <w:p w14:paraId="78910648" w14:textId="78CBB73E" w:rsidR="0077375F" w:rsidRPr="0077375F" w:rsidRDefault="0077375F" w:rsidP="0077375F">
      <w:pPr>
        <w:pStyle w:val="VEOHRCBodytext"/>
        <w:rPr>
          <w:lang w:eastAsia="en-US"/>
        </w:rPr>
      </w:pPr>
      <w:r w:rsidRPr="0077375F">
        <w:rPr>
          <w:lang w:eastAsia="en-US"/>
        </w:rPr>
        <w:t>To achieve our vision, we work with others to eliminate inequality and build a community</w:t>
      </w:r>
      <w:r w:rsidR="001B0C5C">
        <w:rPr>
          <w:lang w:eastAsia="en-US"/>
        </w:rPr>
        <w:t xml:space="preserve"> </w:t>
      </w:r>
      <w:r w:rsidRPr="0077375F">
        <w:rPr>
          <w:lang w:eastAsia="en-US"/>
        </w:rPr>
        <w:t>that respects and promotes human rights</w:t>
      </w:r>
      <w:r w:rsidR="001B0C5C">
        <w:rPr>
          <w:lang w:eastAsia="en-US"/>
        </w:rPr>
        <w:t xml:space="preserve"> </w:t>
      </w:r>
      <w:r w:rsidRPr="0077375F">
        <w:rPr>
          <w:lang w:eastAsia="en-US"/>
        </w:rPr>
        <w:t>and equal opportunity.</w:t>
      </w:r>
    </w:p>
    <w:p w14:paraId="6EAAF74F" w14:textId="77777777" w:rsidR="0077375F" w:rsidRPr="0077375F" w:rsidRDefault="0077375F" w:rsidP="0077375F">
      <w:pPr>
        <w:pStyle w:val="VEOHRCHeading2"/>
        <w:rPr>
          <w:lang w:eastAsia="en-US"/>
        </w:rPr>
      </w:pPr>
      <w:r w:rsidRPr="0077375F">
        <w:rPr>
          <w:lang w:eastAsia="en-US"/>
        </w:rPr>
        <w:t>Services</w:t>
      </w:r>
    </w:p>
    <w:p w14:paraId="2FDE74FB" w14:textId="77777777" w:rsidR="0077375F" w:rsidRPr="0077375F" w:rsidRDefault="0077375F" w:rsidP="0077375F">
      <w:pPr>
        <w:pStyle w:val="VEOHRCBodytext"/>
        <w:rPr>
          <w:lang w:eastAsia="en-US"/>
        </w:rPr>
      </w:pPr>
      <w:r w:rsidRPr="0077375F">
        <w:rPr>
          <w:lang w:eastAsia="en-US"/>
        </w:rPr>
        <w:t>Commission services include:</w:t>
      </w:r>
    </w:p>
    <w:p w14:paraId="043A8E97" w14:textId="77777777" w:rsidR="0077375F" w:rsidRPr="0077375F" w:rsidRDefault="0077375F" w:rsidP="0077375F">
      <w:pPr>
        <w:pStyle w:val="VEOHRCListBullet"/>
        <w:rPr>
          <w:lang w:eastAsia="en-US"/>
        </w:rPr>
      </w:pPr>
      <w:proofErr w:type="gramStart"/>
      <w:r w:rsidRPr="0077375F">
        <w:rPr>
          <w:lang w:eastAsia="en-US"/>
        </w:rPr>
        <w:t>an</w:t>
      </w:r>
      <w:proofErr w:type="gramEnd"/>
      <w:r w:rsidRPr="0077375F">
        <w:rPr>
          <w:lang w:eastAsia="en-US"/>
        </w:rPr>
        <w:t xml:space="preserve"> Enquiry Line service available by telephone, email or </w:t>
      </w:r>
      <w:proofErr w:type="spellStart"/>
      <w:r w:rsidRPr="0077375F">
        <w:rPr>
          <w:lang w:eastAsia="en-US"/>
        </w:rPr>
        <w:t>webchat</w:t>
      </w:r>
      <w:proofErr w:type="spellEnd"/>
    </w:p>
    <w:p w14:paraId="557CDC52" w14:textId="77777777" w:rsidR="0077375F" w:rsidRPr="0077375F" w:rsidRDefault="0077375F" w:rsidP="0077375F">
      <w:pPr>
        <w:pStyle w:val="VEOHRCListBullet"/>
        <w:rPr>
          <w:lang w:eastAsia="en-US"/>
        </w:rPr>
      </w:pPr>
      <w:proofErr w:type="gramStart"/>
      <w:r w:rsidRPr="0077375F">
        <w:rPr>
          <w:lang w:eastAsia="en-US"/>
        </w:rPr>
        <w:t>a</w:t>
      </w:r>
      <w:proofErr w:type="gramEnd"/>
      <w:r w:rsidRPr="0077375F">
        <w:rPr>
          <w:lang w:eastAsia="en-US"/>
        </w:rPr>
        <w:t xml:space="preserve"> free, fair and timely dispute resolution service </w:t>
      </w:r>
    </w:p>
    <w:p w14:paraId="321D08BC" w14:textId="77777777" w:rsidR="0077375F" w:rsidRPr="0077375F" w:rsidRDefault="0077375F" w:rsidP="0077375F">
      <w:pPr>
        <w:pStyle w:val="VEOHRCListBullet"/>
        <w:rPr>
          <w:lang w:eastAsia="en-US"/>
        </w:rPr>
      </w:pPr>
      <w:proofErr w:type="gramStart"/>
      <w:r w:rsidRPr="0077375F">
        <w:rPr>
          <w:lang w:eastAsia="en-US"/>
        </w:rPr>
        <w:t>online</w:t>
      </w:r>
      <w:proofErr w:type="gramEnd"/>
      <w:r w:rsidRPr="0077375F">
        <w:rPr>
          <w:lang w:eastAsia="en-US"/>
        </w:rPr>
        <w:t xml:space="preserve"> and printed information and resources about rights and responsibilities under Victoria’s equal opportunity and human rights laws</w:t>
      </w:r>
    </w:p>
    <w:p w14:paraId="1EE4F10F" w14:textId="77777777" w:rsidR="0077375F" w:rsidRPr="0077375F" w:rsidRDefault="0077375F" w:rsidP="0077375F">
      <w:pPr>
        <w:pStyle w:val="VEOHRCListBullet"/>
        <w:rPr>
          <w:lang w:eastAsia="en-US"/>
        </w:rPr>
      </w:pPr>
      <w:proofErr w:type="gramStart"/>
      <w:r w:rsidRPr="0077375F">
        <w:rPr>
          <w:lang w:eastAsia="en-US"/>
        </w:rPr>
        <w:t>an</w:t>
      </w:r>
      <w:proofErr w:type="gramEnd"/>
      <w:r w:rsidRPr="0077375F">
        <w:rPr>
          <w:lang w:eastAsia="en-US"/>
        </w:rPr>
        <w:t xml:space="preserve"> education and consultancy service to equip corporate and community organisations and advocates with skills and knowledge to comply with human rights and equal opportunity laws and develop good practice </w:t>
      </w:r>
    </w:p>
    <w:p w14:paraId="5000A158" w14:textId="77777777" w:rsidR="0077375F" w:rsidRPr="0077375F" w:rsidRDefault="0077375F" w:rsidP="0077375F">
      <w:pPr>
        <w:pStyle w:val="VEOHRCListBullet"/>
        <w:rPr>
          <w:lang w:eastAsia="en-US"/>
        </w:rPr>
      </w:pPr>
      <w:proofErr w:type="gramStart"/>
      <w:r w:rsidRPr="0077375F">
        <w:rPr>
          <w:lang w:eastAsia="en-US"/>
        </w:rPr>
        <w:t>reviews</w:t>
      </w:r>
      <w:proofErr w:type="gramEnd"/>
      <w:r w:rsidRPr="0077375F">
        <w:rPr>
          <w:lang w:eastAsia="en-US"/>
        </w:rPr>
        <w:t xml:space="preserve"> of programs and practices for public authorities to assess their compatibility with the Charter</w:t>
      </w:r>
    </w:p>
    <w:p w14:paraId="433A7F17" w14:textId="77777777" w:rsidR="0077375F" w:rsidRPr="0077375F" w:rsidRDefault="0077375F" w:rsidP="0077375F">
      <w:pPr>
        <w:pStyle w:val="VEOHRCListBullet"/>
        <w:rPr>
          <w:lang w:eastAsia="en-US"/>
        </w:rPr>
      </w:pPr>
      <w:proofErr w:type="gramStart"/>
      <w:r w:rsidRPr="0077375F">
        <w:rPr>
          <w:lang w:eastAsia="en-US"/>
        </w:rPr>
        <w:t>conducting</w:t>
      </w:r>
      <w:proofErr w:type="gramEnd"/>
      <w:r w:rsidRPr="0077375F">
        <w:rPr>
          <w:lang w:eastAsia="en-US"/>
        </w:rPr>
        <w:t xml:space="preserve"> reviews into the policies and practices of public authorities to promote best practice compliance with human rights and equal opportunity law</w:t>
      </w:r>
    </w:p>
    <w:p w14:paraId="362A7231" w14:textId="0728EF75" w:rsidR="0077375F" w:rsidRPr="0077375F" w:rsidRDefault="0077375F" w:rsidP="00706CD4">
      <w:pPr>
        <w:pStyle w:val="VEOHRCListBullet"/>
        <w:rPr>
          <w:lang w:eastAsia="en-US"/>
        </w:rPr>
      </w:pPr>
      <w:proofErr w:type="gramStart"/>
      <w:r w:rsidRPr="0077375F">
        <w:rPr>
          <w:lang w:eastAsia="en-US"/>
        </w:rPr>
        <w:t>advice</w:t>
      </w:r>
      <w:proofErr w:type="gramEnd"/>
      <w:r w:rsidRPr="0077375F">
        <w:rPr>
          <w:lang w:eastAsia="en-US"/>
        </w:rPr>
        <w:t xml:space="preserve"> on the development of action plans to help people comply with their obligations under the Equal Opportunity Act.</w:t>
      </w:r>
      <w:r w:rsidR="001B0C5C">
        <w:rPr>
          <w:lang w:eastAsia="en-US"/>
        </w:rPr>
        <w:t xml:space="preserve"> </w:t>
      </w:r>
    </w:p>
    <w:p w14:paraId="156B9DAA" w14:textId="77777777" w:rsidR="0077375F" w:rsidRPr="0077375F" w:rsidRDefault="0077375F" w:rsidP="0077375F">
      <w:pPr>
        <w:pStyle w:val="VEOHRCHeading2"/>
        <w:rPr>
          <w:lang w:eastAsia="en-US"/>
        </w:rPr>
      </w:pPr>
      <w:r w:rsidRPr="0077375F">
        <w:rPr>
          <w:lang w:eastAsia="en-US"/>
        </w:rPr>
        <w:lastRenderedPageBreak/>
        <w:t xml:space="preserve">Structure </w:t>
      </w:r>
    </w:p>
    <w:p w14:paraId="5C8C50C2" w14:textId="77777777" w:rsidR="0077375F" w:rsidRPr="0077375F" w:rsidRDefault="0077375F" w:rsidP="0077375F">
      <w:pPr>
        <w:pStyle w:val="VEOHRCBodytext"/>
        <w:rPr>
          <w:lang w:eastAsia="en-US"/>
        </w:rPr>
      </w:pPr>
      <w:r w:rsidRPr="0077375F">
        <w:rPr>
          <w:lang w:eastAsia="en-US"/>
        </w:rPr>
        <w:t xml:space="preserve">The Commission has a Board of Governance comprising up to seven members appointed by the Governor-in-Council on the recommendation of the </w:t>
      </w:r>
      <w:proofErr w:type="gramStart"/>
      <w:r w:rsidRPr="0077375F">
        <w:rPr>
          <w:lang w:eastAsia="en-US"/>
        </w:rPr>
        <w:t>Attorney-General</w:t>
      </w:r>
      <w:proofErr w:type="gramEnd"/>
      <w:r w:rsidRPr="0077375F">
        <w:rPr>
          <w:lang w:eastAsia="en-US"/>
        </w:rPr>
        <w:t xml:space="preserve">. The Board is responsible for strategic direction and oversight. </w:t>
      </w:r>
    </w:p>
    <w:p w14:paraId="0E02FFB1" w14:textId="77777777" w:rsidR="0077375F" w:rsidRPr="0077375F" w:rsidRDefault="0077375F" w:rsidP="0077375F">
      <w:pPr>
        <w:pStyle w:val="VEOHRCBodytext"/>
        <w:rPr>
          <w:lang w:eastAsia="en-US"/>
        </w:rPr>
      </w:pPr>
      <w:r w:rsidRPr="0077375F">
        <w:rPr>
          <w:lang w:eastAsia="en-US"/>
        </w:rPr>
        <w:t xml:space="preserve">The Commissioner is responsible to the Board for the day-to-day operation of the Commission. The Commissioner represents the Commission at significant events and is the primary spokesperson. The Commissioner, supported by the Director, Commissioner’s Office, leads six units to deliver the work of the Commission: </w:t>
      </w:r>
    </w:p>
    <w:p w14:paraId="2417DB48" w14:textId="77777777" w:rsidR="0077375F" w:rsidRPr="0077375F" w:rsidRDefault="0077375F" w:rsidP="0077375F">
      <w:pPr>
        <w:pStyle w:val="VEOHRCHeading3"/>
        <w:rPr>
          <w:lang w:eastAsia="en-US"/>
        </w:rPr>
      </w:pPr>
      <w:r w:rsidRPr="0077375F">
        <w:rPr>
          <w:lang w:eastAsia="en-US"/>
        </w:rPr>
        <w:t>Strategic Projects and Policy Unit</w:t>
      </w:r>
    </w:p>
    <w:p w14:paraId="4244128D" w14:textId="77777777" w:rsidR="0077375F" w:rsidRPr="0077375F" w:rsidRDefault="0077375F" w:rsidP="0077375F">
      <w:pPr>
        <w:pStyle w:val="VEOHRCBodytext"/>
        <w:rPr>
          <w:lang w:eastAsia="en-US"/>
        </w:rPr>
      </w:pPr>
      <w:r w:rsidRPr="0077375F">
        <w:rPr>
          <w:lang w:eastAsia="en-US"/>
        </w:rPr>
        <w:t>Provides policy advice and direction within the Commission and manages key strategic projects that identify and seek to address systemic discrimination and human rights issues. The unit also works in conjunction with the Legal Unit to conduct reviews into the policies and practices of public authorities to promote best practice compliance with human rights and equal opportunity law.</w:t>
      </w:r>
    </w:p>
    <w:p w14:paraId="48888A4E" w14:textId="77777777" w:rsidR="0077375F" w:rsidRPr="0077375F" w:rsidRDefault="0077375F" w:rsidP="0077375F">
      <w:pPr>
        <w:pStyle w:val="VEOHRCHeading3"/>
        <w:rPr>
          <w:lang w:eastAsia="en-US"/>
        </w:rPr>
      </w:pPr>
      <w:r w:rsidRPr="0077375F">
        <w:rPr>
          <w:lang w:eastAsia="en-US"/>
        </w:rPr>
        <w:t xml:space="preserve">Dispute Resolution Unit </w:t>
      </w:r>
    </w:p>
    <w:p w14:paraId="392EBF6F" w14:textId="77777777" w:rsidR="0077375F" w:rsidRPr="0077375F" w:rsidRDefault="0077375F" w:rsidP="0077375F">
      <w:pPr>
        <w:pStyle w:val="VEOHRCBodytext"/>
        <w:rPr>
          <w:lang w:eastAsia="en-US"/>
        </w:rPr>
      </w:pPr>
      <w:r w:rsidRPr="0077375F">
        <w:rPr>
          <w:lang w:eastAsia="en-US"/>
        </w:rPr>
        <w:t xml:space="preserve">Manages the Commission’s Enquiry Line, delivers free community information sessions about our services, coordinates our </w:t>
      </w:r>
      <w:proofErr w:type="spellStart"/>
      <w:r w:rsidRPr="0077375F">
        <w:rPr>
          <w:lang w:eastAsia="en-US"/>
        </w:rPr>
        <w:t>statewide</w:t>
      </w:r>
      <w:proofErr w:type="spellEnd"/>
      <w:r w:rsidRPr="0077375F">
        <w:rPr>
          <w:lang w:eastAsia="en-US"/>
        </w:rPr>
        <w:t xml:space="preserve"> community liaison program and runs our dispute resolution service, resolving complaints of discrimination, sexual harassment, vilification and victimisation through conciliation.</w:t>
      </w:r>
    </w:p>
    <w:p w14:paraId="5172CAC8" w14:textId="77777777" w:rsidR="0077375F" w:rsidRPr="0077375F" w:rsidRDefault="0077375F" w:rsidP="0077375F">
      <w:pPr>
        <w:pStyle w:val="VEOHRCHeading3"/>
        <w:rPr>
          <w:lang w:eastAsia="en-US"/>
        </w:rPr>
      </w:pPr>
      <w:r w:rsidRPr="0077375F">
        <w:rPr>
          <w:lang w:eastAsia="en-US"/>
        </w:rPr>
        <w:t xml:space="preserve">Legal Unit </w:t>
      </w:r>
    </w:p>
    <w:p w14:paraId="60636738" w14:textId="77777777" w:rsidR="0077375F" w:rsidRDefault="0077375F" w:rsidP="0077375F">
      <w:pPr>
        <w:pStyle w:val="VEOHRCBodytext"/>
        <w:rPr>
          <w:lang w:eastAsia="en-US"/>
        </w:rPr>
      </w:pPr>
      <w:r w:rsidRPr="0077375F">
        <w:rPr>
          <w:lang w:eastAsia="en-US"/>
        </w:rPr>
        <w:t>Undertakes legal research and provides legal and policy advice (including submissions to government), oversees our intervention function, conducts public legal education seminars, develops legal resources for community use, and participates in legal forums and committees related to equal opportunity and human rights law. The unit also works in conjunction with the Strategic Projects and Policy Unit to conduct reviews into the policies and practices of public authorities to promote best practice compliance with human rights and equal opportunity law.</w:t>
      </w:r>
    </w:p>
    <w:p w14:paraId="0992B6C5" w14:textId="69399058" w:rsidR="0077375F" w:rsidRPr="0077375F" w:rsidRDefault="0077375F" w:rsidP="0077375F">
      <w:pPr>
        <w:pStyle w:val="VEOHRCHeading3"/>
        <w:rPr>
          <w:lang w:eastAsia="en-US"/>
        </w:rPr>
      </w:pPr>
      <w:r w:rsidRPr="0077375F">
        <w:rPr>
          <w:lang w:eastAsia="en-US"/>
        </w:rPr>
        <w:t xml:space="preserve">Education and Consultancy Services </w:t>
      </w:r>
    </w:p>
    <w:p w14:paraId="5C7A64D4" w14:textId="77777777" w:rsidR="0077375F" w:rsidRPr="0077375F" w:rsidRDefault="0077375F" w:rsidP="0077375F">
      <w:pPr>
        <w:pStyle w:val="VEOHRCBodytext"/>
        <w:rPr>
          <w:lang w:eastAsia="en-US"/>
        </w:rPr>
      </w:pPr>
      <w:r w:rsidRPr="0077375F">
        <w:rPr>
          <w:lang w:eastAsia="en-US"/>
        </w:rPr>
        <w:t xml:space="preserve">Delivers the Commission’s human rights and equal opportunity education through open enrolment programs, tailored workshops and organisational consultancy. Works extensively with community, corporate and government stakeholders to develop practical approaches to good human rights and equal opportunity practice. </w:t>
      </w:r>
    </w:p>
    <w:p w14:paraId="5E7AFADF" w14:textId="77777777" w:rsidR="0077375F" w:rsidRPr="0077375F" w:rsidRDefault="0077375F" w:rsidP="0077375F">
      <w:pPr>
        <w:pStyle w:val="VEOHRCHeading3"/>
        <w:rPr>
          <w:lang w:eastAsia="en-US"/>
        </w:rPr>
      </w:pPr>
      <w:r w:rsidRPr="0077375F">
        <w:rPr>
          <w:lang w:eastAsia="en-US"/>
        </w:rPr>
        <w:t xml:space="preserve">Communications Unit </w:t>
      </w:r>
    </w:p>
    <w:p w14:paraId="2EF71F65" w14:textId="77777777" w:rsidR="0077375F" w:rsidRPr="0077375F" w:rsidRDefault="0077375F" w:rsidP="0077375F">
      <w:pPr>
        <w:pStyle w:val="VEOHRCBodytext"/>
        <w:rPr>
          <w:lang w:eastAsia="en-US"/>
        </w:rPr>
      </w:pPr>
      <w:r w:rsidRPr="0077375F">
        <w:rPr>
          <w:lang w:eastAsia="en-US"/>
        </w:rPr>
        <w:t xml:space="preserve">Develops and delivers information and resources through a range of targeted publications, community events and online information, supports our research and policy work, develops social media and communication campaigns to increase awareness and build compliance, and maintains a strong public voice on human rights and equality issues. </w:t>
      </w:r>
    </w:p>
    <w:p w14:paraId="597C2C1F" w14:textId="77777777" w:rsidR="0077375F" w:rsidRPr="0077375F" w:rsidRDefault="0077375F" w:rsidP="0077375F">
      <w:pPr>
        <w:pStyle w:val="VEOHRCHeading3"/>
        <w:rPr>
          <w:lang w:eastAsia="en-US"/>
        </w:rPr>
      </w:pPr>
      <w:r w:rsidRPr="0077375F">
        <w:rPr>
          <w:lang w:eastAsia="en-US"/>
        </w:rPr>
        <w:t>Corporate Services Unit</w:t>
      </w:r>
    </w:p>
    <w:p w14:paraId="0BB59794" w14:textId="77777777" w:rsidR="0077375F" w:rsidRPr="0077375F" w:rsidRDefault="0077375F" w:rsidP="0077375F">
      <w:pPr>
        <w:pStyle w:val="VEOHRCBodytext"/>
        <w:rPr>
          <w:lang w:eastAsia="en-US"/>
        </w:rPr>
      </w:pPr>
      <w:r w:rsidRPr="0077375F">
        <w:rPr>
          <w:lang w:eastAsia="en-US"/>
        </w:rPr>
        <w:t xml:space="preserve">Shared with the Office of the Public Advocate, this unit underpins the Commission’s success by providing support for the Commission’s finance, human resources, </w:t>
      </w:r>
      <w:proofErr w:type="gramStart"/>
      <w:r w:rsidRPr="0077375F">
        <w:rPr>
          <w:lang w:eastAsia="en-US"/>
        </w:rPr>
        <w:t>information</w:t>
      </w:r>
      <w:proofErr w:type="gramEnd"/>
      <w:r w:rsidRPr="0077375F">
        <w:rPr>
          <w:lang w:eastAsia="en-US"/>
        </w:rPr>
        <w:t xml:space="preserve"> technology and office administration functions. </w:t>
      </w:r>
    </w:p>
    <w:p w14:paraId="5084B4F9" w14:textId="77777777" w:rsidR="0077375F" w:rsidRPr="0077375F" w:rsidRDefault="0077375F" w:rsidP="0077375F">
      <w:pPr>
        <w:pStyle w:val="VEOHRCHeading2"/>
        <w:rPr>
          <w:lang w:eastAsia="en-US"/>
        </w:rPr>
      </w:pPr>
      <w:r w:rsidRPr="0077375F">
        <w:rPr>
          <w:lang w:eastAsia="en-US"/>
        </w:rPr>
        <w:lastRenderedPageBreak/>
        <w:t>Environmentally sustainable workplace</w:t>
      </w:r>
    </w:p>
    <w:p w14:paraId="0E1F94BE" w14:textId="77777777" w:rsidR="0077375F" w:rsidRPr="0077375F" w:rsidRDefault="0077375F" w:rsidP="0077375F">
      <w:pPr>
        <w:pStyle w:val="VEOHRCBodytext"/>
        <w:rPr>
          <w:lang w:eastAsia="en-US"/>
        </w:rPr>
      </w:pPr>
      <w:r w:rsidRPr="0077375F">
        <w:rPr>
          <w:lang w:eastAsia="en-US"/>
        </w:rPr>
        <w:t xml:space="preserve">The Commission is committed to minimising its environmental impact, and requires all staff to use office landfill and recycle bins, turn off lights when meetings are finished, turn off desktop computers and monitors at the end of the day, use recycled paper and to use the option of double-sided printing wherever possible. The Commission also provides compost bins for biodegradable waste, collects mobile phones and corks for recycling, and batteries for safe disposal. </w:t>
      </w:r>
    </w:p>
    <w:p w14:paraId="6C9A0028" w14:textId="1BAE978A" w:rsidR="0077375F" w:rsidRPr="0077375F" w:rsidRDefault="0077375F" w:rsidP="0077375F">
      <w:pPr>
        <w:pStyle w:val="VEOHRCHeading2"/>
        <w:rPr>
          <w:lang w:eastAsia="en-US"/>
        </w:rPr>
      </w:pPr>
      <w:r w:rsidRPr="0077375F">
        <w:rPr>
          <w:lang w:eastAsia="en-US"/>
        </w:rPr>
        <w:t>Accessible policies, programs</w:t>
      </w:r>
      <w:r w:rsidR="001B0C5C">
        <w:rPr>
          <w:lang w:eastAsia="en-US"/>
        </w:rPr>
        <w:t xml:space="preserve"> </w:t>
      </w:r>
      <w:r w:rsidRPr="0077375F">
        <w:rPr>
          <w:lang w:eastAsia="en-US"/>
        </w:rPr>
        <w:t xml:space="preserve">and services </w:t>
      </w:r>
    </w:p>
    <w:p w14:paraId="6B04F524" w14:textId="77777777" w:rsidR="0077375F" w:rsidRPr="0077375F" w:rsidRDefault="0077375F" w:rsidP="0077375F">
      <w:pPr>
        <w:pStyle w:val="VEOHRCBodytext"/>
        <w:rPr>
          <w:lang w:eastAsia="en-US"/>
        </w:rPr>
      </w:pPr>
      <w:r w:rsidRPr="0077375F">
        <w:rPr>
          <w:lang w:eastAsia="en-US"/>
        </w:rPr>
        <w:t>The Commission is committed to implementing best practice in providing access to our services for people with disabilities.</w:t>
      </w:r>
    </w:p>
    <w:p w14:paraId="383D5499" w14:textId="77777777" w:rsidR="0077375F" w:rsidRPr="0077375F" w:rsidRDefault="0077375F" w:rsidP="0077375F">
      <w:pPr>
        <w:pStyle w:val="VEOHRCBodytext"/>
        <w:rPr>
          <w:lang w:eastAsia="en-US"/>
        </w:rPr>
      </w:pPr>
      <w:r w:rsidRPr="0077375F">
        <w:rPr>
          <w:lang w:eastAsia="en-US"/>
        </w:rPr>
        <w:t>Our building is accessible and we make sure people of all abilities can access our resources and events.</w:t>
      </w:r>
    </w:p>
    <w:p w14:paraId="23E3486D" w14:textId="77777777" w:rsidR="0077375F" w:rsidRPr="0077375F" w:rsidRDefault="0077375F" w:rsidP="0077375F">
      <w:pPr>
        <w:pStyle w:val="VEOHRCBodytext"/>
        <w:rPr>
          <w:lang w:eastAsia="en-US"/>
        </w:rPr>
      </w:pPr>
      <w:r w:rsidRPr="0077375F">
        <w:rPr>
          <w:lang w:eastAsia="en-US"/>
        </w:rPr>
        <w:t>With guidance from our Disability Reference Group, some of the work we have done to ensure accessibility includes:</w:t>
      </w:r>
    </w:p>
    <w:p w14:paraId="615E4514" w14:textId="77777777" w:rsidR="0077375F" w:rsidRPr="0077375F" w:rsidRDefault="0077375F" w:rsidP="0077375F">
      <w:pPr>
        <w:pStyle w:val="VEOHRCListBullet"/>
        <w:rPr>
          <w:lang w:eastAsia="en-US"/>
        </w:rPr>
      </w:pPr>
      <w:proofErr w:type="gramStart"/>
      <w:r w:rsidRPr="0077375F">
        <w:rPr>
          <w:lang w:eastAsia="en-US"/>
        </w:rPr>
        <w:t>achieving</w:t>
      </w:r>
      <w:proofErr w:type="gramEnd"/>
      <w:r w:rsidRPr="0077375F">
        <w:rPr>
          <w:lang w:eastAsia="en-US"/>
        </w:rPr>
        <w:t xml:space="preserve"> Communication Access accreditation from Scope</w:t>
      </w:r>
    </w:p>
    <w:p w14:paraId="788CF50B" w14:textId="77777777" w:rsidR="0077375F" w:rsidRPr="0077375F" w:rsidRDefault="0077375F" w:rsidP="0077375F">
      <w:pPr>
        <w:pStyle w:val="VEOHRCListBullet"/>
        <w:rPr>
          <w:lang w:eastAsia="en-US"/>
        </w:rPr>
      </w:pPr>
      <w:proofErr w:type="gramStart"/>
      <w:r w:rsidRPr="0077375F">
        <w:rPr>
          <w:lang w:eastAsia="en-US"/>
        </w:rPr>
        <w:t>providing</w:t>
      </w:r>
      <w:proofErr w:type="gramEnd"/>
      <w:r w:rsidRPr="0077375F">
        <w:rPr>
          <w:lang w:eastAsia="en-US"/>
        </w:rPr>
        <w:t xml:space="preserve"> communication boards at our reception and for use during conciliation sessions</w:t>
      </w:r>
    </w:p>
    <w:p w14:paraId="52A18C99" w14:textId="77777777" w:rsidR="0077375F" w:rsidRPr="0077375F" w:rsidRDefault="0077375F" w:rsidP="0077375F">
      <w:pPr>
        <w:pStyle w:val="VEOHRCListBullet"/>
        <w:rPr>
          <w:lang w:eastAsia="en-US"/>
        </w:rPr>
      </w:pPr>
      <w:proofErr w:type="gramStart"/>
      <w:r w:rsidRPr="0077375F">
        <w:rPr>
          <w:lang w:eastAsia="en-US"/>
        </w:rPr>
        <w:t>providing</w:t>
      </w:r>
      <w:proofErr w:type="gramEnd"/>
      <w:r w:rsidRPr="0077375F">
        <w:rPr>
          <w:lang w:eastAsia="en-US"/>
        </w:rPr>
        <w:t xml:space="preserve"> all publications in PDF and Word formats online</w:t>
      </w:r>
    </w:p>
    <w:p w14:paraId="1A9BAF1D" w14:textId="77777777" w:rsidR="0077375F" w:rsidRPr="0077375F" w:rsidRDefault="0077375F" w:rsidP="0077375F">
      <w:pPr>
        <w:pStyle w:val="VEOHRCListBullet"/>
        <w:rPr>
          <w:lang w:eastAsia="en-US"/>
        </w:rPr>
      </w:pPr>
      <w:proofErr w:type="gramStart"/>
      <w:r w:rsidRPr="0077375F">
        <w:rPr>
          <w:lang w:eastAsia="en-US"/>
        </w:rPr>
        <w:t>ensuring</w:t>
      </w:r>
      <w:proofErr w:type="gramEnd"/>
      <w:r w:rsidRPr="0077375F">
        <w:rPr>
          <w:lang w:eastAsia="en-US"/>
        </w:rPr>
        <w:t xml:space="preserve"> the Commission’s website uses W3C’s Web Content Accessibility Guidelines with the goal of Triple-A compliance</w:t>
      </w:r>
    </w:p>
    <w:p w14:paraId="6199A3BB" w14:textId="77777777" w:rsidR="0077375F" w:rsidRPr="0077375F" w:rsidRDefault="0077375F" w:rsidP="0077375F">
      <w:pPr>
        <w:pStyle w:val="VEOHRCListBullet"/>
        <w:rPr>
          <w:lang w:eastAsia="en-US"/>
        </w:rPr>
      </w:pPr>
      <w:proofErr w:type="gramStart"/>
      <w:r w:rsidRPr="0077375F">
        <w:rPr>
          <w:lang w:eastAsia="en-US"/>
        </w:rPr>
        <w:t>catering</w:t>
      </w:r>
      <w:proofErr w:type="gramEnd"/>
      <w:r w:rsidRPr="0077375F">
        <w:rPr>
          <w:lang w:eastAsia="en-US"/>
        </w:rPr>
        <w:t xml:space="preserve"> to clients who are deaf and hard of hearing through the National Relay Service and TTY and ensuring translation services are also available</w:t>
      </w:r>
    </w:p>
    <w:p w14:paraId="5E2B1F9D" w14:textId="77777777" w:rsidR="0077375F" w:rsidRPr="0077375F" w:rsidRDefault="0077375F" w:rsidP="0077375F">
      <w:pPr>
        <w:pStyle w:val="VEOHRCListBullet"/>
        <w:rPr>
          <w:lang w:eastAsia="en-US"/>
        </w:rPr>
      </w:pPr>
      <w:proofErr w:type="gramStart"/>
      <w:r w:rsidRPr="0077375F">
        <w:rPr>
          <w:lang w:eastAsia="en-US"/>
        </w:rPr>
        <w:t>making</w:t>
      </w:r>
      <w:proofErr w:type="gramEnd"/>
      <w:r w:rsidRPr="0077375F">
        <w:rPr>
          <w:lang w:eastAsia="en-US"/>
        </w:rPr>
        <w:t xml:space="preserve"> our Enquiry Line service available through a variety of means, including web chat, phone and email</w:t>
      </w:r>
    </w:p>
    <w:p w14:paraId="3768AC58" w14:textId="77777777" w:rsidR="0077375F" w:rsidRPr="0077375F" w:rsidRDefault="0077375F" w:rsidP="0077375F">
      <w:pPr>
        <w:pStyle w:val="VEOHRCListBullet"/>
        <w:rPr>
          <w:lang w:eastAsia="en-US"/>
        </w:rPr>
      </w:pPr>
      <w:proofErr w:type="gramStart"/>
      <w:r w:rsidRPr="0077375F">
        <w:rPr>
          <w:lang w:eastAsia="en-US"/>
        </w:rPr>
        <w:t>ensuring</w:t>
      </w:r>
      <w:proofErr w:type="gramEnd"/>
      <w:r w:rsidRPr="0077375F">
        <w:rPr>
          <w:lang w:eastAsia="en-US"/>
        </w:rPr>
        <w:t xml:space="preserve"> </w:t>
      </w:r>
      <w:proofErr w:type="spellStart"/>
      <w:r w:rsidRPr="0077375F">
        <w:rPr>
          <w:lang w:eastAsia="en-US"/>
        </w:rPr>
        <w:t>Auslan</w:t>
      </w:r>
      <w:proofErr w:type="spellEnd"/>
      <w:r w:rsidRPr="0077375F">
        <w:rPr>
          <w:lang w:eastAsia="en-US"/>
        </w:rPr>
        <w:t xml:space="preserve"> interpreters attend all relevant events and information is provided in </w:t>
      </w:r>
      <w:proofErr w:type="spellStart"/>
      <w:r w:rsidRPr="0077375F">
        <w:rPr>
          <w:lang w:eastAsia="en-US"/>
        </w:rPr>
        <w:t>Auslan</w:t>
      </w:r>
      <w:proofErr w:type="spellEnd"/>
      <w:r w:rsidRPr="0077375F">
        <w:rPr>
          <w:lang w:eastAsia="en-US"/>
        </w:rPr>
        <w:t xml:space="preserve"> in videos on the website</w:t>
      </w:r>
    </w:p>
    <w:p w14:paraId="45A86B6F" w14:textId="77777777" w:rsidR="0077375F" w:rsidRPr="0077375F" w:rsidRDefault="0077375F" w:rsidP="0077375F">
      <w:pPr>
        <w:pStyle w:val="VEOHRCListBullet"/>
        <w:rPr>
          <w:lang w:eastAsia="en-US"/>
        </w:rPr>
      </w:pPr>
      <w:proofErr w:type="gramStart"/>
      <w:r w:rsidRPr="0077375F">
        <w:rPr>
          <w:lang w:eastAsia="en-US"/>
        </w:rPr>
        <w:t>providing</w:t>
      </w:r>
      <w:proofErr w:type="gramEnd"/>
      <w:r w:rsidRPr="0077375F">
        <w:rPr>
          <w:lang w:eastAsia="en-US"/>
        </w:rPr>
        <w:t xml:space="preserve"> Braille-embossed business cards of Commission staff.</w:t>
      </w:r>
    </w:p>
    <w:p w14:paraId="692E5564" w14:textId="77777777" w:rsidR="0077375F" w:rsidRPr="0077375F" w:rsidRDefault="0077375F" w:rsidP="0077375F">
      <w:pPr>
        <w:pStyle w:val="VEOHRCHeading2"/>
        <w:rPr>
          <w:lang w:eastAsia="en-US"/>
        </w:rPr>
      </w:pPr>
      <w:r w:rsidRPr="0077375F">
        <w:rPr>
          <w:lang w:eastAsia="en-US"/>
        </w:rPr>
        <w:t>Disability Action Plan</w:t>
      </w:r>
    </w:p>
    <w:p w14:paraId="318ED5E4"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Commission’s 2015–17 Disability Action Plan was launched in June 2015 and reflects our obligations under the </w:t>
      </w:r>
      <w:r w:rsidRPr="0077375F">
        <w:rPr>
          <w:rStyle w:val="VEOHRCBodytextChar"/>
          <w:i/>
          <w:lang w:eastAsia="en-US"/>
        </w:rPr>
        <w:t>Disability Act 2006</w:t>
      </w:r>
      <w:r w:rsidRPr="0077375F">
        <w:rPr>
          <w:rStyle w:val="VEOHRCBodytextChar"/>
          <w:lang w:eastAsia="en-US"/>
        </w:rPr>
        <w:t xml:space="preserve"> by:</w:t>
      </w:r>
    </w:p>
    <w:p w14:paraId="4FB04945" w14:textId="77777777" w:rsidR="0077375F" w:rsidRPr="0077375F" w:rsidRDefault="0077375F" w:rsidP="0077375F">
      <w:pPr>
        <w:pStyle w:val="VEOHRCListBullet"/>
        <w:rPr>
          <w:lang w:eastAsia="en-US"/>
        </w:rPr>
      </w:pPr>
      <w:proofErr w:type="gramStart"/>
      <w:r w:rsidRPr="0077375F">
        <w:rPr>
          <w:lang w:eastAsia="en-US"/>
        </w:rPr>
        <w:t>reducing</w:t>
      </w:r>
      <w:proofErr w:type="gramEnd"/>
      <w:r w:rsidRPr="0077375F">
        <w:rPr>
          <w:lang w:eastAsia="en-US"/>
        </w:rPr>
        <w:t xml:space="preserve"> barriers to people with disabilities accessing the Commission’s goods, services and facilities</w:t>
      </w:r>
    </w:p>
    <w:p w14:paraId="38F7B3CF" w14:textId="77777777" w:rsidR="0077375F" w:rsidRPr="0077375F" w:rsidRDefault="0077375F" w:rsidP="0077375F">
      <w:pPr>
        <w:pStyle w:val="VEOHRCListBullet"/>
        <w:rPr>
          <w:lang w:eastAsia="en-US"/>
        </w:rPr>
      </w:pPr>
      <w:proofErr w:type="gramStart"/>
      <w:r w:rsidRPr="0077375F">
        <w:rPr>
          <w:lang w:eastAsia="en-US"/>
        </w:rPr>
        <w:t>reducing</w:t>
      </w:r>
      <w:proofErr w:type="gramEnd"/>
      <w:r w:rsidRPr="0077375F">
        <w:rPr>
          <w:lang w:eastAsia="en-US"/>
        </w:rPr>
        <w:t xml:space="preserve"> barriers to people with disabilities obtaining and maintaining employment with the Commission</w:t>
      </w:r>
    </w:p>
    <w:p w14:paraId="11B9DA94" w14:textId="77777777" w:rsidR="0077375F" w:rsidRPr="0077375F" w:rsidRDefault="0077375F" w:rsidP="0077375F">
      <w:pPr>
        <w:pStyle w:val="VEOHRCListBullet"/>
        <w:rPr>
          <w:lang w:eastAsia="en-US"/>
        </w:rPr>
      </w:pPr>
      <w:proofErr w:type="gramStart"/>
      <w:r w:rsidRPr="0077375F">
        <w:rPr>
          <w:lang w:eastAsia="en-US"/>
        </w:rPr>
        <w:t>promoting</w:t>
      </w:r>
      <w:proofErr w:type="gramEnd"/>
      <w:r w:rsidRPr="0077375F">
        <w:rPr>
          <w:lang w:eastAsia="en-US"/>
        </w:rPr>
        <w:t xml:space="preserve"> inclusion and participation in the community of people with disabilities</w:t>
      </w:r>
    </w:p>
    <w:p w14:paraId="22031318" w14:textId="77777777" w:rsidR="0077375F" w:rsidRPr="0077375F" w:rsidRDefault="0077375F" w:rsidP="0077375F">
      <w:pPr>
        <w:pStyle w:val="VEOHRCListBullet"/>
        <w:rPr>
          <w:lang w:eastAsia="en-US"/>
        </w:rPr>
      </w:pPr>
      <w:proofErr w:type="gramStart"/>
      <w:r w:rsidRPr="0077375F">
        <w:rPr>
          <w:lang w:eastAsia="en-US"/>
        </w:rPr>
        <w:t>achieving</w:t>
      </w:r>
      <w:proofErr w:type="gramEnd"/>
      <w:r w:rsidRPr="0077375F">
        <w:rPr>
          <w:lang w:eastAsia="en-US"/>
        </w:rPr>
        <w:t xml:space="preserve"> tangible changes in attitudes and practices that discriminate against people with disabilities.</w:t>
      </w:r>
    </w:p>
    <w:p w14:paraId="6B004374" w14:textId="77777777" w:rsidR="0077375F" w:rsidRPr="0077375F" w:rsidRDefault="0077375F" w:rsidP="0077375F">
      <w:pPr>
        <w:pStyle w:val="VEOHRCBodytext"/>
        <w:rPr>
          <w:lang w:eastAsia="en-US"/>
        </w:rPr>
      </w:pPr>
      <w:r w:rsidRPr="0077375F">
        <w:rPr>
          <w:lang w:eastAsia="en-US"/>
        </w:rPr>
        <w:t xml:space="preserve">The plan will also form part of the Commission’s overall strategy of meeting its obligations under the Equal Opportunity Act, including the duty under section 15 of the Act to take steps to prevent and eliminate discrimination. </w:t>
      </w:r>
    </w:p>
    <w:p w14:paraId="04289AC7" w14:textId="77777777" w:rsidR="0077375F" w:rsidRPr="0077375F" w:rsidRDefault="0077375F" w:rsidP="0077375F">
      <w:pPr>
        <w:widowControl w:val="0"/>
        <w:suppressAutoHyphens/>
        <w:autoSpaceDE w:val="0"/>
        <w:autoSpaceDN w:val="0"/>
        <w:adjustRightInd w:val="0"/>
        <w:spacing w:line="288" w:lineRule="auto"/>
        <w:textAlignment w:val="center"/>
        <w:rPr>
          <w:rStyle w:val="VEOHRCBodytextChar"/>
          <w:lang w:eastAsia="en-US"/>
        </w:rPr>
      </w:pPr>
      <w:r w:rsidRPr="0077375F">
        <w:rPr>
          <w:rStyle w:val="VEOHRCBodytextChar"/>
          <w:lang w:eastAsia="en-US"/>
        </w:rPr>
        <w:t xml:space="preserve">The Commission updates progress on the Disability Action Plan on the website at </w:t>
      </w:r>
      <w:r w:rsidRPr="0077375F">
        <w:rPr>
          <w:rStyle w:val="VEOHRCURLChar"/>
          <w:lang w:val="en-GB" w:eastAsia="en-US"/>
        </w:rPr>
        <w:t>humanrightscommission.vic.gov.au/about-us/disability-action-plan</w:t>
      </w:r>
      <w:r w:rsidRPr="0077375F">
        <w:rPr>
          <w:rStyle w:val="VEOHRCBodytextChar"/>
          <w:lang w:eastAsia="en-US"/>
        </w:rPr>
        <w:t>.</w:t>
      </w:r>
      <w:r w:rsidRPr="0077375F">
        <w:rPr>
          <w:rStyle w:val="VEOHRCURLChar"/>
          <w:lang w:val="en-GB" w:eastAsia="en-US"/>
        </w:rPr>
        <w:t xml:space="preserve"> </w:t>
      </w:r>
      <w:r w:rsidRPr="0077375F">
        <w:rPr>
          <w:rStyle w:val="VEOHRCBodytextChar"/>
          <w:lang w:eastAsia="en-US"/>
        </w:rPr>
        <w:t>A report card on the three main objectives can be seen below.</w:t>
      </w:r>
    </w:p>
    <w:p w14:paraId="24C66B7C" w14:textId="77777777" w:rsidR="0077375F" w:rsidRPr="0077375F" w:rsidRDefault="0077375F" w:rsidP="0077375F">
      <w:pPr>
        <w:widowControl w:val="0"/>
        <w:suppressAutoHyphens/>
        <w:autoSpaceDE w:val="0"/>
        <w:autoSpaceDN w:val="0"/>
        <w:adjustRightInd w:val="0"/>
        <w:spacing w:line="288" w:lineRule="auto"/>
        <w:textAlignment w:val="center"/>
        <w:rPr>
          <w:rFonts w:ascii="ArialMT-Light" w:hAnsi="ArialMT-Light" w:cs="ArialMT-Light"/>
          <w:color w:val="000000"/>
          <w:lang w:val="en-GB" w:eastAsia="en-US"/>
        </w:rPr>
      </w:pPr>
    </w:p>
    <w:tbl>
      <w:tblPr>
        <w:tblW w:w="0" w:type="auto"/>
        <w:tblInd w:w="170" w:type="dxa"/>
        <w:tblLayout w:type="fixed"/>
        <w:tblCellMar>
          <w:left w:w="0" w:type="dxa"/>
          <w:right w:w="0" w:type="dxa"/>
        </w:tblCellMar>
        <w:tblLook w:val="0000" w:firstRow="0" w:lastRow="0" w:firstColumn="0" w:lastColumn="0" w:noHBand="0" w:noVBand="0"/>
      </w:tblPr>
      <w:tblGrid>
        <w:gridCol w:w="4167"/>
        <w:gridCol w:w="5584"/>
      </w:tblGrid>
      <w:tr w:rsidR="0077375F" w:rsidRPr="0077375F" w14:paraId="721B1944" w14:textId="77777777" w:rsidTr="00706CD4">
        <w:trPr>
          <w:trHeight w:val="493"/>
        </w:trPr>
        <w:tc>
          <w:tcPr>
            <w:tcW w:w="4167" w:type="dxa"/>
            <w:tcBorders>
              <w:top w:val="single" w:sz="6" w:space="0" w:color="auto"/>
              <w:left w:val="single" w:sz="6" w:space="0" w:color="auto"/>
              <w:bottom w:val="single" w:sz="6" w:space="0" w:color="auto"/>
              <w:right w:val="single" w:sz="6" w:space="0" w:color="000000"/>
            </w:tcBorders>
            <w:shd w:val="clear" w:color="008DC0" w:fill="BFBFBF" w:themeFill="background1" w:themeFillShade="BF"/>
            <w:tcMar>
              <w:top w:w="170" w:type="dxa"/>
              <w:left w:w="170" w:type="dxa"/>
              <w:bottom w:w="170" w:type="dxa"/>
              <w:right w:w="170" w:type="dxa"/>
            </w:tcMar>
            <w:vAlign w:val="center"/>
          </w:tcPr>
          <w:p w14:paraId="6B162772" w14:textId="77777777" w:rsidR="0077375F" w:rsidRPr="0077375F" w:rsidRDefault="0077375F" w:rsidP="0077375F">
            <w:pPr>
              <w:pStyle w:val="VEOHRCHeading3"/>
              <w:rPr>
                <w:lang w:eastAsia="en-US"/>
              </w:rPr>
            </w:pPr>
            <w:r w:rsidRPr="0077375F">
              <w:rPr>
                <w:lang w:eastAsia="en-US"/>
              </w:rPr>
              <w:lastRenderedPageBreak/>
              <w:t>Disability Action Plan Report Card</w:t>
            </w:r>
          </w:p>
        </w:tc>
        <w:tc>
          <w:tcPr>
            <w:tcW w:w="5584" w:type="dxa"/>
            <w:tcBorders>
              <w:top w:val="single" w:sz="6" w:space="0" w:color="auto"/>
              <w:left w:val="single" w:sz="6" w:space="0" w:color="000000"/>
              <w:bottom w:val="single" w:sz="6" w:space="0" w:color="auto"/>
              <w:right w:val="single" w:sz="6" w:space="0" w:color="000000"/>
            </w:tcBorders>
            <w:shd w:val="clear" w:color="008DC0" w:fill="BFBFBF" w:themeFill="background1" w:themeFillShade="BF"/>
            <w:tcMar>
              <w:top w:w="170" w:type="dxa"/>
              <w:left w:w="170" w:type="dxa"/>
              <w:bottom w:w="170" w:type="dxa"/>
              <w:right w:w="170" w:type="dxa"/>
            </w:tcMar>
            <w:vAlign w:val="center"/>
          </w:tcPr>
          <w:p w14:paraId="4BF4317B" w14:textId="77777777" w:rsidR="0077375F" w:rsidRPr="0077375F" w:rsidRDefault="0077375F" w:rsidP="0077375F">
            <w:pPr>
              <w:widowControl w:val="0"/>
              <w:autoSpaceDE w:val="0"/>
              <w:autoSpaceDN w:val="0"/>
              <w:adjustRightInd w:val="0"/>
              <w:rPr>
                <w:rFonts w:ascii="ArialMT-Medium" w:hAnsi="ArialMT-Medium"/>
                <w:lang w:val="en-US" w:eastAsia="en-US"/>
              </w:rPr>
            </w:pPr>
          </w:p>
        </w:tc>
      </w:tr>
      <w:tr w:rsidR="0077375F" w:rsidRPr="0077375F" w14:paraId="63DF015B" w14:textId="77777777">
        <w:trPr>
          <w:trHeight w:val="950"/>
        </w:trPr>
        <w:tc>
          <w:tcPr>
            <w:tcW w:w="4167" w:type="dxa"/>
            <w:tcBorders>
              <w:top w:val="single" w:sz="6" w:space="0" w:color="auto"/>
              <w:left w:val="single" w:sz="6" w:space="0" w:color="000000"/>
              <w:bottom w:val="single" w:sz="2" w:space="0" w:color="00ADEF"/>
              <w:right w:val="single" w:sz="6" w:space="0" w:color="000000"/>
            </w:tcBorders>
            <w:tcMar>
              <w:top w:w="170" w:type="dxa"/>
              <w:left w:w="170" w:type="dxa"/>
              <w:bottom w:w="170" w:type="dxa"/>
              <w:right w:w="170" w:type="dxa"/>
            </w:tcMar>
          </w:tcPr>
          <w:p w14:paraId="14A540E3" w14:textId="77777777" w:rsidR="0077375F" w:rsidRP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0000"/>
                <w:sz w:val="21"/>
                <w:szCs w:val="21"/>
                <w:lang w:val="en-GB" w:eastAsia="en-US"/>
              </w:rPr>
            </w:pPr>
            <w:r w:rsidRPr="0077375F">
              <w:rPr>
                <w:rStyle w:val="VEOHRCBodytextChar"/>
                <w:lang w:eastAsia="en-US"/>
              </w:rPr>
              <w:t>OBJECTIVE: To reduce barriers to accessing the Commission’s goods, services and facilities.</w:t>
            </w:r>
          </w:p>
        </w:tc>
        <w:tc>
          <w:tcPr>
            <w:tcW w:w="5584" w:type="dxa"/>
            <w:tcBorders>
              <w:top w:val="single" w:sz="6" w:space="0" w:color="auto"/>
              <w:left w:val="single" w:sz="6" w:space="0" w:color="000000"/>
              <w:bottom w:val="single" w:sz="2" w:space="0" w:color="00ADEF"/>
              <w:right w:val="single" w:sz="6" w:space="0" w:color="000000"/>
            </w:tcBorders>
            <w:tcMar>
              <w:top w:w="170" w:type="dxa"/>
              <w:left w:w="170" w:type="dxa"/>
              <w:bottom w:w="170" w:type="dxa"/>
              <w:right w:w="170" w:type="dxa"/>
            </w:tcMar>
          </w:tcPr>
          <w:p w14:paraId="22B70F9F" w14:textId="34C9E363" w:rsidR="0077375F" w:rsidRPr="0077375F" w:rsidRDefault="0077375F" w:rsidP="0077375F">
            <w:pPr>
              <w:pStyle w:val="VEOHRCBodytext"/>
              <w:rPr>
                <w:lang w:eastAsia="en-US"/>
              </w:rPr>
            </w:pPr>
            <w:r w:rsidRPr="0077375F">
              <w:rPr>
                <w:lang w:eastAsia="en-US"/>
              </w:rPr>
              <w:t>The six actions associated with this objective are all on track to be completed. One of the success measures, to gain Communication Access Accreditation, has</w:t>
            </w:r>
            <w:r w:rsidR="001B0C5C">
              <w:rPr>
                <w:lang w:eastAsia="en-US"/>
              </w:rPr>
              <w:t xml:space="preserve"> </w:t>
            </w:r>
            <w:r w:rsidRPr="0077375F">
              <w:rPr>
                <w:lang w:eastAsia="en-US"/>
              </w:rPr>
              <w:t>been completed.</w:t>
            </w:r>
          </w:p>
        </w:tc>
      </w:tr>
      <w:tr w:rsidR="0077375F" w:rsidRPr="0077375F" w14:paraId="52A08A0E" w14:textId="77777777">
        <w:trPr>
          <w:trHeight w:val="950"/>
        </w:trPr>
        <w:tc>
          <w:tcPr>
            <w:tcW w:w="4167" w:type="dxa"/>
            <w:tcBorders>
              <w:top w:val="single" w:sz="2" w:space="0" w:color="00ADEF"/>
              <w:left w:val="single" w:sz="6" w:space="0" w:color="000000"/>
              <w:bottom w:val="single" w:sz="2" w:space="0" w:color="00ADEF"/>
              <w:right w:val="single" w:sz="6" w:space="0" w:color="000000"/>
            </w:tcBorders>
            <w:tcMar>
              <w:top w:w="170" w:type="dxa"/>
              <w:left w:w="170" w:type="dxa"/>
              <w:bottom w:w="170" w:type="dxa"/>
              <w:right w:w="170" w:type="dxa"/>
            </w:tcMar>
          </w:tcPr>
          <w:p w14:paraId="7D43DB8B" w14:textId="77777777" w:rsidR="0077375F" w:rsidRP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0000"/>
                <w:sz w:val="21"/>
                <w:szCs w:val="21"/>
                <w:lang w:val="en-GB" w:eastAsia="en-US"/>
              </w:rPr>
            </w:pPr>
            <w:r w:rsidRPr="0077375F">
              <w:rPr>
                <w:rStyle w:val="VEOHRCBodytextChar"/>
                <w:lang w:eastAsia="en-US"/>
              </w:rPr>
              <w:t>OBJECTIVE: To reduce barriers to obtaining and maintaining employment with the Commission.</w:t>
            </w:r>
          </w:p>
        </w:tc>
        <w:tc>
          <w:tcPr>
            <w:tcW w:w="5584" w:type="dxa"/>
            <w:tcBorders>
              <w:top w:val="single" w:sz="2" w:space="0" w:color="00ADEF"/>
              <w:left w:val="single" w:sz="6" w:space="0" w:color="000000"/>
              <w:bottom w:val="single" w:sz="2" w:space="0" w:color="00ADEF"/>
              <w:right w:val="single" w:sz="6" w:space="0" w:color="000000"/>
            </w:tcBorders>
            <w:tcMar>
              <w:top w:w="170" w:type="dxa"/>
              <w:left w:w="170" w:type="dxa"/>
              <w:bottom w:w="170" w:type="dxa"/>
              <w:right w:w="170" w:type="dxa"/>
            </w:tcMar>
          </w:tcPr>
          <w:p w14:paraId="2F4A5B62" w14:textId="77777777" w:rsidR="0077375F" w:rsidRPr="0077375F" w:rsidRDefault="0077375F" w:rsidP="0077375F">
            <w:pPr>
              <w:pStyle w:val="VEOHRCBodytext"/>
              <w:rPr>
                <w:lang w:eastAsia="en-US"/>
              </w:rPr>
            </w:pPr>
            <w:r w:rsidRPr="0077375F">
              <w:rPr>
                <w:lang w:eastAsia="en-US"/>
              </w:rPr>
              <w:t>One action associated with this objective, a staff survey, will commence in 2016. The remaining four actions are on track to be completed.</w:t>
            </w:r>
          </w:p>
        </w:tc>
      </w:tr>
      <w:tr w:rsidR="0077375F" w:rsidRPr="0077375F" w14:paraId="624F56F3" w14:textId="77777777">
        <w:trPr>
          <w:trHeight w:val="950"/>
        </w:trPr>
        <w:tc>
          <w:tcPr>
            <w:tcW w:w="4167" w:type="dxa"/>
            <w:tcBorders>
              <w:top w:val="single" w:sz="2" w:space="0" w:color="00ADEF"/>
              <w:left w:val="single" w:sz="6" w:space="0" w:color="000000"/>
              <w:bottom w:val="single" w:sz="6" w:space="0" w:color="00ADEF"/>
              <w:right w:val="single" w:sz="6" w:space="0" w:color="000000"/>
            </w:tcBorders>
            <w:tcMar>
              <w:top w:w="170" w:type="dxa"/>
              <w:left w:w="170" w:type="dxa"/>
              <w:bottom w:w="170" w:type="dxa"/>
              <w:right w:w="170" w:type="dxa"/>
            </w:tcMar>
          </w:tcPr>
          <w:p w14:paraId="73DD118D" w14:textId="77777777" w:rsidR="0077375F" w:rsidRP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0000"/>
                <w:sz w:val="21"/>
                <w:szCs w:val="21"/>
                <w:lang w:val="en-GB" w:eastAsia="en-US"/>
              </w:rPr>
            </w:pPr>
            <w:r w:rsidRPr="0077375F">
              <w:rPr>
                <w:rStyle w:val="VEOHRCBodytextChar"/>
                <w:lang w:eastAsia="en-US"/>
              </w:rPr>
              <w:t xml:space="preserve">OBJECTIVE: To promote inclusion and participation in the community and achieve tangible changes in attitudes and practices </w:t>
            </w:r>
            <w:proofErr w:type="gramStart"/>
            <w:r w:rsidRPr="0077375F">
              <w:rPr>
                <w:rStyle w:val="VEOHRCBodytextChar"/>
                <w:lang w:eastAsia="en-US"/>
              </w:rPr>
              <w:t>that discriminate</w:t>
            </w:r>
            <w:proofErr w:type="gramEnd"/>
            <w:r w:rsidRPr="0077375F">
              <w:rPr>
                <w:rStyle w:val="VEOHRCBodytextChar"/>
                <w:lang w:eastAsia="en-US"/>
              </w:rPr>
              <w:t xml:space="preserve"> against people with disabilities.</w:t>
            </w:r>
          </w:p>
        </w:tc>
        <w:tc>
          <w:tcPr>
            <w:tcW w:w="5584" w:type="dxa"/>
            <w:tcBorders>
              <w:top w:val="single" w:sz="2" w:space="0" w:color="00ADEF"/>
              <w:left w:val="single" w:sz="6" w:space="0" w:color="000000"/>
              <w:bottom w:val="single" w:sz="6" w:space="0" w:color="00ADEF"/>
              <w:right w:val="single" w:sz="6" w:space="0" w:color="000000"/>
            </w:tcBorders>
            <w:tcMar>
              <w:top w:w="170" w:type="dxa"/>
              <w:left w:w="170" w:type="dxa"/>
              <w:bottom w:w="170" w:type="dxa"/>
              <w:right w:w="170" w:type="dxa"/>
            </w:tcMar>
          </w:tcPr>
          <w:p w14:paraId="02F73F98" w14:textId="77777777" w:rsidR="0077375F" w:rsidRPr="0077375F" w:rsidRDefault="0077375F" w:rsidP="0077375F">
            <w:pPr>
              <w:pStyle w:val="VEOHRCBodytext"/>
              <w:rPr>
                <w:lang w:eastAsia="en-US"/>
              </w:rPr>
            </w:pPr>
            <w:r w:rsidRPr="0077375F">
              <w:rPr>
                <w:lang w:eastAsia="en-US"/>
              </w:rPr>
              <w:t>One action associated with this objective, to extend the reach and impact of our education programs, will commence in 2016/17. The remaining four actions are on track to be completed.</w:t>
            </w:r>
          </w:p>
        </w:tc>
      </w:tr>
    </w:tbl>
    <w:p w14:paraId="18C792FB" w14:textId="77777777" w:rsidR="0077375F" w:rsidRPr="0077375F" w:rsidRDefault="0077375F" w:rsidP="0077375F">
      <w:pPr>
        <w:widowControl w:val="0"/>
        <w:suppressAutoHyphens/>
        <w:autoSpaceDE w:val="0"/>
        <w:autoSpaceDN w:val="0"/>
        <w:adjustRightInd w:val="0"/>
        <w:spacing w:line="288" w:lineRule="auto"/>
        <w:textAlignment w:val="center"/>
        <w:rPr>
          <w:rFonts w:ascii="ArialMT-Light" w:hAnsi="ArialMT-Light" w:cs="ArialMT-Light"/>
          <w:color w:val="000000"/>
          <w:lang w:val="en-GB" w:eastAsia="en-US"/>
        </w:rPr>
      </w:pPr>
    </w:p>
    <w:p w14:paraId="3B5E647A" w14:textId="6D5412BD" w:rsidR="0077375F" w:rsidRPr="0077375F" w:rsidRDefault="0077375F" w:rsidP="0077375F">
      <w:pPr>
        <w:pStyle w:val="VEOHRCChapterTitle"/>
        <w:rPr>
          <w:lang w:eastAsia="en-US"/>
        </w:rPr>
      </w:pPr>
      <w:r w:rsidRPr="0077375F">
        <w:rPr>
          <w:lang w:eastAsia="en-US"/>
        </w:rPr>
        <w:lastRenderedPageBreak/>
        <w:t>Eliminating</w:t>
      </w:r>
      <w:r w:rsidR="001B0C5C">
        <w:rPr>
          <w:lang w:eastAsia="en-US"/>
        </w:rPr>
        <w:t xml:space="preserve"> </w:t>
      </w:r>
      <w:r w:rsidRPr="0077375F">
        <w:rPr>
          <w:lang w:eastAsia="en-US"/>
        </w:rPr>
        <w:t>discrimination</w:t>
      </w:r>
    </w:p>
    <w:p w14:paraId="2F416620" w14:textId="77777777" w:rsidR="0077375F" w:rsidRPr="0077375F" w:rsidRDefault="0077375F" w:rsidP="00821C20">
      <w:pPr>
        <w:pStyle w:val="VEOHRCHeading3"/>
        <w:rPr>
          <w:lang w:eastAsia="en-US"/>
        </w:rPr>
      </w:pPr>
      <w:r w:rsidRPr="0077375F">
        <w:rPr>
          <w:lang w:eastAsia="en-US"/>
        </w:rPr>
        <w:t>The Commission is committed to eliminating unlawful discrimination. Our work is both preventative and responsive; we work across the community to develop systemic responses and also respond to individual complaints of discrimination.</w:t>
      </w:r>
    </w:p>
    <w:p w14:paraId="7AF7B03D" w14:textId="77777777" w:rsidR="0077375F" w:rsidRPr="0077375F" w:rsidRDefault="0077375F" w:rsidP="0061204D">
      <w:pPr>
        <w:pStyle w:val="VEOHRCHeading1"/>
        <w:rPr>
          <w:lang w:eastAsia="en-US"/>
        </w:rPr>
      </w:pPr>
      <w:r w:rsidRPr="0077375F">
        <w:rPr>
          <w:lang w:eastAsia="en-US"/>
        </w:rPr>
        <w:t xml:space="preserve">Resolving complaints </w:t>
      </w:r>
    </w:p>
    <w:p w14:paraId="0B311378" w14:textId="1CAE4F70" w:rsidR="0077375F" w:rsidRPr="0077375F" w:rsidRDefault="0077375F" w:rsidP="0077375F">
      <w:pPr>
        <w:pStyle w:val="VEOHRCHeading2"/>
        <w:rPr>
          <w:lang w:eastAsia="en-US"/>
        </w:rPr>
      </w:pPr>
      <w:r w:rsidRPr="0077375F">
        <w:rPr>
          <w:lang w:eastAsia="en-US"/>
        </w:rPr>
        <w:t>Dispute Resolution and information service</w:t>
      </w:r>
    </w:p>
    <w:p w14:paraId="74C48715" w14:textId="6D227013" w:rsidR="0077375F" w:rsidRPr="0077375F" w:rsidRDefault="0077375F" w:rsidP="0077375F">
      <w:pPr>
        <w:pStyle w:val="VEOHRCBodytext"/>
        <w:rPr>
          <w:lang w:eastAsia="en-US"/>
        </w:rPr>
      </w:pPr>
      <w:r w:rsidRPr="0077375F">
        <w:rPr>
          <w:lang w:eastAsia="en-US"/>
        </w:rPr>
        <w:t>The Commission provides a dispute resolution service under the Equal Opportunity Act and Racial and Religious Tolerance Act. We also manage enquiries about the application of</w:t>
      </w:r>
      <w:r w:rsidR="001B0C5C">
        <w:rPr>
          <w:lang w:eastAsia="en-US"/>
        </w:rPr>
        <w:t xml:space="preserve"> </w:t>
      </w:r>
      <w:r w:rsidRPr="0077375F">
        <w:rPr>
          <w:lang w:eastAsia="en-US"/>
        </w:rPr>
        <w:t xml:space="preserve">the Charter. </w:t>
      </w:r>
    </w:p>
    <w:p w14:paraId="327F1C14" w14:textId="04153A3E" w:rsidR="0077375F" w:rsidRPr="0077375F" w:rsidRDefault="0077375F" w:rsidP="0077375F">
      <w:pPr>
        <w:pStyle w:val="VEOHRCBodytext"/>
        <w:rPr>
          <w:lang w:eastAsia="en-US"/>
        </w:rPr>
      </w:pPr>
      <w:r w:rsidRPr="0077375F">
        <w:rPr>
          <w:lang w:eastAsia="en-US"/>
        </w:rPr>
        <w:t>The dispute resolution service is central to the Commission’s role in protecting and promoting human rights. The Commission continues to adapt its dispute resolution service to ensure</w:t>
      </w:r>
      <w:r w:rsidR="001B0C5C">
        <w:rPr>
          <w:lang w:eastAsia="en-US"/>
        </w:rPr>
        <w:t xml:space="preserve"> </w:t>
      </w:r>
      <w:r w:rsidRPr="0077375F">
        <w:rPr>
          <w:lang w:eastAsia="en-US"/>
        </w:rPr>
        <w:t>all Victorians have the opportunity to easily access information about their rights and obligations under our laws and to participate</w:t>
      </w:r>
      <w:r w:rsidR="001B0C5C">
        <w:rPr>
          <w:lang w:eastAsia="en-US"/>
        </w:rPr>
        <w:t xml:space="preserve"> </w:t>
      </w:r>
      <w:r w:rsidRPr="0077375F">
        <w:rPr>
          <w:lang w:eastAsia="en-US"/>
        </w:rPr>
        <w:t xml:space="preserve">in dispute resolution. </w:t>
      </w:r>
    </w:p>
    <w:p w14:paraId="5164F106" w14:textId="77777777" w:rsidR="0077375F" w:rsidRPr="0077375F" w:rsidRDefault="0077375F" w:rsidP="0077375F">
      <w:pPr>
        <w:pStyle w:val="VEOHRCBodytext"/>
        <w:rPr>
          <w:lang w:eastAsia="en-US"/>
        </w:rPr>
      </w:pPr>
      <w:r w:rsidRPr="0077375F">
        <w:rPr>
          <w:lang w:eastAsia="en-US"/>
        </w:rPr>
        <w:t xml:space="preserve">In 2015/16 8170 people contacted the Commission’s Enquiry Line and were provided with information about our laws and services. Approximately 4500 people participated in dispute resolution (complainants, respondents, representatives and support people). Dispute resolution is not just about resolving complaints, it is also an opportunity to educate and ensure outcomes are consistent with our laws. </w:t>
      </w:r>
    </w:p>
    <w:p w14:paraId="287F5124" w14:textId="77777777" w:rsidR="0077375F" w:rsidRPr="0077375F" w:rsidRDefault="0077375F" w:rsidP="0077375F">
      <w:pPr>
        <w:pStyle w:val="VEOHRCHeading2"/>
        <w:rPr>
          <w:lang w:eastAsia="en-US"/>
        </w:rPr>
      </w:pPr>
      <w:r w:rsidRPr="0077375F">
        <w:rPr>
          <w:lang w:eastAsia="en-US"/>
        </w:rPr>
        <w:t>Enquiries </w:t>
      </w:r>
    </w:p>
    <w:p w14:paraId="3758A360" w14:textId="77777777" w:rsidR="0077375F" w:rsidRPr="0077375F" w:rsidRDefault="0077375F" w:rsidP="0077375F">
      <w:pPr>
        <w:pStyle w:val="VEOHRCBodytext"/>
        <w:rPr>
          <w:lang w:eastAsia="en-US"/>
        </w:rPr>
      </w:pPr>
      <w:r w:rsidRPr="0077375F">
        <w:rPr>
          <w:lang w:eastAsia="en-US"/>
        </w:rPr>
        <w:t xml:space="preserve">In 2015/16, the Commission received 8170 enquiries from people raising 11,823 issues. </w:t>
      </w:r>
    </w:p>
    <w:p w14:paraId="5E8076C9" w14:textId="77777777" w:rsidR="0077375F" w:rsidRPr="0077375F" w:rsidRDefault="0077375F" w:rsidP="0077375F">
      <w:pPr>
        <w:pStyle w:val="VEOHRCBodytext"/>
        <w:rPr>
          <w:lang w:eastAsia="en-US"/>
        </w:rPr>
      </w:pPr>
      <w:r w:rsidRPr="0077375F">
        <w:rPr>
          <w:lang w:eastAsia="en-US"/>
        </w:rPr>
        <w:t>In the past three years, the Commission received:</w:t>
      </w:r>
    </w:p>
    <w:p w14:paraId="0159DFDB" w14:textId="35DA35CC"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2013/14 </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9157 enquiries raising 13,101 issues</w:t>
      </w:r>
    </w:p>
    <w:p w14:paraId="6FED7812" w14:textId="55AA365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2014/15 </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9175 enquiries raising 13,877 issues</w:t>
      </w:r>
    </w:p>
    <w:p w14:paraId="04244E7E" w14:textId="030FD4B3"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2015/16</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8170 enquiries raising 11,823 issues</w:t>
      </w:r>
    </w:p>
    <w:p w14:paraId="093F786B" w14:textId="77777777" w:rsidR="00821C20" w:rsidRDefault="0077375F" w:rsidP="0077375F">
      <w:pPr>
        <w:pStyle w:val="VEOHRCBodytext"/>
        <w:rPr>
          <w:lang w:eastAsia="en-US"/>
        </w:rPr>
        <w:sectPr w:rsidR="00821C20" w:rsidSect="00E2047F">
          <w:footerReference w:type="default" r:id="rId11"/>
          <w:pgSz w:w="11906" w:h="16838" w:code="9"/>
          <w:pgMar w:top="1134" w:right="1418" w:bottom="1134" w:left="1418" w:header="709" w:footer="272" w:gutter="0"/>
          <w:cols w:space="708"/>
          <w:titlePg/>
          <w:docGrid w:linePitch="360"/>
        </w:sectPr>
      </w:pPr>
      <w:r w:rsidRPr="0077375F">
        <w:rPr>
          <w:lang w:eastAsia="en-US"/>
        </w:rPr>
        <w:t>Disability was the highest area of enquiry, followed by race, sex, sexual harassment,</w:t>
      </w:r>
      <w:r w:rsidR="001B0C5C">
        <w:rPr>
          <w:lang w:eastAsia="en-US"/>
        </w:rPr>
        <w:t xml:space="preserve"> </w:t>
      </w:r>
      <w:r w:rsidRPr="0077375F">
        <w:rPr>
          <w:lang w:eastAsia="en-US"/>
        </w:rPr>
        <w:t xml:space="preserve">age and carer status. </w:t>
      </w:r>
    </w:p>
    <w:p w14:paraId="6D6C256F" w14:textId="1D68B507" w:rsidR="0077375F" w:rsidRPr="0077375F" w:rsidRDefault="0077375F" w:rsidP="0077375F">
      <w:pPr>
        <w:pStyle w:val="VEOHRCHeading3"/>
        <w:rPr>
          <w:lang w:eastAsia="en-US"/>
        </w:rPr>
      </w:pPr>
      <w:r w:rsidRPr="0077375F">
        <w:rPr>
          <w:lang w:eastAsia="en-US"/>
        </w:rPr>
        <w:lastRenderedPageBreak/>
        <w:t>Contact mode of enquiries by percentage 15/16</w:t>
      </w:r>
    </w:p>
    <w:tbl>
      <w:tblPr>
        <w:tblStyle w:val="LightList"/>
        <w:tblW w:w="0" w:type="auto"/>
        <w:tblLayout w:type="fixed"/>
        <w:tblLook w:val="0000" w:firstRow="0" w:lastRow="0" w:firstColumn="0" w:lastColumn="0" w:noHBand="0" w:noVBand="0"/>
      </w:tblPr>
      <w:tblGrid>
        <w:gridCol w:w="2376"/>
        <w:gridCol w:w="1276"/>
      </w:tblGrid>
      <w:tr w:rsidR="0077375F" w:rsidRPr="00821C20" w14:paraId="6CDF9DB2"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76" w:type="dxa"/>
          </w:tcPr>
          <w:p w14:paraId="68E4FA33" w14:textId="77777777" w:rsidR="0077375F" w:rsidRPr="00821C20" w:rsidRDefault="0077375F" w:rsidP="0077375F">
            <w:pPr>
              <w:pStyle w:val="VEOHRCBodytext"/>
              <w:rPr>
                <w:rFonts w:cs="Arial"/>
                <w:b/>
                <w:bCs/>
                <w:color w:val="FFFFFF"/>
                <w:sz w:val="20"/>
                <w:szCs w:val="20"/>
                <w:lang w:eastAsia="en-US"/>
              </w:rPr>
            </w:pPr>
            <w:r w:rsidRPr="00821C20">
              <w:rPr>
                <w:rFonts w:cs="Arial"/>
                <w:b/>
                <w:sz w:val="20"/>
                <w:szCs w:val="20"/>
                <w:lang w:eastAsia="en-US"/>
              </w:rPr>
              <w:t>How Received</w:t>
            </w:r>
          </w:p>
        </w:tc>
        <w:tc>
          <w:tcPr>
            <w:tcW w:w="1276" w:type="dxa"/>
          </w:tcPr>
          <w:p w14:paraId="335F5F81"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b/>
                <w:bCs/>
                <w:color w:val="FFFFFF"/>
                <w:sz w:val="20"/>
                <w:szCs w:val="20"/>
                <w:lang w:eastAsia="en-US"/>
              </w:rPr>
            </w:pPr>
            <w:r w:rsidRPr="00821C20">
              <w:rPr>
                <w:rFonts w:cs="Arial"/>
                <w:b/>
                <w:sz w:val="20"/>
                <w:szCs w:val="20"/>
                <w:lang w:eastAsia="en-US"/>
              </w:rPr>
              <w:t>%</w:t>
            </w:r>
          </w:p>
        </w:tc>
      </w:tr>
      <w:tr w:rsidR="0077375F" w:rsidRPr="00821C20" w14:paraId="30278DD9"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2376" w:type="dxa"/>
          </w:tcPr>
          <w:p w14:paraId="59B19A97"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Telephone</w:t>
            </w:r>
          </w:p>
        </w:tc>
        <w:tc>
          <w:tcPr>
            <w:tcW w:w="1276" w:type="dxa"/>
          </w:tcPr>
          <w:p w14:paraId="0D848679"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71.0</w:t>
            </w:r>
          </w:p>
        </w:tc>
      </w:tr>
      <w:tr w:rsidR="0077375F" w:rsidRPr="00821C20" w14:paraId="788E10F3"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76" w:type="dxa"/>
          </w:tcPr>
          <w:p w14:paraId="78799904"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Email</w:t>
            </w:r>
          </w:p>
        </w:tc>
        <w:tc>
          <w:tcPr>
            <w:tcW w:w="1276" w:type="dxa"/>
          </w:tcPr>
          <w:p w14:paraId="6BF030D3"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10.9</w:t>
            </w:r>
          </w:p>
        </w:tc>
      </w:tr>
      <w:tr w:rsidR="0077375F" w:rsidRPr="00821C20" w14:paraId="79B1AD63"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2376" w:type="dxa"/>
          </w:tcPr>
          <w:p w14:paraId="7D2D35AE"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Web Form</w:t>
            </w:r>
          </w:p>
        </w:tc>
        <w:tc>
          <w:tcPr>
            <w:tcW w:w="1276" w:type="dxa"/>
          </w:tcPr>
          <w:p w14:paraId="4A715AB5"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10.1</w:t>
            </w:r>
          </w:p>
        </w:tc>
      </w:tr>
      <w:tr w:rsidR="0077375F" w:rsidRPr="00821C20" w14:paraId="62299A2D"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76" w:type="dxa"/>
          </w:tcPr>
          <w:p w14:paraId="3055B4C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Instant Message</w:t>
            </w:r>
          </w:p>
        </w:tc>
        <w:tc>
          <w:tcPr>
            <w:tcW w:w="1276" w:type="dxa"/>
          </w:tcPr>
          <w:p w14:paraId="63056CBE"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3.5</w:t>
            </w:r>
          </w:p>
        </w:tc>
      </w:tr>
      <w:tr w:rsidR="0077375F" w:rsidRPr="00821C20" w14:paraId="46C3FC89"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2376" w:type="dxa"/>
          </w:tcPr>
          <w:p w14:paraId="710C926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Letter</w:t>
            </w:r>
          </w:p>
        </w:tc>
        <w:tc>
          <w:tcPr>
            <w:tcW w:w="1276" w:type="dxa"/>
          </w:tcPr>
          <w:p w14:paraId="0A5A56E3"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3.3</w:t>
            </w:r>
          </w:p>
        </w:tc>
      </w:tr>
      <w:tr w:rsidR="0077375F" w:rsidRPr="00821C20" w14:paraId="7403E326"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76" w:type="dxa"/>
          </w:tcPr>
          <w:p w14:paraId="67BBE4D7"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 Person</w:t>
            </w:r>
          </w:p>
        </w:tc>
        <w:tc>
          <w:tcPr>
            <w:tcW w:w="1276" w:type="dxa"/>
          </w:tcPr>
          <w:p w14:paraId="2E46FA7A"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1.1</w:t>
            </w:r>
          </w:p>
        </w:tc>
      </w:tr>
      <w:tr w:rsidR="0077375F" w:rsidRPr="00821C20" w14:paraId="6E23CA3E"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2376" w:type="dxa"/>
          </w:tcPr>
          <w:p w14:paraId="542E17EC"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Fax</w:t>
            </w:r>
          </w:p>
        </w:tc>
        <w:tc>
          <w:tcPr>
            <w:tcW w:w="1276" w:type="dxa"/>
          </w:tcPr>
          <w:p w14:paraId="0758A0F7" w14:textId="77777777" w:rsidR="0077375F" w:rsidRPr="00821C20" w:rsidRDefault="0077375F" w:rsidP="00821C20">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0.1</w:t>
            </w:r>
          </w:p>
        </w:tc>
      </w:tr>
      <w:tr w:rsidR="0077375F" w:rsidRPr="00821C20" w14:paraId="1F218481"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76" w:type="dxa"/>
          </w:tcPr>
          <w:p w14:paraId="6E12944C" w14:textId="77777777" w:rsidR="0077375F" w:rsidRPr="00821C20" w:rsidRDefault="0077375F" w:rsidP="0077375F">
            <w:pPr>
              <w:pStyle w:val="VEOHRCBodytext"/>
              <w:rPr>
                <w:rFonts w:cs="Arial"/>
                <w:b/>
                <w:sz w:val="20"/>
                <w:szCs w:val="20"/>
                <w:lang w:eastAsia="en-US"/>
              </w:rPr>
            </w:pPr>
            <w:r w:rsidRPr="00821C20">
              <w:rPr>
                <w:rFonts w:cs="Arial"/>
                <w:b/>
                <w:sz w:val="20"/>
                <w:szCs w:val="20"/>
                <w:lang w:eastAsia="en-US"/>
              </w:rPr>
              <w:t>Total</w:t>
            </w:r>
          </w:p>
        </w:tc>
        <w:tc>
          <w:tcPr>
            <w:tcW w:w="1276" w:type="dxa"/>
          </w:tcPr>
          <w:p w14:paraId="59D0177A"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821C20">
              <w:rPr>
                <w:rFonts w:cs="Arial"/>
                <w:b/>
                <w:sz w:val="20"/>
                <w:szCs w:val="20"/>
                <w:lang w:eastAsia="en-US"/>
              </w:rPr>
              <w:t>100.0%</w:t>
            </w:r>
          </w:p>
        </w:tc>
      </w:tr>
    </w:tbl>
    <w:p w14:paraId="63E512E4" w14:textId="77777777" w:rsidR="0077375F" w:rsidRPr="0077375F" w:rsidRDefault="0077375F" w:rsidP="0077375F">
      <w:pPr>
        <w:pStyle w:val="VEOHRCHeading3"/>
        <w:rPr>
          <w:lang w:eastAsia="en-US"/>
        </w:rPr>
      </w:pPr>
      <w:r w:rsidRPr="0077375F">
        <w:rPr>
          <w:lang w:eastAsia="en-US"/>
        </w:rPr>
        <w:t xml:space="preserve"> </w:t>
      </w:r>
    </w:p>
    <w:p w14:paraId="6612A059" w14:textId="77777777" w:rsidR="0077375F" w:rsidRPr="00821C20" w:rsidRDefault="0077375F" w:rsidP="0077375F">
      <w:pPr>
        <w:pStyle w:val="VEOHRCBodytext"/>
        <w:rPr>
          <w:rFonts w:ascii="ArialMT-Light" w:hAnsi="ArialMT-Light" w:cs="ArialMT-Light"/>
          <w:b/>
          <w:sz w:val="19"/>
          <w:szCs w:val="19"/>
          <w:lang w:eastAsia="en-US"/>
        </w:rPr>
      </w:pPr>
      <w:r w:rsidRPr="00821C20">
        <w:rPr>
          <w:b/>
          <w:lang w:eastAsia="en-US"/>
        </w:rPr>
        <w:t xml:space="preserve">Enquiries received by contact mode past 3 years </w:t>
      </w:r>
    </w:p>
    <w:tbl>
      <w:tblPr>
        <w:tblStyle w:val="LightList"/>
        <w:tblW w:w="0" w:type="auto"/>
        <w:tblLayout w:type="fixed"/>
        <w:tblLook w:val="0000" w:firstRow="0" w:lastRow="0" w:firstColumn="0" w:lastColumn="0" w:noHBand="0" w:noVBand="0"/>
      </w:tblPr>
      <w:tblGrid>
        <w:gridCol w:w="1821"/>
        <w:gridCol w:w="922"/>
        <w:gridCol w:w="921"/>
        <w:gridCol w:w="921"/>
      </w:tblGrid>
      <w:tr w:rsidR="0077375F" w:rsidRPr="00821C20" w14:paraId="0D15B521" w14:textId="77777777" w:rsidTr="00821C20">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739E6945" w14:textId="77777777" w:rsidR="0077375F" w:rsidRPr="00821C20" w:rsidRDefault="0077375F" w:rsidP="0077375F">
            <w:pPr>
              <w:pStyle w:val="VEOHRCBodytext"/>
              <w:rPr>
                <w:rFonts w:cs="Arial"/>
                <w:b/>
                <w:bCs/>
                <w:color w:val="FFFFFF"/>
                <w:sz w:val="20"/>
                <w:szCs w:val="20"/>
                <w:lang w:eastAsia="en-US"/>
              </w:rPr>
            </w:pPr>
            <w:r w:rsidRPr="00821C20">
              <w:rPr>
                <w:rFonts w:cs="Arial"/>
                <w:b/>
                <w:sz w:val="20"/>
                <w:szCs w:val="20"/>
                <w:lang w:eastAsia="en-US"/>
              </w:rPr>
              <w:t>How received</w:t>
            </w:r>
          </w:p>
        </w:tc>
        <w:tc>
          <w:tcPr>
            <w:tcW w:w="922" w:type="dxa"/>
          </w:tcPr>
          <w:p w14:paraId="1F396E56" w14:textId="77777777" w:rsidR="0077375F" w:rsidRPr="00821C20"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cs="Arial"/>
                <w:b/>
                <w:bCs/>
                <w:color w:val="FFFFFF"/>
                <w:sz w:val="20"/>
                <w:szCs w:val="20"/>
                <w:lang w:eastAsia="en-US"/>
              </w:rPr>
            </w:pPr>
            <w:r w:rsidRPr="00821C20">
              <w:rPr>
                <w:rFonts w:cs="Arial"/>
                <w:b/>
                <w:sz w:val="20"/>
                <w:szCs w:val="20"/>
                <w:lang w:eastAsia="en-US"/>
              </w:rPr>
              <w:t>2013/14</w:t>
            </w:r>
          </w:p>
        </w:tc>
        <w:tc>
          <w:tcPr>
            <w:cnfStyle w:val="000010000000" w:firstRow="0" w:lastRow="0" w:firstColumn="0" w:lastColumn="0" w:oddVBand="1" w:evenVBand="0" w:oddHBand="0" w:evenHBand="0" w:firstRowFirstColumn="0" w:firstRowLastColumn="0" w:lastRowFirstColumn="0" w:lastRowLastColumn="0"/>
            <w:tcW w:w="921" w:type="dxa"/>
          </w:tcPr>
          <w:p w14:paraId="794A8CDD" w14:textId="77777777" w:rsidR="0077375F" w:rsidRPr="00821C20" w:rsidRDefault="0077375F" w:rsidP="0077375F">
            <w:pPr>
              <w:pStyle w:val="VEOHRCBodytext"/>
              <w:rPr>
                <w:rFonts w:cs="Arial"/>
                <w:b/>
                <w:bCs/>
                <w:color w:val="FFFFFF"/>
                <w:sz w:val="20"/>
                <w:szCs w:val="20"/>
                <w:lang w:eastAsia="en-US"/>
              </w:rPr>
            </w:pPr>
            <w:r w:rsidRPr="00821C20">
              <w:rPr>
                <w:rFonts w:cs="Arial"/>
                <w:b/>
                <w:sz w:val="20"/>
                <w:szCs w:val="20"/>
                <w:lang w:eastAsia="en-US"/>
              </w:rPr>
              <w:t>2014/15</w:t>
            </w:r>
          </w:p>
        </w:tc>
        <w:tc>
          <w:tcPr>
            <w:tcW w:w="921" w:type="dxa"/>
          </w:tcPr>
          <w:p w14:paraId="3C0B0042" w14:textId="77777777" w:rsidR="0077375F" w:rsidRPr="00821C20"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cs="Arial"/>
                <w:b/>
                <w:bCs/>
                <w:color w:val="FFFFFF"/>
                <w:sz w:val="20"/>
                <w:szCs w:val="20"/>
                <w:lang w:eastAsia="en-US"/>
              </w:rPr>
            </w:pPr>
            <w:r w:rsidRPr="00821C20">
              <w:rPr>
                <w:rFonts w:cs="Arial"/>
                <w:b/>
                <w:sz w:val="20"/>
                <w:szCs w:val="20"/>
                <w:lang w:eastAsia="en-US"/>
              </w:rPr>
              <w:t>2015/16</w:t>
            </w:r>
          </w:p>
        </w:tc>
      </w:tr>
      <w:tr w:rsidR="0077375F" w:rsidRPr="00821C20" w14:paraId="3899DA59" w14:textId="77777777" w:rsidTr="00821C20">
        <w:trPr>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14D25B9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Email</w:t>
            </w:r>
          </w:p>
        </w:tc>
        <w:tc>
          <w:tcPr>
            <w:tcW w:w="922" w:type="dxa"/>
          </w:tcPr>
          <w:p w14:paraId="6510E7A7"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762</w:t>
            </w:r>
          </w:p>
        </w:tc>
        <w:tc>
          <w:tcPr>
            <w:cnfStyle w:val="000010000000" w:firstRow="0" w:lastRow="0" w:firstColumn="0" w:lastColumn="0" w:oddVBand="1" w:evenVBand="0" w:oddHBand="0" w:evenHBand="0" w:firstRowFirstColumn="0" w:firstRowLastColumn="0" w:lastRowFirstColumn="0" w:lastRowLastColumn="0"/>
            <w:tcW w:w="921" w:type="dxa"/>
          </w:tcPr>
          <w:p w14:paraId="5493E129"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886</w:t>
            </w:r>
          </w:p>
        </w:tc>
        <w:tc>
          <w:tcPr>
            <w:tcW w:w="921" w:type="dxa"/>
          </w:tcPr>
          <w:p w14:paraId="4831C686"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889</w:t>
            </w:r>
          </w:p>
        </w:tc>
      </w:tr>
      <w:tr w:rsidR="0077375F" w:rsidRPr="00821C20" w14:paraId="37485908" w14:textId="77777777" w:rsidTr="00821C20">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015A4FBE"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Fax</w:t>
            </w:r>
          </w:p>
        </w:tc>
        <w:tc>
          <w:tcPr>
            <w:tcW w:w="922" w:type="dxa"/>
          </w:tcPr>
          <w:p w14:paraId="00B1E379"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27</w:t>
            </w:r>
          </w:p>
        </w:tc>
        <w:tc>
          <w:tcPr>
            <w:cnfStyle w:val="000010000000" w:firstRow="0" w:lastRow="0" w:firstColumn="0" w:lastColumn="0" w:oddVBand="1" w:evenVBand="0" w:oddHBand="0" w:evenHBand="0" w:firstRowFirstColumn="0" w:firstRowLastColumn="0" w:lastRowFirstColumn="0" w:lastRowLastColumn="0"/>
            <w:tcW w:w="921" w:type="dxa"/>
          </w:tcPr>
          <w:p w14:paraId="43705C52"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18</w:t>
            </w:r>
          </w:p>
        </w:tc>
        <w:tc>
          <w:tcPr>
            <w:tcW w:w="921" w:type="dxa"/>
          </w:tcPr>
          <w:p w14:paraId="48928014"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12</w:t>
            </w:r>
          </w:p>
        </w:tc>
      </w:tr>
      <w:tr w:rsidR="0077375F" w:rsidRPr="00821C20" w14:paraId="4FBA0418" w14:textId="77777777" w:rsidTr="00821C20">
        <w:trPr>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6D8C529B"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 person</w:t>
            </w:r>
          </w:p>
        </w:tc>
        <w:tc>
          <w:tcPr>
            <w:tcW w:w="922" w:type="dxa"/>
          </w:tcPr>
          <w:p w14:paraId="3B4A082F"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92</w:t>
            </w:r>
          </w:p>
        </w:tc>
        <w:tc>
          <w:tcPr>
            <w:cnfStyle w:val="000010000000" w:firstRow="0" w:lastRow="0" w:firstColumn="0" w:lastColumn="0" w:oddVBand="1" w:evenVBand="0" w:oddHBand="0" w:evenHBand="0" w:firstRowFirstColumn="0" w:firstRowLastColumn="0" w:lastRowFirstColumn="0" w:lastRowLastColumn="0"/>
            <w:tcW w:w="921" w:type="dxa"/>
          </w:tcPr>
          <w:p w14:paraId="2228C0ED"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96</w:t>
            </w:r>
          </w:p>
        </w:tc>
        <w:tc>
          <w:tcPr>
            <w:tcW w:w="921" w:type="dxa"/>
          </w:tcPr>
          <w:p w14:paraId="107E1360"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88</w:t>
            </w:r>
          </w:p>
        </w:tc>
      </w:tr>
      <w:tr w:rsidR="0077375F" w:rsidRPr="00821C20" w14:paraId="43B91EE8" w14:textId="77777777" w:rsidTr="00821C20">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2E3BEBBB"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Instant message</w:t>
            </w:r>
          </w:p>
        </w:tc>
        <w:tc>
          <w:tcPr>
            <w:tcW w:w="922" w:type="dxa"/>
          </w:tcPr>
          <w:p w14:paraId="4BCF24B2"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673</w:t>
            </w:r>
          </w:p>
        </w:tc>
        <w:tc>
          <w:tcPr>
            <w:cnfStyle w:val="000010000000" w:firstRow="0" w:lastRow="0" w:firstColumn="0" w:lastColumn="0" w:oddVBand="1" w:evenVBand="0" w:oddHBand="0" w:evenHBand="0" w:firstRowFirstColumn="0" w:firstRowLastColumn="0" w:lastRowFirstColumn="0" w:lastRowLastColumn="0"/>
            <w:tcW w:w="921" w:type="dxa"/>
          </w:tcPr>
          <w:p w14:paraId="64BFB09B"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501</w:t>
            </w:r>
          </w:p>
        </w:tc>
        <w:tc>
          <w:tcPr>
            <w:tcW w:w="921" w:type="dxa"/>
          </w:tcPr>
          <w:p w14:paraId="28E71263"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290</w:t>
            </w:r>
          </w:p>
        </w:tc>
      </w:tr>
      <w:tr w:rsidR="0077375F" w:rsidRPr="00821C20" w14:paraId="26E5ED4E" w14:textId="77777777" w:rsidTr="00821C20">
        <w:trPr>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2FE373F0"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Letter</w:t>
            </w:r>
          </w:p>
        </w:tc>
        <w:tc>
          <w:tcPr>
            <w:tcW w:w="922" w:type="dxa"/>
          </w:tcPr>
          <w:p w14:paraId="43E386DE"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476</w:t>
            </w:r>
          </w:p>
        </w:tc>
        <w:tc>
          <w:tcPr>
            <w:cnfStyle w:val="000010000000" w:firstRow="0" w:lastRow="0" w:firstColumn="0" w:lastColumn="0" w:oddVBand="1" w:evenVBand="0" w:oddHBand="0" w:evenHBand="0" w:firstRowFirstColumn="0" w:firstRowLastColumn="0" w:lastRowFirstColumn="0" w:lastRowLastColumn="0"/>
            <w:tcW w:w="921" w:type="dxa"/>
          </w:tcPr>
          <w:p w14:paraId="0AB9D3D6"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331</w:t>
            </w:r>
          </w:p>
        </w:tc>
        <w:tc>
          <w:tcPr>
            <w:tcW w:w="921" w:type="dxa"/>
          </w:tcPr>
          <w:p w14:paraId="16005C69"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270</w:t>
            </w:r>
          </w:p>
        </w:tc>
      </w:tr>
      <w:tr w:rsidR="0077375F" w:rsidRPr="00821C20" w14:paraId="10C8B921" w14:textId="77777777" w:rsidTr="00821C20">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5DCD95E9"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Phone</w:t>
            </w:r>
          </w:p>
        </w:tc>
        <w:tc>
          <w:tcPr>
            <w:tcW w:w="922" w:type="dxa"/>
          </w:tcPr>
          <w:p w14:paraId="32FCFDE9"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6384</w:t>
            </w:r>
          </w:p>
        </w:tc>
        <w:tc>
          <w:tcPr>
            <w:cnfStyle w:val="000010000000" w:firstRow="0" w:lastRow="0" w:firstColumn="0" w:lastColumn="0" w:oddVBand="1" w:evenVBand="0" w:oddHBand="0" w:evenHBand="0" w:firstRowFirstColumn="0" w:firstRowLastColumn="0" w:lastRowFirstColumn="0" w:lastRowLastColumn="0"/>
            <w:tcW w:w="921" w:type="dxa"/>
          </w:tcPr>
          <w:p w14:paraId="2EA5AD8F"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6587</w:t>
            </w:r>
          </w:p>
        </w:tc>
        <w:tc>
          <w:tcPr>
            <w:tcW w:w="921" w:type="dxa"/>
          </w:tcPr>
          <w:p w14:paraId="25001F97"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5799</w:t>
            </w:r>
          </w:p>
        </w:tc>
      </w:tr>
      <w:tr w:rsidR="0077375F" w:rsidRPr="00821C20" w14:paraId="3323395F" w14:textId="77777777" w:rsidTr="00821C20">
        <w:trPr>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7F72CF39"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Web form</w:t>
            </w:r>
          </w:p>
        </w:tc>
        <w:tc>
          <w:tcPr>
            <w:tcW w:w="922" w:type="dxa"/>
          </w:tcPr>
          <w:p w14:paraId="7284AC4C"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743</w:t>
            </w:r>
          </w:p>
        </w:tc>
        <w:tc>
          <w:tcPr>
            <w:cnfStyle w:val="000010000000" w:firstRow="0" w:lastRow="0" w:firstColumn="0" w:lastColumn="0" w:oddVBand="1" w:evenVBand="0" w:oddHBand="0" w:evenHBand="0" w:firstRowFirstColumn="0" w:firstRowLastColumn="0" w:lastRowFirstColumn="0" w:lastRowLastColumn="0"/>
            <w:tcW w:w="921" w:type="dxa"/>
          </w:tcPr>
          <w:p w14:paraId="66D2E3B5"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821C20">
              <w:rPr>
                <w:rFonts w:ascii="Arial" w:hAnsi="Arial" w:cs="Arial"/>
                <w:color w:val="000000"/>
                <w:sz w:val="20"/>
                <w:szCs w:val="20"/>
                <w:lang w:eastAsia="en-US"/>
              </w:rPr>
              <w:t>756</w:t>
            </w:r>
          </w:p>
        </w:tc>
        <w:tc>
          <w:tcPr>
            <w:tcW w:w="921" w:type="dxa"/>
          </w:tcPr>
          <w:p w14:paraId="43767996" w14:textId="77777777" w:rsidR="0077375F" w:rsidRPr="00821C20"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821C20">
              <w:rPr>
                <w:rFonts w:ascii="Arial" w:hAnsi="Arial" w:cs="Arial"/>
                <w:color w:val="000000"/>
                <w:sz w:val="20"/>
                <w:szCs w:val="20"/>
                <w:lang w:eastAsia="en-US"/>
              </w:rPr>
              <w:t>822</w:t>
            </w:r>
          </w:p>
        </w:tc>
      </w:tr>
      <w:tr w:rsidR="0077375F" w:rsidRPr="00821C20" w14:paraId="4E9199A0" w14:textId="77777777" w:rsidTr="00821C20">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821" w:type="dxa"/>
          </w:tcPr>
          <w:p w14:paraId="695CCF18" w14:textId="77777777" w:rsidR="0077375F" w:rsidRPr="00821C20" w:rsidRDefault="0077375F" w:rsidP="0077375F">
            <w:pPr>
              <w:pStyle w:val="VEOHRCBodytext"/>
              <w:rPr>
                <w:rFonts w:cs="Arial"/>
                <w:b/>
                <w:sz w:val="20"/>
                <w:szCs w:val="20"/>
                <w:lang w:eastAsia="en-US"/>
              </w:rPr>
            </w:pPr>
            <w:r w:rsidRPr="00821C20">
              <w:rPr>
                <w:rFonts w:cs="Arial"/>
                <w:b/>
                <w:sz w:val="20"/>
                <w:szCs w:val="20"/>
                <w:lang w:eastAsia="en-US"/>
              </w:rPr>
              <w:t>Total</w:t>
            </w:r>
          </w:p>
        </w:tc>
        <w:tc>
          <w:tcPr>
            <w:tcW w:w="922" w:type="dxa"/>
          </w:tcPr>
          <w:p w14:paraId="2881C6E7" w14:textId="77777777" w:rsidR="0077375F" w:rsidRPr="00821C20"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821C20">
              <w:rPr>
                <w:rFonts w:cs="Arial"/>
                <w:b/>
                <w:sz w:val="20"/>
                <w:szCs w:val="20"/>
                <w:lang w:eastAsia="en-US"/>
              </w:rPr>
              <w:t>9157</w:t>
            </w:r>
          </w:p>
        </w:tc>
        <w:tc>
          <w:tcPr>
            <w:cnfStyle w:val="000010000000" w:firstRow="0" w:lastRow="0" w:firstColumn="0" w:lastColumn="0" w:oddVBand="1" w:evenVBand="0" w:oddHBand="0" w:evenHBand="0" w:firstRowFirstColumn="0" w:firstRowLastColumn="0" w:lastRowFirstColumn="0" w:lastRowLastColumn="0"/>
            <w:tcW w:w="921" w:type="dxa"/>
          </w:tcPr>
          <w:p w14:paraId="15B85713" w14:textId="77777777" w:rsidR="0077375F" w:rsidRPr="00821C20" w:rsidRDefault="0077375F" w:rsidP="0077375F">
            <w:pPr>
              <w:pStyle w:val="VEOHRCBodytext"/>
              <w:rPr>
                <w:rFonts w:cs="Arial"/>
                <w:b/>
                <w:sz w:val="20"/>
                <w:szCs w:val="20"/>
                <w:lang w:eastAsia="en-US"/>
              </w:rPr>
            </w:pPr>
            <w:r w:rsidRPr="00821C20">
              <w:rPr>
                <w:rFonts w:cs="Arial"/>
                <w:b/>
                <w:sz w:val="20"/>
                <w:szCs w:val="20"/>
                <w:lang w:eastAsia="en-US"/>
              </w:rPr>
              <w:t>9175</w:t>
            </w:r>
          </w:p>
        </w:tc>
        <w:tc>
          <w:tcPr>
            <w:tcW w:w="921" w:type="dxa"/>
          </w:tcPr>
          <w:p w14:paraId="5BF12E7F" w14:textId="77777777" w:rsidR="0077375F" w:rsidRPr="00821C20"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821C20">
              <w:rPr>
                <w:rFonts w:cs="Arial"/>
                <w:b/>
                <w:sz w:val="20"/>
                <w:szCs w:val="20"/>
                <w:lang w:eastAsia="en-US"/>
              </w:rPr>
              <w:t>8170</w:t>
            </w:r>
          </w:p>
        </w:tc>
      </w:tr>
    </w:tbl>
    <w:p w14:paraId="51194FE7" w14:textId="77777777" w:rsidR="00821C20" w:rsidRDefault="00821C20" w:rsidP="0077375F">
      <w:pPr>
        <w:widowControl w:val="0"/>
        <w:suppressAutoHyphens/>
        <w:autoSpaceDE w:val="0"/>
        <w:autoSpaceDN w:val="0"/>
        <w:adjustRightInd w:val="0"/>
        <w:spacing w:line="288" w:lineRule="auto"/>
        <w:textAlignment w:val="center"/>
        <w:rPr>
          <w:rFonts w:ascii="ArialMT-Medium" w:hAnsi="ArialMT-Medium" w:cs="ArialMT-Medium"/>
          <w:color w:val="000000"/>
          <w:sz w:val="21"/>
          <w:szCs w:val="21"/>
          <w:lang w:eastAsia="en-US"/>
        </w:rPr>
        <w:sectPr w:rsidR="00821C20" w:rsidSect="00E2047F">
          <w:pgSz w:w="11906" w:h="16838" w:code="9"/>
          <w:pgMar w:top="1134" w:right="1418" w:bottom="1134" w:left="1418" w:header="709" w:footer="272" w:gutter="0"/>
          <w:cols w:space="708"/>
          <w:titlePg/>
          <w:docGrid w:linePitch="360"/>
        </w:sectPr>
      </w:pPr>
    </w:p>
    <w:p w14:paraId="42BF60A6" w14:textId="239CCAB5" w:rsidR="0077375F" w:rsidRPr="0077375F" w:rsidRDefault="0077375F" w:rsidP="0077375F">
      <w:pPr>
        <w:widowControl w:val="0"/>
        <w:suppressAutoHyphens/>
        <w:autoSpaceDE w:val="0"/>
        <w:autoSpaceDN w:val="0"/>
        <w:adjustRightInd w:val="0"/>
        <w:spacing w:line="288" w:lineRule="auto"/>
        <w:textAlignment w:val="center"/>
        <w:rPr>
          <w:rFonts w:ascii="ArialMT-Medium" w:hAnsi="ArialMT-Medium" w:cs="ArialMT-Medium"/>
          <w:color w:val="000000"/>
          <w:sz w:val="21"/>
          <w:szCs w:val="21"/>
          <w:lang w:eastAsia="en-US"/>
        </w:rPr>
      </w:pPr>
    </w:p>
    <w:p w14:paraId="576979EB" w14:textId="75508A29" w:rsidR="0077375F" w:rsidRPr="0077375F" w:rsidRDefault="0077375F" w:rsidP="0077375F">
      <w:pPr>
        <w:pStyle w:val="VEOHRCHeading3"/>
        <w:rPr>
          <w:lang w:eastAsia="en-US"/>
        </w:rPr>
      </w:pPr>
      <w:r w:rsidRPr="0077375F">
        <w:rPr>
          <w:lang w:eastAsia="en-US"/>
        </w:rPr>
        <w:t xml:space="preserve">Issues </w:t>
      </w:r>
      <w:proofErr w:type="gramStart"/>
      <w:r w:rsidRPr="0077375F">
        <w:rPr>
          <w:lang w:eastAsia="en-US"/>
        </w:rPr>
        <w:t>raised</w:t>
      </w:r>
      <w:proofErr w:type="gramEnd"/>
      <w:r w:rsidRPr="0077375F">
        <w:rPr>
          <w:lang w:eastAsia="en-US"/>
        </w:rPr>
        <w:t xml:space="preserve"> from enquiries for 2013/14, 2014/15 and 2015/16</w:t>
      </w:r>
    </w:p>
    <w:tbl>
      <w:tblPr>
        <w:tblStyle w:val="LightList"/>
        <w:tblW w:w="9054" w:type="dxa"/>
        <w:tblLook w:val="0000" w:firstRow="0" w:lastRow="0" w:firstColumn="0" w:lastColumn="0" w:noHBand="0" w:noVBand="0"/>
      </w:tblPr>
      <w:tblGrid>
        <w:gridCol w:w="3956"/>
        <w:gridCol w:w="1274"/>
        <w:gridCol w:w="1275"/>
        <w:gridCol w:w="1275"/>
        <w:gridCol w:w="1274"/>
      </w:tblGrid>
      <w:tr w:rsidR="00AF1CE6" w:rsidRPr="00821C20" w14:paraId="1A769483"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476FF65" w14:textId="77777777" w:rsidR="0077375F" w:rsidRPr="00821C20" w:rsidRDefault="0077375F" w:rsidP="0077375F">
            <w:pPr>
              <w:widowControl w:val="0"/>
              <w:suppressAutoHyphens/>
              <w:autoSpaceDE w:val="0"/>
              <w:autoSpaceDN w:val="0"/>
              <w:adjustRightInd w:val="0"/>
              <w:spacing w:after="129" w:line="250" w:lineRule="atLeast"/>
              <w:textAlignment w:val="center"/>
              <w:rPr>
                <w:rFonts w:ascii="Arial" w:hAnsi="Arial" w:cs="Arial"/>
                <w:b/>
                <w:color w:val="000000"/>
                <w:sz w:val="20"/>
                <w:szCs w:val="20"/>
                <w:lang w:val="en-GB" w:eastAsia="en-US"/>
              </w:rPr>
            </w:pPr>
            <w:r w:rsidRPr="00821C20">
              <w:rPr>
                <w:rFonts w:ascii="Arial" w:hAnsi="Arial" w:cs="Arial"/>
                <w:b/>
                <w:caps/>
                <w:color w:val="000000"/>
                <w:sz w:val="20"/>
                <w:szCs w:val="20"/>
                <w:lang w:val="en-GB" w:eastAsia="en-US"/>
              </w:rPr>
              <w:t>Issue</w:t>
            </w:r>
          </w:p>
        </w:tc>
        <w:tc>
          <w:tcPr>
            <w:tcW w:w="1274" w:type="dxa"/>
          </w:tcPr>
          <w:p w14:paraId="6430830E" w14:textId="77777777" w:rsidR="0077375F" w:rsidRPr="00821C20" w:rsidRDefault="0077375F" w:rsidP="00821C20">
            <w:pPr>
              <w:widowControl w:val="0"/>
              <w:suppressAutoHyphens/>
              <w:autoSpaceDE w:val="0"/>
              <w:autoSpaceDN w:val="0"/>
              <w:adjustRightInd w:val="0"/>
              <w:spacing w:after="129"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US"/>
              </w:rPr>
            </w:pPr>
            <w:r w:rsidRPr="00821C20">
              <w:rPr>
                <w:rFonts w:ascii="Arial" w:hAnsi="Arial" w:cs="Arial"/>
                <w:b/>
                <w:caps/>
                <w:color w:val="000000"/>
                <w:sz w:val="20"/>
                <w:szCs w:val="20"/>
                <w:lang w:val="en-GB" w:eastAsia="en-US"/>
              </w:rPr>
              <w:t>13/14</w:t>
            </w:r>
          </w:p>
        </w:tc>
        <w:tc>
          <w:tcPr>
            <w:cnfStyle w:val="000010000000" w:firstRow="0" w:lastRow="0" w:firstColumn="0" w:lastColumn="0" w:oddVBand="1" w:evenVBand="0" w:oddHBand="0" w:evenHBand="0" w:firstRowFirstColumn="0" w:firstRowLastColumn="0" w:lastRowFirstColumn="0" w:lastRowLastColumn="0"/>
            <w:tcW w:w="1275" w:type="dxa"/>
          </w:tcPr>
          <w:p w14:paraId="3420A739" w14:textId="77777777" w:rsidR="0077375F" w:rsidRPr="00821C20" w:rsidRDefault="0077375F" w:rsidP="00821C20">
            <w:pPr>
              <w:widowControl w:val="0"/>
              <w:suppressAutoHyphens/>
              <w:autoSpaceDE w:val="0"/>
              <w:autoSpaceDN w:val="0"/>
              <w:adjustRightInd w:val="0"/>
              <w:spacing w:after="129" w:line="250" w:lineRule="atLeast"/>
              <w:jc w:val="right"/>
              <w:textAlignment w:val="center"/>
              <w:rPr>
                <w:rFonts w:ascii="Arial" w:hAnsi="Arial" w:cs="Arial"/>
                <w:b/>
                <w:color w:val="000000"/>
                <w:sz w:val="20"/>
                <w:szCs w:val="20"/>
                <w:lang w:val="en-GB" w:eastAsia="en-US"/>
              </w:rPr>
            </w:pPr>
            <w:r w:rsidRPr="00821C20">
              <w:rPr>
                <w:rFonts w:ascii="Arial" w:hAnsi="Arial" w:cs="Arial"/>
                <w:b/>
                <w:caps/>
                <w:color w:val="000000"/>
                <w:sz w:val="20"/>
                <w:szCs w:val="20"/>
                <w:lang w:val="en-GB" w:eastAsia="en-US"/>
              </w:rPr>
              <w:t>14/15</w:t>
            </w:r>
          </w:p>
        </w:tc>
        <w:tc>
          <w:tcPr>
            <w:tcW w:w="1275" w:type="dxa"/>
          </w:tcPr>
          <w:p w14:paraId="63BC0834" w14:textId="77777777" w:rsidR="0077375F" w:rsidRPr="00821C20" w:rsidRDefault="0077375F" w:rsidP="00821C20">
            <w:pPr>
              <w:widowControl w:val="0"/>
              <w:suppressAutoHyphens/>
              <w:autoSpaceDE w:val="0"/>
              <w:autoSpaceDN w:val="0"/>
              <w:adjustRightInd w:val="0"/>
              <w:spacing w:after="129"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US"/>
              </w:rPr>
            </w:pPr>
            <w:r w:rsidRPr="00821C20">
              <w:rPr>
                <w:rFonts w:ascii="Arial" w:hAnsi="Arial" w:cs="Arial"/>
                <w:b/>
                <w:caps/>
                <w:color w:val="000000"/>
                <w:sz w:val="20"/>
                <w:szCs w:val="20"/>
                <w:lang w:val="en-GB" w:eastAsia="en-US"/>
              </w:rPr>
              <w:t>15/16</w:t>
            </w:r>
          </w:p>
        </w:tc>
        <w:tc>
          <w:tcPr>
            <w:cnfStyle w:val="000010000000" w:firstRow="0" w:lastRow="0" w:firstColumn="0" w:lastColumn="0" w:oddVBand="1" w:evenVBand="0" w:oddHBand="0" w:evenHBand="0" w:firstRowFirstColumn="0" w:firstRowLastColumn="0" w:lastRowFirstColumn="0" w:lastRowLastColumn="0"/>
            <w:tcW w:w="1274" w:type="dxa"/>
          </w:tcPr>
          <w:p w14:paraId="3F938C35" w14:textId="77777777" w:rsidR="0077375F" w:rsidRPr="00821C20" w:rsidRDefault="0077375F" w:rsidP="00821C20">
            <w:pPr>
              <w:widowControl w:val="0"/>
              <w:suppressAutoHyphens/>
              <w:autoSpaceDE w:val="0"/>
              <w:autoSpaceDN w:val="0"/>
              <w:adjustRightInd w:val="0"/>
              <w:spacing w:after="129" w:line="250" w:lineRule="atLeast"/>
              <w:jc w:val="right"/>
              <w:textAlignment w:val="center"/>
              <w:rPr>
                <w:rFonts w:ascii="Arial" w:hAnsi="Arial" w:cs="Arial"/>
                <w:b/>
                <w:color w:val="000000"/>
                <w:sz w:val="20"/>
                <w:szCs w:val="20"/>
                <w:lang w:val="en-GB" w:eastAsia="en-US"/>
              </w:rPr>
            </w:pPr>
            <w:r w:rsidRPr="00821C20">
              <w:rPr>
                <w:rFonts w:ascii="Arial" w:hAnsi="Arial" w:cs="Arial"/>
                <w:b/>
                <w:caps/>
                <w:color w:val="000000"/>
                <w:sz w:val="20"/>
                <w:szCs w:val="20"/>
                <w:lang w:val="en-GB" w:eastAsia="en-US"/>
              </w:rPr>
              <w:t xml:space="preserve">3 </w:t>
            </w:r>
            <w:proofErr w:type="spellStart"/>
            <w:r w:rsidRPr="00821C20">
              <w:rPr>
                <w:rFonts w:ascii="Arial" w:hAnsi="Arial" w:cs="Arial"/>
                <w:b/>
                <w:caps/>
                <w:color w:val="000000"/>
                <w:sz w:val="20"/>
                <w:szCs w:val="20"/>
                <w:lang w:val="en-GB" w:eastAsia="en-US"/>
              </w:rPr>
              <w:t>Y</w:t>
            </w:r>
            <w:r w:rsidRPr="00821C20">
              <w:rPr>
                <w:rStyle w:val="VEOHRCBodytextChar"/>
                <w:rFonts w:cs="Arial"/>
                <w:b/>
                <w:sz w:val="20"/>
                <w:szCs w:val="20"/>
                <w:lang w:eastAsia="en-US"/>
              </w:rPr>
              <w:t>r</w:t>
            </w:r>
            <w:proofErr w:type="spellEnd"/>
            <w:r w:rsidRPr="00821C20">
              <w:rPr>
                <w:rFonts w:ascii="Arial" w:hAnsi="Arial" w:cs="Arial"/>
                <w:b/>
                <w:caps/>
                <w:color w:val="000000"/>
                <w:sz w:val="20"/>
                <w:szCs w:val="20"/>
                <w:lang w:val="en-GB" w:eastAsia="en-US"/>
              </w:rPr>
              <w:t xml:space="preserve"> </w:t>
            </w:r>
            <w:r w:rsidRPr="00821C20">
              <w:rPr>
                <w:rStyle w:val="VEOHRCBodytextChar"/>
                <w:rFonts w:cs="Arial"/>
                <w:b/>
                <w:sz w:val="20"/>
                <w:szCs w:val="20"/>
                <w:lang w:eastAsia="en-US"/>
              </w:rPr>
              <w:t>Total</w:t>
            </w:r>
          </w:p>
        </w:tc>
      </w:tr>
      <w:tr w:rsidR="00AF1CE6" w:rsidRPr="00821C20" w14:paraId="5C8AB348"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22C3576"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Age</w:t>
            </w:r>
          </w:p>
        </w:tc>
        <w:tc>
          <w:tcPr>
            <w:tcW w:w="1274" w:type="dxa"/>
          </w:tcPr>
          <w:p w14:paraId="050BE1D6"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461</w:t>
            </w:r>
          </w:p>
        </w:tc>
        <w:tc>
          <w:tcPr>
            <w:cnfStyle w:val="000010000000" w:firstRow="0" w:lastRow="0" w:firstColumn="0" w:lastColumn="0" w:oddVBand="1" w:evenVBand="0" w:oddHBand="0" w:evenHBand="0" w:firstRowFirstColumn="0" w:firstRowLastColumn="0" w:lastRowFirstColumn="0" w:lastRowLastColumn="0"/>
            <w:tcW w:w="1275" w:type="dxa"/>
          </w:tcPr>
          <w:p w14:paraId="33E38CC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500</w:t>
            </w:r>
          </w:p>
        </w:tc>
        <w:tc>
          <w:tcPr>
            <w:tcW w:w="1275" w:type="dxa"/>
          </w:tcPr>
          <w:p w14:paraId="3B9CBDC8"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402</w:t>
            </w:r>
          </w:p>
        </w:tc>
        <w:tc>
          <w:tcPr>
            <w:cnfStyle w:val="000010000000" w:firstRow="0" w:lastRow="0" w:firstColumn="0" w:lastColumn="0" w:oddVBand="1" w:evenVBand="0" w:oddHBand="0" w:evenHBand="0" w:firstRowFirstColumn="0" w:firstRowLastColumn="0" w:lastRowFirstColumn="0" w:lastRowLastColumn="0"/>
            <w:tcW w:w="1274" w:type="dxa"/>
          </w:tcPr>
          <w:p w14:paraId="0729756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1363</w:t>
            </w:r>
          </w:p>
        </w:tc>
      </w:tr>
      <w:tr w:rsidR="00AF1CE6" w:rsidRPr="00821C20" w14:paraId="13FDC90E"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00CC572"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Authorising and assisting</w:t>
            </w:r>
          </w:p>
        </w:tc>
        <w:tc>
          <w:tcPr>
            <w:tcW w:w="1274" w:type="dxa"/>
          </w:tcPr>
          <w:p w14:paraId="14FF7CA9"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63</w:t>
            </w:r>
          </w:p>
        </w:tc>
        <w:tc>
          <w:tcPr>
            <w:cnfStyle w:val="000010000000" w:firstRow="0" w:lastRow="0" w:firstColumn="0" w:lastColumn="0" w:oddVBand="1" w:evenVBand="0" w:oddHBand="0" w:evenHBand="0" w:firstRowFirstColumn="0" w:firstRowLastColumn="0" w:lastRowFirstColumn="0" w:lastRowLastColumn="0"/>
            <w:tcW w:w="1275" w:type="dxa"/>
          </w:tcPr>
          <w:p w14:paraId="285E157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63</w:t>
            </w:r>
          </w:p>
        </w:tc>
        <w:tc>
          <w:tcPr>
            <w:tcW w:w="1275" w:type="dxa"/>
          </w:tcPr>
          <w:p w14:paraId="3C6B6228"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30</w:t>
            </w:r>
          </w:p>
        </w:tc>
        <w:tc>
          <w:tcPr>
            <w:cnfStyle w:val="000010000000" w:firstRow="0" w:lastRow="0" w:firstColumn="0" w:lastColumn="0" w:oddVBand="1" w:evenVBand="0" w:oddHBand="0" w:evenHBand="0" w:firstRowFirstColumn="0" w:firstRowLastColumn="0" w:lastRowFirstColumn="0" w:lastRowLastColumn="0"/>
            <w:tcW w:w="1274" w:type="dxa"/>
          </w:tcPr>
          <w:p w14:paraId="7EA17B2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156</w:t>
            </w:r>
          </w:p>
        </w:tc>
      </w:tr>
      <w:tr w:rsidR="00AF1CE6" w:rsidRPr="00821C20" w14:paraId="0C8A2B1D"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A16E1C0"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Breastfeeding</w:t>
            </w:r>
          </w:p>
        </w:tc>
        <w:tc>
          <w:tcPr>
            <w:tcW w:w="1274" w:type="dxa"/>
          </w:tcPr>
          <w:p w14:paraId="2ADF370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37</w:t>
            </w:r>
          </w:p>
        </w:tc>
        <w:tc>
          <w:tcPr>
            <w:cnfStyle w:val="000010000000" w:firstRow="0" w:lastRow="0" w:firstColumn="0" w:lastColumn="0" w:oddVBand="1" w:evenVBand="0" w:oddHBand="0" w:evenHBand="0" w:firstRowFirstColumn="0" w:firstRowLastColumn="0" w:lastRowFirstColumn="0" w:lastRowLastColumn="0"/>
            <w:tcW w:w="1275" w:type="dxa"/>
          </w:tcPr>
          <w:p w14:paraId="504FBF5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30</w:t>
            </w:r>
          </w:p>
        </w:tc>
        <w:tc>
          <w:tcPr>
            <w:tcW w:w="1275" w:type="dxa"/>
          </w:tcPr>
          <w:p w14:paraId="1E6B7F36"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27</w:t>
            </w:r>
          </w:p>
        </w:tc>
        <w:tc>
          <w:tcPr>
            <w:cnfStyle w:val="000010000000" w:firstRow="0" w:lastRow="0" w:firstColumn="0" w:lastColumn="0" w:oddVBand="1" w:evenVBand="0" w:oddHBand="0" w:evenHBand="0" w:firstRowFirstColumn="0" w:firstRowLastColumn="0" w:lastRowFirstColumn="0" w:lastRowLastColumn="0"/>
            <w:tcW w:w="1274" w:type="dxa"/>
          </w:tcPr>
          <w:p w14:paraId="1CFC0CF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94</w:t>
            </w:r>
          </w:p>
        </w:tc>
      </w:tr>
      <w:tr w:rsidR="00AF1CE6" w:rsidRPr="00821C20" w14:paraId="2A4E69B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BA4A0AC"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Carer status</w:t>
            </w:r>
          </w:p>
        </w:tc>
        <w:tc>
          <w:tcPr>
            <w:tcW w:w="1274" w:type="dxa"/>
          </w:tcPr>
          <w:p w14:paraId="65B4B59B"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370</w:t>
            </w:r>
          </w:p>
        </w:tc>
        <w:tc>
          <w:tcPr>
            <w:cnfStyle w:val="000010000000" w:firstRow="0" w:lastRow="0" w:firstColumn="0" w:lastColumn="0" w:oddVBand="1" w:evenVBand="0" w:oddHBand="0" w:evenHBand="0" w:firstRowFirstColumn="0" w:firstRowLastColumn="0" w:lastRowFirstColumn="0" w:lastRowLastColumn="0"/>
            <w:tcW w:w="1275" w:type="dxa"/>
          </w:tcPr>
          <w:p w14:paraId="60A7F45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377</w:t>
            </w:r>
          </w:p>
        </w:tc>
        <w:tc>
          <w:tcPr>
            <w:tcW w:w="1275" w:type="dxa"/>
          </w:tcPr>
          <w:p w14:paraId="2654AEAE"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308</w:t>
            </w:r>
          </w:p>
        </w:tc>
        <w:tc>
          <w:tcPr>
            <w:cnfStyle w:val="000010000000" w:firstRow="0" w:lastRow="0" w:firstColumn="0" w:lastColumn="0" w:oddVBand="1" w:evenVBand="0" w:oddHBand="0" w:evenHBand="0" w:firstRowFirstColumn="0" w:firstRowLastColumn="0" w:lastRowFirstColumn="0" w:lastRowLastColumn="0"/>
            <w:tcW w:w="1274" w:type="dxa"/>
          </w:tcPr>
          <w:p w14:paraId="19BE083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1055</w:t>
            </w:r>
          </w:p>
        </w:tc>
      </w:tr>
      <w:tr w:rsidR="00AF1CE6" w:rsidRPr="00821C20" w14:paraId="46EE3E0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D39963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Charter of Human Rights</w:t>
            </w:r>
          </w:p>
        </w:tc>
        <w:tc>
          <w:tcPr>
            <w:tcW w:w="1274" w:type="dxa"/>
          </w:tcPr>
          <w:p w14:paraId="4544EA43"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158</w:t>
            </w:r>
          </w:p>
        </w:tc>
        <w:tc>
          <w:tcPr>
            <w:cnfStyle w:val="000010000000" w:firstRow="0" w:lastRow="0" w:firstColumn="0" w:lastColumn="0" w:oddVBand="1" w:evenVBand="0" w:oddHBand="0" w:evenHBand="0" w:firstRowFirstColumn="0" w:firstRowLastColumn="0" w:lastRowFirstColumn="0" w:lastRowLastColumn="0"/>
            <w:tcW w:w="1275" w:type="dxa"/>
          </w:tcPr>
          <w:p w14:paraId="7FDBF935"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264</w:t>
            </w:r>
          </w:p>
        </w:tc>
        <w:tc>
          <w:tcPr>
            <w:tcW w:w="1275" w:type="dxa"/>
          </w:tcPr>
          <w:p w14:paraId="34F46389"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157</w:t>
            </w:r>
          </w:p>
        </w:tc>
        <w:tc>
          <w:tcPr>
            <w:cnfStyle w:val="000010000000" w:firstRow="0" w:lastRow="0" w:firstColumn="0" w:lastColumn="0" w:oddVBand="1" w:evenVBand="0" w:oddHBand="0" w:evenHBand="0" w:firstRowFirstColumn="0" w:firstRowLastColumn="0" w:lastRowFirstColumn="0" w:lastRowLastColumn="0"/>
            <w:tcW w:w="1274" w:type="dxa"/>
          </w:tcPr>
          <w:p w14:paraId="1E9B4D3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579</w:t>
            </w:r>
          </w:p>
        </w:tc>
      </w:tr>
      <w:tr w:rsidR="00AF1CE6" w:rsidRPr="00821C20" w14:paraId="05B7E9E5"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3CCD6BF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Child protection</w:t>
            </w:r>
          </w:p>
        </w:tc>
        <w:tc>
          <w:tcPr>
            <w:tcW w:w="1274" w:type="dxa"/>
          </w:tcPr>
          <w:p w14:paraId="2FB437D4"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12</w:t>
            </w:r>
          </w:p>
        </w:tc>
        <w:tc>
          <w:tcPr>
            <w:cnfStyle w:val="000010000000" w:firstRow="0" w:lastRow="0" w:firstColumn="0" w:lastColumn="0" w:oddVBand="1" w:evenVBand="0" w:oddHBand="0" w:evenHBand="0" w:firstRowFirstColumn="0" w:firstRowLastColumn="0" w:lastRowFirstColumn="0" w:lastRowLastColumn="0"/>
            <w:tcW w:w="1275" w:type="dxa"/>
          </w:tcPr>
          <w:p w14:paraId="2FCE89F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28</w:t>
            </w:r>
          </w:p>
        </w:tc>
        <w:tc>
          <w:tcPr>
            <w:tcW w:w="1275" w:type="dxa"/>
          </w:tcPr>
          <w:p w14:paraId="218FD3A6"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14</w:t>
            </w:r>
          </w:p>
        </w:tc>
        <w:tc>
          <w:tcPr>
            <w:cnfStyle w:val="000010000000" w:firstRow="0" w:lastRow="0" w:firstColumn="0" w:lastColumn="0" w:oddVBand="1" w:evenVBand="0" w:oddHBand="0" w:evenHBand="0" w:firstRowFirstColumn="0" w:firstRowLastColumn="0" w:lastRowFirstColumn="0" w:lastRowLastColumn="0"/>
            <w:tcW w:w="1274" w:type="dxa"/>
          </w:tcPr>
          <w:p w14:paraId="25B7580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54</w:t>
            </w:r>
          </w:p>
        </w:tc>
      </w:tr>
      <w:tr w:rsidR="00AF1CE6" w:rsidRPr="00821C20" w14:paraId="4995C83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B94AD43"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Court</w:t>
            </w:r>
          </w:p>
        </w:tc>
        <w:tc>
          <w:tcPr>
            <w:tcW w:w="1274" w:type="dxa"/>
          </w:tcPr>
          <w:p w14:paraId="11C7D097"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35</w:t>
            </w:r>
          </w:p>
        </w:tc>
        <w:tc>
          <w:tcPr>
            <w:cnfStyle w:val="000010000000" w:firstRow="0" w:lastRow="0" w:firstColumn="0" w:lastColumn="0" w:oddVBand="1" w:evenVBand="0" w:oddHBand="0" w:evenHBand="0" w:firstRowFirstColumn="0" w:firstRowLastColumn="0" w:lastRowFirstColumn="0" w:lastRowLastColumn="0"/>
            <w:tcW w:w="1275" w:type="dxa"/>
          </w:tcPr>
          <w:p w14:paraId="3999DE0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86</w:t>
            </w:r>
          </w:p>
        </w:tc>
        <w:tc>
          <w:tcPr>
            <w:tcW w:w="1275" w:type="dxa"/>
          </w:tcPr>
          <w:p w14:paraId="5EE7ED6A"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70</w:t>
            </w:r>
          </w:p>
        </w:tc>
        <w:tc>
          <w:tcPr>
            <w:cnfStyle w:val="000010000000" w:firstRow="0" w:lastRow="0" w:firstColumn="0" w:lastColumn="0" w:oddVBand="1" w:evenVBand="0" w:oddHBand="0" w:evenHBand="0" w:firstRowFirstColumn="0" w:firstRowLastColumn="0" w:lastRowFirstColumn="0" w:lastRowLastColumn="0"/>
            <w:tcW w:w="1274" w:type="dxa"/>
          </w:tcPr>
          <w:p w14:paraId="028BD5CD"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191</w:t>
            </w:r>
          </w:p>
        </w:tc>
      </w:tr>
      <w:tr w:rsidR="00AF1CE6" w:rsidRPr="00821C20" w14:paraId="58FF78AD"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22F401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Criminal record</w:t>
            </w:r>
          </w:p>
        </w:tc>
        <w:tc>
          <w:tcPr>
            <w:tcW w:w="1274" w:type="dxa"/>
          </w:tcPr>
          <w:p w14:paraId="39BAE68F"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55</w:t>
            </w:r>
          </w:p>
        </w:tc>
        <w:tc>
          <w:tcPr>
            <w:cnfStyle w:val="000010000000" w:firstRow="0" w:lastRow="0" w:firstColumn="0" w:lastColumn="0" w:oddVBand="1" w:evenVBand="0" w:oddHBand="0" w:evenHBand="0" w:firstRowFirstColumn="0" w:firstRowLastColumn="0" w:lastRowFirstColumn="0" w:lastRowLastColumn="0"/>
            <w:tcW w:w="1275" w:type="dxa"/>
          </w:tcPr>
          <w:p w14:paraId="522BCFD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62</w:t>
            </w:r>
          </w:p>
        </w:tc>
        <w:tc>
          <w:tcPr>
            <w:tcW w:w="1275" w:type="dxa"/>
          </w:tcPr>
          <w:p w14:paraId="75D26245"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39</w:t>
            </w:r>
          </w:p>
        </w:tc>
        <w:tc>
          <w:tcPr>
            <w:cnfStyle w:val="000010000000" w:firstRow="0" w:lastRow="0" w:firstColumn="0" w:lastColumn="0" w:oddVBand="1" w:evenVBand="0" w:oddHBand="0" w:evenHBand="0" w:firstRowFirstColumn="0" w:firstRowLastColumn="0" w:lastRowFirstColumn="0" w:lastRowLastColumn="0"/>
            <w:tcW w:w="1274" w:type="dxa"/>
          </w:tcPr>
          <w:p w14:paraId="2310DD1D"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156</w:t>
            </w:r>
          </w:p>
        </w:tc>
      </w:tr>
      <w:tr w:rsidR="00AF1CE6" w:rsidRPr="00821C20" w14:paraId="3AF90F1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BC56834"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Disability</w:t>
            </w:r>
          </w:p>
        </w:tc>
        <w:tc>
          <w:tcPr>
            <w:tcW w:w="1274" w:type="dxa"/>
          </w:tcPr>
          <w:p w14:paraId="3F3B672F"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2082</w:t>
            </w:r>
          </w:p>
        </w:tc>
        <w:tc>
          <w:tcPr>
            <w:cnfStyle w:val="000010000000" w:firstRow="0" w:lastRow="0" w:firstColumn="0" w:lastColumn="0" w:oddVBand="1" w:evenVBand="0" w:oddHBand="0" w:evenHBand="0" w:firstRowFirstColumn="0" w:firstRowLastColumn="0" w:lastRowFirstColumn="0" w:lastRowLastColumn="0"/>
            <w:tcW w:w="1275" w:type="dxa"/>
          </w:tcPr>
          <w:p w14:paraId="64F25D2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2178</w:t>
            </w:r>
          </w:p>
        </w:tc>
        <w:tc>
          <w:tcPr>
            <w:tcW w:w="1275" w:type="dxa"/>
          </w:tcPr>
          <w:p w14:paraId="40ED5ECA"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1808</w:t>
            </w:r>
          </w:p>
        </w:tc>
        <w:tc>
          <w:tcPr>
            <w:cnfStyle w:val="000010000000" w:firstRow="0" w:lastRow="0" w:firstColumn="0" w:lastColumn="0" w:oddVBand="1" w:evenVBand="0" w:oddHBand="0" w:evenHBand="0" w:firstRowFirstColumn="0" w:firstRowLastColumn="0" w:lastRowFirstColumn="0" w:lastRowLastColumn="0"/>
            <w:tcW w:w="1274" w:type="dxa"/>
          </w:tcPr>
          <w:p w14:paraId="6D5A443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6068</w:t>
            </w:r>
          </w:p>
        </w:tc>
      </w:tr>
      <w:tr w:rsidR="00AF1CE6" w:rsidRPr="00821C20" w14:paraId="63D4ACBA"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FC39B1F"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Discriminatory Advertisement</w:t>
            </w:r>
          </w:p>
        </w:tc>
        <w:tc>
          <w:tcPr>
            <w:tcW w:w="1274" w:type="dxa"/>
          </w:tcPr>
          <w:p w14:paraId="0E22EAF4"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24</w:t>
            </w:r>
          </w:p>
        </w:tc>
        <w:tc>
          <w:tcPr>
            <w:cnfStyle w:val="000010000000" w:firstRow="0" w:lastRow="0" w:firstColumn="0" w:lastColumn="0" w:oddVBand="1" w:evenVBand="0" w:oddHBand="0" w:evenHBand="0" w:firstRowFirstColumn="0" w:firstRowLastColumn="0" w:lastRowFirstColumn="0" w:lastRowLastColumn="0"/>
            <w:tcW w:w="1275" w:type="dxa"/>
          </w:tcPr>
          <w:p w14:paraId="6C9C3B53"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7</w:t>
            </w:r>
          </w:p>
        </w:tc>
        <w:tc>
          <w:tcPr>
            <w:tcW w:w="1275" w:type="dxa"/>
          </w:tcPr>
          <w:p w14:paraId="409CD132"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w:t>
            </w:r>
          </w:p>
        </w:tc>
        <w:tc>
          <w:tcPr>
            <w:cnfStyle w:val="000010000000" w:firstRow="0" w:lastRow="0" w:firstColumn="0" w:lastColumn="0" w:oddVBand="1" w:evenVBand="0" w:oddHBand="0" w:evenHBand="0" w:firstRowFirstColumn="0" w:firstRowLastColumn="0" w:lastRowFirstColumn="0" w:lastRowLastColumn="0"/>
            <w:tcW w:w="1274" w:type="dxa"/>
          </w:tcPr>
          <w:p w14:paraId="5B12305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34</w:t>
            </w:r>
          </w:p>
        </w:tc>
      </w:tr>
      <w:tr w:rsidR="00AF1CE6" w:rsidRPr="00821C20" w14:paraId="3254B6B6"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0F34DD5"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Discriminatory information request</w:t>
            </w:r>
          </w:p>
        </w:tc>
        <w:tc>
          <w:tcPr>
            <w:tcW w:w="1274" w:type="dxa"/>
          </w:tcPr>
          <w:p w14:paraId="40FDE4A8"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93</w:t>
            </w:r>
          </w:p>
        </w:tc>
        <w:tc>
          <w:tcPr>
            <w:cnfStyle w:val="000010000000" w:firstRow="0" w:lastRow="0" w:firstColumn="0" w:lastColumn="0" w:oddVBand="1" w:evenVBand="0" w:oddHBand="0" w:evenHBand="0" w:firstRowFirstColumn="0" w:firstRowLastColumn="0" w:lastRowFirstColumn="0" w:lastRowLastColumn="0"/>
            <w:tcW w:w="1275" w:type="dxa"/>
          </w:tcPr>
          <w:p w14:paraId="6739D9A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88</w:t>
            </w:r>
          </w:p>
        </w:tc>
        <w:tc>
          <w:tcPr>
            <w:tcW w:w="1275" w:type="dxa"/>
          </w:tcPr>
          <w:p w14:paraId="316070C1"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56</w:t>
            </w:r>
          </w:p>
        </w:tc>
        <w:tc>
          <w:tcPr>
            <w:cnfStyle w:val="000010000000" w:firstRow="0" w:lastRow="0" w:firstColumn="0" w:lastColumn="0" w:oddVBand="1" w:evenVBand="0" w:oddHBand="0" w:evenHBand="0" w:firstRowFirstColumn="0" w:firstRowLastColumn="0" w:lastRowFirstColumn="0" w:lastRowLastColumn="0"/>
            <w:tcW w:w="1274" w:type="dxa"/>
          </w:tcPr>
          <w:p w14:paraId="5BD26AB6"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237</w:t>
            </w:r>
          </w:p>
        </w:tc>
      </w:tr>
      <w:tr w:rsidR="00AF1CE6" w:rsidRPr="00821C20" w14:paraId="6E09341A"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6F241D9"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Education</w:t>
            </w:r>
          </w:p>
        </w:tc>
        <w:tc>
          <w:tcPr>
            <w:tcW w:w="1274" w:type="dxa"/>
          </w:tcPr>
          <w:p w14:paraId="46D52AF3"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38</w:t>
            </w:r>
          </w:p>
        </w:tc>
        <w:tc>
          <w:tcPr>
            <w:cnfStyle w:val="000010000000" w:firstRow="0" w:lastRow="0" w:firstColumn="0" w:lastColumn="0" w:oddVBand="1" w:evenVBand="0" w:oddHBand="0" w:evenHBand="0" w:firstRowFirstColumn="0" w:firstRowLastColumn="0" w:lastRowFirstColumn="0" w:lastRowLastColumn="0"/>
            <w:tcW w:w="1275" w:type="dxa"/>
          </w:tcPr>
          <w:p w14:paraId="7ADD95B3"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46</w:t>
            </w:r>
          </w:p>
        </w:tc>
        <w:tc>
          <w:tcPr>
            <w:tcW w:w="1275" w:type="dxa"/>
          </w:tcPr>
          <w:p w14:paraId="21C4E3AC"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13</w:t>
            </w:r>
          </w:p>
        </w:tc>
        <w:tc>
          <w:tcPr>
            <w:cnfStyle w:val="000010000000" w:firstRow="0" w:lastRow="0" w:firstColumn="0" w:lastColumn="0" w:oddVBand="1" w:evenVBand="0" w:oddHBand="0" w:evenHBand="0" w:firstRowFirstColumn="0" w:firstRowLastColumn="0" w:lastRowFirstColumn="0" w:lastRowLastColumn="0"/>
            <w:tcW w:w="1274" w:type="dxa"/>
          </w:tcPr>
          <w:p w14:paraId="195F09D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97</w:t>
            </w:r>
          </w:p>
        </w:tc>
      </w:tr>
      <w:tr w:rsidR="00AF1CE6" w:rsidRPr="00821C20" w14:paraId="6C9DAF84"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220AFB8"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Employment activity</w:t>
            </w:r>
          </w:p>
        </w:tc>
        <w:tc>
          <w:tcPr>
            <w:tcW w:w="1274" w:type="dxa"/>
          </w:tcPr>
          <w:p w14:paraId="6B0223CC"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533</w:t>
            </w:r>
          </w:p>
        </w:tc>
        <w:tc>
          <w:tcPr>
            <w:cnfStyle w:val="000010000000" w:firstRow="0" w:lastRow="0" w:firstColumn="0" w:lastColumn="0" w:oddVBand="1" w:evenVBand="0" w:oddHBand="0" w:evenHBand="0" w:firstRowFirstColumn="0" w:firstRowLastColumn="0" w:lastRowFirstColumn="0" w:lastRowLastColumn="0"/>
            <w:tcW w:w="1275" w:type="dxa"/>
          </w:tcPr>
          <w:p w14:paraId="4C242FF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387</w:t>
            </w:r>
          </w:p>
        </w:tc>
        <w:tc>
          <w:tcPr>
            <w:tcW w:w="1275" w:type="dxa"/>
          </w:tcPr>
          <w:p w14:paraId="2351BF86"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273</w:t>
            </w:r>
          </w:p>
        </w:tc>
        <w:tc>
          <w:tcPr>
            <w:cnfStyle w:val="000010000000" w:firstRow="0" w:lastRow="0" w:firstColumn="0" w:lastColumn="0" w:oddVBand="1" w:evenVBand="0" w:oddHBand="0" w:evenHBand="0" w:firstRowFirstColumn="0" w:firstRowLastColumn="0" w:lastRowFirstColumn="0" w:lastRowLastColumn="0"/>
            <w:tcW w:w="1274" w:type="dxa"/>
          </w:tcPr>
          <w:p w14:paraId="122D3D84"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1193</w:t>
            </w:r>
          </w:p>
        </w:tc>
      </w:tr>
      <w:tr w:rsidR="00AF1CE6" w:rsidRPr="00821C20" w14:paraId="2A848CCA"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8634E7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Employment Law</w:t>
            </w:r>
          </w:p>
        </w:tc>
        <w:tc>
          <w:tcPr>
            <w:tcW w:w="1274" w:type="dxa"/>
          </w:tcPr>
          <w:p w14:paraId="14C71536"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324</w:t>
            </w:r>
          </w:p>
        </w:tc>
        <w:tc>
          <w:tcPr>
            <w:cnfStyle w:val="000010000000" w:firstRow="0" w:lastRow="0" w:firstColumn="0" w:lastColumn="0" w:oddVBand="1" w:evenVBand="0" w:oddHBand="0" w:evenHBand="0" w:firstRowFirstColumn="0" w:firstRowLastColumn="0" w:lastRowFirstColumn="0" w:lastRowLastColumn="0"/>
            <w:tcW w:w="1275" w:type="dxa"/>
          </w:tcPr>
          <w:p w14:paraId="34857F93"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404</w:t>
            </w:r>
          </w:p>
        </w:tc>
        <w:tc>
          <w:tcPr>
            <w:tcW w:w="1275" w:type="dxa"/>
          </w:tcPr>
          <w:p w14:paraId="007C04C5"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266</w:t>
            </w:r>
          </w:p>
        </w:tc>
        <w:tc>
          <w:tcPr>
            <w:cnfStyle w:val="000010000000" w:firstRow="0" w:lastRow="0" w:firstColumn="0" w:lastColumn="0" w:oddVBand="1" w:evenVBand="0" w:oddHBand="0" w:evenHBand="0" w:firstRowFirstColumn="0" w:firstRowLastColumn="0" w:lastRowFirstColumn="0" w:lastRowLastColumn="0"/>
            <w:tcW w:w="1274" w:type="dxa"/>
          </w:tcPr>
          <w:p w14:paraId="30CFAF4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994</w:t>
            </w:r>
          </w:p>
        </w:tc>
      </w:tr>
      <w:tr w:rsidR="00AF1CE6" w:rsidRPr="00821C20" w14:paraId="2D60FE0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3A19FDBC"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Family Court</w:t>
            </w:r>
          </w:p>
        </w:tc>
        <w:tc>
          <w:tcPr>
            <w:tcW w:w="1274" w:type="dxa"/>
          </w:tcPr>
          <w:p w14:paraId="1227D70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25</w:t>
            </w:r>
          </w:p>
        </w:tc>
        <w:tc>
          <w:tcPr>
            <w:cnfStyle w:val="000010000000" w:firstRow="0" w:lastRow="0" w:firstColumn="0" w:lastColumn="0" w:oddVBand="1" w:evenVBand="0" w:oddHBand="0" w:evenHBand="0" w:firstRowFirstColumn="0" w:firstRowLastColumn="0" w:lastRowFirstColumn="0" w:lastRowLastColumn="0"/>
            <w:tcW w:w="1275" w:type="dxa"/>
          </w:tcPr>
          <w:p w14:paraId="1D71BCE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28</w:t>
            </w:r>
          </w:p>
        </w:tc>
        <w:tc>
          <w:tcPr>
            <w:tcW w:w="1275" w:type="dxa"/>
          </w:tcPr>
          <w:p w14:paraId="2F69BA92"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28</w:t>
            </w:r>
          </w:p>
        </w:tc>
        <w:tc>
          <w:tcPr>
            <w:cnfStyle w:val="000010000000" w:firstRow="0" w:lastRow="0" w:firstColumn="0" w:lastColumn="0" w:oddVBand="1" w:evenVBand="0" w:oddHBand="0" w:evenHBand="0" w:firstRowFirstColumn="0" w:firstRowLastColumn="0" w:lastRowFirstColumn="0" w:lastRowLastColumn="0"/>
            <w:tcW w:w="1274" w:type="dxa"/>
          </w:tcPr>
          <w:p w14:paraId="0627512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81</w:t>
            </w:r>
          </w:p>
        </w:tc>
      </w:tr>
      <w:tr w:rsidR="00AF1CE6" w:rsidRPr="00821C20" w14:paraId="2F2CBBC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CFE9A4C"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Gender identity</w:t>
            </w:r>
          </w:p>
        </w:tc>
        <w:tc>
          <w:tcPr>
            <w:tcW w:w="1274" w:type="dxa"/>
          </w:tcPr>
          <w:p w14:paraId="4E725F8D"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59</w:t>
            </w:r>
          </w:p>
        </w:tc>
        <w:tc>
          <w:tcPr>
            <w:cnfStyle w:val="000010000000" w:firstRow="0" w:lastRow="0" w:firstColumn="0" w:lastColumn="0" w:oddVBand="1" w:evenVBand="0" w:oddHBand="0" w:evenHBand="0" w:firstRowFirstColumn="0" w:firstRowLastColumn="0" w:lastRowFirstColumn="0" w:lastRowLastColumn="0"/>
            <w:tcW w:w="1275" w:type="dxa"/>
          </w:tcPr>
          <w:p w14:paraId="14C88D8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72</w:t>
            </w:r>
          </w:p>
        </w:tc>
        <w:tc>
          <w:tcPr>
            <w:tcW w:w="1275" w:type="dxa"/>
          </w:tcPr>
          <w:p w14:paraId="6CE922D7"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59</w:t>
            </w:r>
          </w:p>
        </w:tc>
        <w:tc>
          <w:tcPr>
            <w:cnfStyle w:val="000010000000" w:firstRow="0" w:lastRow="0" w:firstColumn="0" w:lastColumn="0" w:oddVBand="1" w:evenVBand="0" w:oddHBand="0" w:evenHBand="0" w:firstRowFirstColumn="0" w:firstRowLastColumn="0" w:lastRowFirstColumn="0" w:lastRowLastColumn="0"/>
            <w:tcW w:w="1274" w:type="dxa"/>
          </w:tcPr>
          <w:p w14:paraId="46EA8CE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190</w:t>
            </w:r>
          </w:p>
        </w:tc>
      </w:tr>
      <w:tr w:rsidR="00AF1CE6" w:rsidRPr="00821C20" w14:paraId="3B80ACB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22BD7A4"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Government - Federal</w:t>
            </w:r>
          </w:p>
        </w:tc>
        <w:tc>
          <w:tcPr>
            <w:tcW w:w="1274" w:type="dxa"/>
          </w:tcPr>
          <w:p w14:paraId="46FCAA6F"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49</w:t>
            </w:r>
          </w:p>
        </w:tc>
        <w:tc>
          <w:tcPr>
            <w:cnfStyle w:val="000010000000" w:firstRow="0" w:lastRow="0" w:firstColumn="0" w:lastColumn="0" w:oddVBand="1" w:evenVBand="0" w:oddHBand="0" w:evenHBand="0" w:firstRowFirstColumn="0" w:firstRowLastColumn="0" w:lastRowFirstColumn="0" w:lastRowLastColumn="0"/>
            <w:tcW w:w="1275" w:type="dxa"/>
          </w:tcPr>
          <w:p w14:paraId="662347D4"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52</w:t>
            </w:r>
          </w:p>
        </w:tc>
        <w:tc>
          <w:tcPr>
            <w:tcW w:w="1275" w:type="dxa"/>
          </w:tcPr>
          <w:p w14:paraId="7287723E"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39</w:t>
            </w:r>
          </w:p>
        </w:tc>
        <w:tc>
          <w:tcPr>
            <w:cnfStyle w:val="000010000000" w:firstRow="0" w:lastRow="0" w:firstColumn="0" w:lastColumn="0" w:oddVBand="1" w:evenVBand="0" w:oddHBand="0" w:evenHBand="0" w:firstRowFirstColumn="0" w:firstRowLastColumn="0" w:lastRowFirstColumn="0" w:lastRowLastColumn="0"/>
            <w:tcW w:w="1274" w:type="dxa"/>
          </w:tcPr>
          <w:p w14:paraId="5136B9B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140</w:t>
            </w:r>
          </w:p>
        </w:tc>
      </w:tr>
      <w:tr w:rsidR="00AF1CE6" w:rsidRPr="00821C20" w14:paraId="277628D3"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26F3B54"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Government - Local</w:t>
            </w:r>
          </w:p>
        </w:tc>
        <w:tc>
          <w:tcPr>
            <w:tcW w:w="1274" w:type="dxa"/>
          </w:tcPr>
          <w:p w14:paraId="1043E49A"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9</w:t>
            </w:r>
          </w:p>
        </w:tc>
        <w:tc>
          <w:tcPr>
            <w:cnfStyle w:val="000010000000" w:firstRow="0" w:lastRow="0" w:firstColumn="0" w:lastColumn="0" w:oddVBand="1" w:evenVBand="0" w:oddHBand="0" w:evenHBand="0" w:firstRowFirstColumn="0" w:firstRowLastColumn="0" w:lastRowFirstColumn="0" w:lastRowLastColumn="0"/>
            <w:tcW w:w="1275" w:type="dxa"/>
          </w:tcPr>
          <w:p w14:paraId="17A5AEA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19</w:t>
            </w:r>
          </w:p>
        </w:tc>
        <w:tc>
          <w:tcPr>
            <w:tcW w:w="1275" w:type="dxa"/>
          </w:tcPr>
          <w:p w14:paraId="4A2B0EAB"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8</w:t>
            </w:r>
          </w:p>
        </w:tc>
        <w:tc>
          <w:tcPr>
            <w:cnfStyle w:val="000010000000" w:firstRow="0" w:lastRow="0" w:firstColumn="0" w:lastColumn="0" w:oddVBand="1" w:evenVBand="0" w:oddHBand="0" w:evenHBand="0" w:firstRowFirstColumn="0" w:firstRowLastColumn="0" w:lastRowFirstColumn="0" w:lastRowLastColumn="0"/>
            <w:tcW w:w="1274" w:type="dxa"/>
          </w:tcPr>
          <w:p w14:paraId="70DE9E9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36</w:t>
            </w:r>
          </w:p>
        </w:tc>
      </w:tr>
      <w:tr w:rsidR="00AF1CE6" w:rsidRPr="00821C20" w14:paraId="20F5E18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B08DBC6"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Government - State</w:t>
            </w:r>
          </w:p>
        </w:tc>
        <w:tc>
          <w:tcPr>
            <w:tcW w:w="1274" w:type="dxa"/>
          </w:tcPr>
          <w:p w14:paraId="1DE432D1"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25</w:t>
            </w:r>
          </w:p>
        </w:tc>
        <w:tc>
          <w:tcPr>
            <w:cnfStyle w:val="000010000000" w:firstRow="0" w:lastRow="0" w:firstColumn="0" w:lastColumn="0" w:oddVBand="1" w:evenVBand="0" w:oddHBand="0" w:evenHBand="0" w:firstRowFirstColumn="0" w:firstRowLastColumn="0" w:lastRowFirstColumn="0" w:lastRowLastColumn="0"/>
            <w:tcW w:w="1275" w:type="dxa"/>
          </w:tcPr>
          <w:p w14:paraId="567E476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20</w:t>
            </w:r>
          </w:p>
        </w:tc>
        <w:tc>
          <w:tcPr>
            <w:tcW w:w="1275" w:type="dxa"/>
          </w:tcPr>
          <w:p w14:paraId="45852AB5"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12</w:t>
            </w:r>
          </w:p>
        </w:tc>
        <w:tc>
          <w:tcPr>
            <w:cnfStyle w:val="000010000000" w:firstRow="0" w:lastRow="0" w:firstColumn="0" w:lastColumn="0" w:oddVBand="1" w:evenVBand="0" w:oddHBand="0" w:evenHBand="0" w:firstRowFirstColumn="0" w:firstRowLastColumn="0" w:lastRowFirstColumn="0" w:lastRowLastColumn="0"/>
            <w:tcW w:w="1274" w:type="dxa"/>
          </w:tcPr>
          <w:p w14:paraId="20C42CC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57</w:t>
            </w:r>
          </w:p>
        </w:tc>
      </w:tr>
      <w:tr w:rsidR="00AF1CE6" w:rsidRPr="00821C20" w14:paraId="1C93A3FE"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3D8A8DF"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Homelessness</w:t>
            </w:r>
          </w:p>
        </w:tc>
        <w:tc>
          <w:tcPr>
            <w:tcW w:w="1274" w:type="dxa"/>
          </w:tcPr>
          <w:p w14:paraId="79D31D6B"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7</w:t>
            </w:r>
          </w:p>
        </w:tc>
        <w:tc>
          <w:tcPr>
            <w:cnfStyle w:val="000010000000" w:firstRow="0" w:lastRow="0" w:firstColumn="0" w:lastColumn="0" w:oddVBand="1" w:evenVBand="0" w:oddHBand="0" w:evenHBand="0" w:firstRowFirstColumn="0" w:firstRowLastColumn="0" w:lastRowFirstColumn="0" w:lastRowLastColumn="0"/>
            <w:tcW w:w="1275" w:type="dxa"/>
          </w:tcPr>
          <w:p w14:paraId="331C8AB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w:t>
            </w:r>
          </w:p>
        </w:tc>
        <w:tc>
          <w:tcPr>
            <w:tcW w:w="1275" w:type="dxa"/>
          </w:tcPr>
          <w:p w14:paraId="69030152"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4</w:t>
            </w:r>
          </w:p>
        </w:tc>
        <w:tc>
          <w:tcPr>
            <w:cnfStyle w:val="000010000000" w:firstRow="0" w:lastRow="0" w:firstColumn="0" w:lastColumn="0" w:oddVBand="1" w:evenVBand="0" w:oddHBand="0" w:evenHBand="0" w:firstRowFirstColumn="0" w:firstRowLastColumn="0" w:lastRowFirstColumn="0" w:lastRowLastColumn="0"/>
            <w:tcW w:w="1274" w:type="dxa"/>
          </w:tcPr>
          <w:p w14:paraId="33569B6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20</w:t>
            </w:r>
          </w:p>
        </w:tc>
      </w:tr>
      <w:tr w:rsidR="00AF1CE6" w:rsidRPr="00821C20" w14:paraId="08168F2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7071340"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Indigenous</w:t>
            </w:r>
          </w:p>
        </w:tc>
        <w:tc>
          <w:tcPr>
            <w:tcW w:w="1274" w:type="dxa"/>
          </w:tcPr>
          <w:p w14:paraId="157A5F23"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1275" w:type="dxa"/>
          </w:tcPr>
          <w:p w14:paraId="12A06FE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20</w:t>
            </w:r>
          </w:p>
        </w:tc>
        <w:tc>
          <w:tcPr>
            <w:tcW w:w="1275" w:type="dxa"/>
          </w:tcPr>
          <w:p w14:paraId="2FF093A8"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274" w:type="dxa"/>
          </w:tcPr>
          <w:p w14:paraId="3B5D5F1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23</w:t>
            </w:r>
          </w:p>
        </w:tc>
      </w:tr>
      <w:tr w:rsidR="00AF1CE6" w:rsidRPr="00821C20" w14:paraId="4D7EC3A1"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47EF780"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Industrial activity</w:t>
            </w:r>
          </w:p>
        </w:tc>
        <w:tc>
          <w:tcPr>
            <w:tcW w:w="1274" w:type="dxa"/>
          </w:tcPr>
          <w:p w14:paraId="75E9E102"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54</w:t>
            </w:r>
          </w:p>
        </w:tc>
        <w:tc>
          <w:tcPr>
            <w:cnfStyle w:val="000010000000" w:firstRow="0" w:lastRow="0" w:firstColumn="0" w:lastColumn="0" w:oddVBand="1" w:evenVBand="0" w:oddHBand="0" w:evenHBand="0" w:firstRowFirstColumn="0" w:firstRowLastColumn="0" w:lastRowFirstColumn="0" w:lastRowLastColumn="0"/>
            <w:tcW w:w="1275" w:type="dxa"/>
          </w:tcPr>
          <w:p w14:paraId="2869FF1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72</w:t>
            </w:r>
          </w:p>
        </w:tc>
        <w:tc>
          <w:tcPr>
            <w:tcW w:w="1275" w:type="dxa"/>
          </w:tcPr>
          <w:p w14:paraId="056AF40A"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60</w:t>
            </w:r>
          </w:p>
        </w:tc>
        <w:tc>
          <w:tcPr>
            <w:cnfStyle w:val="000010000000" w:firstRow="0" w:lastRow="0" w:firstColumn="0" w:lastColumn="0" w:oddVBand="1" w:evenVBand="0" w:oddHBand="0" w:evenHBand="0" w:firstRowFirstColumn="0" w:firstRowLastColumn="0" w:lastRowFirstColumn="0" w:lastRowLastColumn="0"/>
            <w:tcW w:w="1274" w:type="dxa"/>
          </w:tcPr>
          <w:p w14:paraId="7320D455"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186</w:t>
            </w:r>
          </w:p>
        </w:tc>
      </w:tr>
      <w:tr w:rsidR="00AF1CE6" w:rsidRPr="00821C20" w14:paraId="6725BB87"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323CFFB"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Information provided</w:t>
            </w:r>
          </w:p>
        </w:tc>
        <w:tc>
          <w:tcPr>
            <w:tcW w:w="1274" w:type="dxa"/>
          </w:tcPr>
          <w:p w14:paraId="5FEE9784"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3460</w:t>
            </w:r>
          </w:p>
        </w:tc>
        <w:tc>
          <w:tcPr>
            <w:cnfStyle w:val="000010000000" w:firstRow="0" w:lastRow="0" w:firstColumn="0" w:lastColumn="0" w:oddVBand="1" w:evenVBand="0" w:oddHBand="0" w:evenHBand="0" w:firstRowFirstColumn="0" w:firstRowLastColumn="0" w:lastRowFirstColumn="0" w:lastRowLastColumn="0"/>
            <w:tcW w:w="1275" w:type="dxa"/>
          </w:tcPr>
          <w:p w14:paraId="5F3779C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2779</w:t>
            </w:r>
          </w:p>
        </w:tc>
        <w:tc>
          <w:tcPr>
            <w:tcW w:w="1275" w:type="dxa"/>
          </w:tcPr>
          <w:p w14:paraId="6E484E97"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3359</w:t>
            </w:r>
          </w:p>
        </w:tc>
        <w:tc>
          <w:tcPr>
            <w:cnfStyle w:val="000010000000" w:firstRow="0" w:lastRow="0" w:firstColumn="0" w:lastColumn="0" w:oddVBand="1" w:evenVBand="0" w:oddHBand="0" w:evenHBand="0" w:firstRowFirstColumn="0" w:firstRowLastColumn="0" w:lastRowFirstColumn="0" w:lastRowLastColumn="0"/>
            <w:tcW w:w="1274" w:type="dxa"/>
          </w:tcPr>
          <w:p w14:paraId="66FBDBA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9598</w:t>
            </w:r>
          </w:p>
        </w:tc>
      </w:tr>
      <w:tr w:rsidR="00AF1CE6" w:rsidRPr="00821C20" w14:paraId="270778E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D98168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Involuntary patient</w:t>
            </w:r>
          </w:p>
        </w:tc>
        <w:tc>
          <w:tcPr>
            <w:tcW w:w="1274" w:type="dxa"/>
          </w:tcPr>
          <w:p w14:paraId="3EA58692"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48</w:t>
            </w:r>
          </w:p>
        </w:tc>
        <w:tc>
          <w:tcPr>
            <w:cnfStyle w:val="000010000000" w:firstRow="0" w:lastRow="0" w:firstColumn="0" w:lastColumn="0" w:oddVBand="1" w:evenVBand="0" w:oddHBand="0" w:evenHBand="0" w:firstRowFirstColumn="0" w:firstRowLastColumn="0" w:lastRowFirstColumn="0" w:lastRowLastColumn="0"/>
            <w:tcW w:w="1275" w:type="dxa"/>
          </w:tcPr>
          <w:p w14:paraId="6F28721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42</w:t>
            </w:r>
          </w:p>
        </w:tc>
        <w:tc>
          <w:tcPr>
            <w:tcW w:w="1275" w:type="dxa"/>
          </w:tcPr>
          <w:p w14:paraId="7DADE180"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30</w:t>
            </w:r>
          </w:p>
        </w:tc>
        <w:tc>
          <w:tcPr>
            <w:cnfStyle w:val="000010000000" w:firstRow="0" w:lastRow="0" w:firstColumn="0" w:lastColumn="0" w:oddVBand="1" w:evenVBand="0" w:oddHBand="0" w:evenHBand="0" w:firstRowFirstColumn="0" w:firstRowLastColumn="0" w:lastRowFirstColumn="0" w:lastRowLastColumn="0"/>
            <w:tcW w:w="1274" w:type="dxa"/>
          </w:tcPr>
          <w:p w14:paraId="12B0E32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120</w:t>
            </w:r>
          </w:p>
        </w:tc>
      </w:tr>
      <w:tr w:rsidR="00AF1CE6" w:rsidRPr="00821C20" w14:paraId="3749CE18"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4B53989"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Lawful sexual activity</w:t>
            </w:r>
          </w:p>
        </w:tc>
        <w:tc>
          <w:tcPr>
            <w:tcW w:w="1274" w:type="dxa"/>
          </w:tcPr>
          <w:p w14:paraId="176D28E5"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57</w:t>
            </w:r>
          </w:p>
        </w:tc>
        <w:tc>
          <w:tcPr>
            <w:cnfStyle w:val="000010000000" w:firstRow="0" w:lastRow="0" w:firstColumn="0" w:lastColumn="0" w:oddVBand="1" w:evenVBand="0" w:oddHBand="0" w:evenHBand="0" w:firstRowFirstColumn="0" w:firstRowLastColumn="0" w:lastRowFirstColumn="0" w:lastRowLastColumn="0"/>
            <w:tcW w:w="1275" w:type="dxa"/>
          </w:tcPr>
          <w:p w14:paraId="51C690C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26</w:t>
            </w:r>
          </w:p>
        </w:tc>
        <w:tc>
          <w:tcPr>
            <w:tcW w:w="1275" w:type="dxa"/>
          </w:tcPr>
          <w:p w14:paraId="49AD66AE"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30</w:t>
            </w:r>
          </w:p>
        </w:tc>
        <w:tc>
          <w:tcPr>
            <w:cnfStyle w:val="000010000000" w:firstRow="0" w:lastRow="0" w:firstColumn="0" w:lastColumn="0" w:oddVBand="1" w:evenVBand="0" w:oddHBand="0" w:evenHBand="0" w:firstRowFirstColumn="0" w:firstRowLastColumn="0" w:lastRowFirstColumn="0" w:lastRowLastColumn="0"/>
            <w:tcW w:w="1274" w:type="dxa"/>
          </w:tcPr>
          <w:p w14:paraId="1C48FE2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113</w:t>
            </w:r>
          </w:p>
        </w:tc>
      </w:tr>
      <w:tr w:rsidR="00AF1CE6" w:rsidRPr="00821C20" w14:paraId="52687A5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574389A"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Marital status</w:t>
            </w:r>
          </w:p>
        </w:tc>
        <w:tc>
          <w:tcPr>
            <w:tcW w:w="1274" w:type="dxa"/>
          </w:tcPr>
          <w:p w14:paraId="76AC232A"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131</w:t>
            </w:r>
          </w:p>
        </w:tc>
        <w:tc>
          <w:tcPr>
            <w:cnfStyle w:val="000010000000" w:firstRow="0" w:lastRow="0" w:firstColumn="0" w:lastColumn="0" w:oddVBand="1" w:evenVBand="0" w:oddHBand="0" w:evenHBand="0" w:firstRowFirstColumn="0" w:firstRowLastColumn="0" w:lastRowFirstColumn="0" w:lastRowLastColumn="0"/>
            <w:tcW w:w="1275" w:type="dxa"/>
          </w:tcPr>
          <w:p w14:paraId="44CDFD7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99</w:t>
            </w:r>
          </w:p>
        </w:tc>
        <w:tc>
          <w:tcPr>
            <w:tcW w:w="1275" w:type="dxa"/>
          </w:tcPr>
          <w:p w14:paraId="2D80A335"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76</w:t>
            </w:r>
          </w:p>
        </w:tc>
        <w:tc>
          <w:tcPr>
            <w:cnfStyle w:val="000010000000" w:firstRow="0" w:lastRow="0" w:firstColumn="0" w:lastColumn="0" w:oddVBand="1" w:evenVBand="0" w:oddHBand="0" w:evenHBand="0" w:firstRowFirstColumn="0" w:firstRowLastColumn="0" w:lastRowFirstColumn="0" w:lastRowLastColumn="0"/>
            <w:tcW w:w="1274" w:type="dxa"/>
          </w:tcPr>
          <w:p w14:paraId="3B01E2D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306</w:t>
            </w:r>
          </w:p>
        </w:tc>
      </w:tr>
      <w:tr w:rsidR="00AF1CE6" w:rsidRPr="00821C20" w14:paraId="6F37147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D296D51"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Media</w:t>
            </w:r>
          </w:p>
        </w:tc>
        <w:tc>
          <w:tcPr>
            <w:tcW w:w="1274" w:type="dxa"/>
          </w:tcPr>
          <w:p w14:paraId="09536185"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25</w:t>
            </w:r>
          </w:p>
        </w:tc>
        <w:tc>
          <w:tcPr>
            <w:cnfStyle w:val="000010000000" w:firstRow="0" w:lastRow="0" w:firstColumn="0" w:lastColumn="0" w:oddVBand="1" w:evenVBand="0" w:oddHBand="0" w:evenHBand="0" w:firstRowFirstColumn="0" w:firstRowLastColumn="0" w:lastRowFirstColumn="0" w:lastRowLastColumn="0"/>
            <w:tcW w:w="1275" w:type="dxa"/>
          </w:tcPr>
          <w:p w14:paraId="5ED0DB6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37</w:t>
            </w:r>
          </w:p>
        </w:tc>
        <w:tc>
          <w:tcPr>
            <w:tcW w:w="1275" w:type="dxa"/>
          </w:tcPr>
          <w:p w14:paraId="0D7E893E"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6</w:t>
            </w:r>
          </w:p>
        </w:tc>
        <w:tc>
          <w:tcPr>
            <w:cnfStyle w:val="000010000000" w:firstRow="0" w:lastRow="0" w:firstColumn="0" w:lastColumn="0" w:oddVBand="1" w:evenVBand="0" w:oddHBand="0" w:evenHBand="0" w:firstRowFirstColumn="0" w:firstRowLastColumn="0" w:lastRowFirstColumn="0" w:lastRowLastColumn="0"/>
            <w:tcW w:w="1274" w:type="dxa"/>
          </w:tcPr>
          <w:p w14:paraId="4A63BC2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68</w:t>
            </w:r>
          </w:p>
        </w:tc>
      </w:tr>
      <w:tr w:rsidR="00AF1CE6" w:rsidRPr="00821C20" w14:paraId="1BFB6325"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F1803D3"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No jurisdiction</w:t>
            </w:r>
          </w:p>
        </w:tc>
        <w:tc>
          <w:tcPr>
            <w:tcW w:w="1274" w:type="dxa"/>
          </w:tcPr>
          <w:p w14:paraId="4757884C"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606</w:t>
            </w:r>
          </w:p>
        </w:tc>
        <w:tc>
          <w:tcPr>
            <w:cnfStyle w:val="000010000000" w:firstRow="0" w:lastRow="0" w:firstColumn="0" w:lastColumn="0" w:oddVBand="1" w:evenVBand="0" w:oddHBand="0" w:evenHBand="0" w:firstRowFirstColumn="0" w:firstRowLastColumn="0" w:lastRowFirstColumn="0" w:lastRowLastColumn="0"/>
            <w:tcW w:w="1275" w:type="dxa"/>
          </w:tcPr>
          <w:p w14:paraId="0414B2DD"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1369</w:t>
            </w:r>
          </w:p>
        </w:tc>
        <w:tc>
          <w:tcPr>
            <w:tcW w:w="1275" w:type="dxa"/>
          </w:tcPr>
          <w:p w14:paraId="291E874D"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1045</w:t>
            </w:r>
          </w:p>
        </w:tc>
        <w:tc>
          <w:tcPr>
            <w:cnfStyle w:val="000010000000" w:firstRow="0" w:lastRow="0" w:firstColumn="0" w:lastColumn="0" w:oddVBand="1" w:evenVBand="0" w:oddHBand="0" w:evenHBand="0" w:firstRowFirstColumn="0" w:firstRowLastColumn="0" w:lastRowFirstColumn="0" w:lastRowLastColumn="0"/>
            <w:tcW w:w="1274" w:type="dxa"/>
          </w:tcPr>
          <w:p w14:paraId="1339659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3020</w:t>
            </w:r>
          </w:p>
        </w:tc>
      </w:tr>
      <w:tr w:rsidR="00AF1CE6" w:rsidRPr="00821C20" w14:paraId="4E506A6D"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6173DA3"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Parental status</w:t>
            </w:r>
          </w:p>
        </w:tc>
        <w:tc>
          <w:tcPr>
            <w:tcW w:w="1274" w:type="dxa"/>
          </w:tcPr>
          <w:p w14:paraId="14A45CBA"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333</w:t>
            </w:r>
          </w:p>
        </w:tc>
        <w:tc>
          <w:tcPr>
            <w:cnfStyle w:val="000010000000" w:firstRow="0" w:lastRow="0" w:firstColumn="0" w:lastColumn="0" w:oddVBand="1" w:evenVBand="0" w:oddHBand="0" w:evenHBand="0" w:firstRowFirstColumn="0" w:firstRowLastColumn="0" w:lastRowFirstColumn="0" w:lastRowLastColumn="0"/>
            <w:tcW w:w="1275" w:type="dxa"/>
          </w:tcPr>
          <w:p w14:paraId="0085FC21"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358</w:t>
            </w:r>
          </w:p>
        </w:tc>
        <w:tc>
          <w:tcPr>
            <w:tcW w:w="1275" w:type="dxa"/>
          </w:tcPr>
          <w:p w14:paraId="2F262614"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289</w:t>
            </w:r>
          </w:p>
        </w:tc>
        <w:tc>
          <w:tcPr>
            <w:cnfStyle w:val="000010000000" w:firstRow="0" w:lastRow="0" w:firstColumn="0" w:lastColumn="0" w:oddVBand="1" w:evenVBand="0" w:oddHBand="0" w:evenHBand="0" w:firstRowFirstColumn="0" w:firstRowLastColumn="0" w:lastRowFirstColumn="0" w:lastRowLastColumn="0"/>
            <w:tcW w:w="1274" w:type="dxa"/>
          </w:tcPr>
          <w:p w14:paraId="658F878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980</w:t>
            </w:r>
          </w:p>
        </w:tc>
      </w:tr>
      <w:tr w:rsidR="00AF1CE6" w:rsidRPr="00821C20" w14:paraId="6773806F"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E0FC849"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Personal association</w:t>
            </w:r>
          </w:p>
        </w:tc>
        <w:tc>
          <w:tcPr>
            <w:tcW w:w="1274" w:type="dxa"/>
          </w:tcPr>
          <w:p w14:paraId="3E839FEA"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175</w:t>
            </w:r>
          </w:p>
        </w:tc>
        <w:tc>
          <w:tcPr>
            <w:cnfStyle w:val="000010000000" w:firstRow="0" w:lastRow="0" w:firstColumn="0" w:lastColumn="0" w:oddVBand="1" w:evenVBand="0" w:oddHBand="0" w:evenHBand="0" w:firstRowFirstColumn="0" w:firstRowLastColumn="0" w:lastRowFirstColumn="0" w:lastRowLastColumn="0"/>
            <w:tcW w:w="1275" w:type="dxa"/>
          </w:tcPr>
          <w:p w14:paraId="5A9AB68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144</w:t>
            </w:r>
          </w:p>
        </w:tc>
        <w:tc>
          <w:tcPr>
            <w:tcW w:w="1275" w:type="dxa"/>
          </w:tcPr>
          <w:p w14:paraId="7C59A080"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99</w:t>
            </w:r>
          </w:p>
        </w:tc>
        <w:tc>
          <w:tcPr>
            <w:cnfStyle w:val="000010000000" w:firstRow="0" w:lastRow="0" w:firstColumn="0" w:lastColumn="0" w:oddVBand="1" w:evenVBand="0" w:oddHBand="0" w:evenHBand="0" w:firstRowFirstColumn="0" w:firstRowLastColumn="0" w:lastRowFirstColumn="0" w:lastRowLastColumn="0"/>
            <w:tcW w:w="1274" w:type="dxa"/>
          </w:tcPr>
          <w:p w14:paraId="156F3C93"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418</w:t>
            </w:r>
          </w:p>
        </w:tc>
      </w:tr>
      <w:tr w:rsidR="00AF1CE6" w:rsidRPr="00821C20" w14:paraId="299E76F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5130288"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Physical features</w:t>
            </w:r>
          </w:p>
        </w:tc>
        <w:tc>
          <w:tcPr>
            <w:tcW w:w="1274" w:type="dxa"/>
          </w:tcPr>
          <w:p w14:paraId="5554FDF0"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287</w:t>
            </w:r>
          </w:p>
        </w:tc>
        <w:tc>
          <w:tcPr>
            <w:cnfStyle w:val="000010000000" w:firstRow="0" w:lastRow="0" w:firstColumn="0" w:lastColumn="0" w:oddVBand="1" w:evenVBand="0" w:oddHBand="0" w:evenHBand="0" w:firstRowFirstColumn="0" w:firstRowLastColumn="0" w:lastRowFirstColumn="0" w:lastRowLastColumn="0"/>
            <w:tcW w:w="1275" w:type="dxa"/>
          </w:tcPr>
          <w:p w14:paraId="389EB48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271</w:t>
            </w:r>
          </w:p>
        </w:tc>
        <w:tc>
          <w:tcPr>
            <w:tcW w:w="1275" w:type="dxa"/>
          </w:tcPr>
          <w:p w14:paraId="3B8199A8"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243</w:t>
            </w:r>
          </w:p>
        </w:tc>
        <w:tc>
          <w:tcPr>
            <w:cnfStyle w:val="000010000000" w:firstRow="0" w:lastRow="0" w:firstColumn="0" w:lastColumn="0" w:oddVBand="1" w:evenVBand="0" w:oddHBand="0" w:evenHBand="0" w:firstRowFirstColumn="0" w:firstRowLastColumn="0" w:lastRowFirstColumn="0" w:lastRowLastColumn="0"/>
            <w:tcW w:w="1274" w:type="dxa"/>
          </w:tcPr>
          <w:p w14:paraId="75F0955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801</w:t>
            </w:r>
          </w:p>
        </w:tc>
      </w:tr>
      <w:tr w:rsidR="00AF1CE6" w:rsidRPr="00821C20" w14:paraId="219FB030"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3F45958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Police</w:t>
            </w:r>
          </w:p>
        </w:tc>
        <w:tc>
          <w:tcPr>
            <w:tcW w:w="1274" w:type="dxa"/>
          </w:tcPr>
          <w:p w14:paraId="6B871D2F"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47</w:t>
            </w:r>
          </w:p>
        </w:tc>
        <w:tc>
          <w:tcPr>
            <w:cnfStyle w:val="000010000000" w:firstRow="0" w:lastRow="0" w:firstColumn="0" w:lastColumn="0" w:oddVBand="1" w:evenVBand="0" w:oddHBand="0" w:evenHBand="0" w:firstRowFirstColumn="0" w:firstRowLastColumn="0" w:lastRowFirstColumn="0" w:lastRowLastColumn="0"/>
            <w:tcW w:w="1275" w:type="dxa"/>
          </w:tcPr>
          <w:p w14:paraId="3977818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74</w:t>
            </w:r>
          </w:p>
        </w:tc>
        <w:tc>
          <w:tcPr>
            <w:tcW w:w="1275" w:type="dxa"/>
          </w:tcPr>
          <w:p w14:paraId="38B199DF"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78</w:t>
            </w:r>
          </w:p>
        </w:tc>
        <w:tc>
          <w:tcPr>
            <w:cnfStyle w:val="000010000000" w:firstRow="0" w:lastRow="0" w:firstColumn="0" w:lastColumn="0" w:oddVBand="1" w:evenVBand="0" w:oddHBand="0" w:evenHBand="0" w:firstRowFirstColumn="0" w:firstRowLastColumn="0" w:lastRowFirstColumn="0" w:lastRowLastColumn="0"/>
            <w:tcW w:w="1274" w:type="dxa"/>
          </w:tcPr>
          <w:p w14:paraId="1068DAD4"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199</w:t>
            </w:r>
          </w:p>
        </w:tc>
      </w:tr>
      <w:tr w:rsidR="00AF1CE6" w:rsidRPr="00821C20" w14:paraId="34901A4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636EB9F"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Political belief or activity</w:t>
            </w:r>
          </w:p>
        </w:tc>
        <w:tc>
          <w:tcPr>
            <w:tcW w:w="1274" w:type="dxa"/>
          </w:tcPr>
          <w:p w14:paraId="03F9DF7F"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48</w:t>
            </w:r>
          </w:p>
        </w:tc>
        <w:tc>
          <w:tcPr>
            <w:cnfStyle w:val="000010000000" w:firstRow="0" w:lastRow="0" w:firstColumn="0" w:lastColumn="0" w:oddVBand="1" w:evenVBand="0" w:oddHBand="0" w:evenHBand="0" w:firstRowFirstColumn="0" w:firstRowLastColumn="0" w:lastRowFirstColumn="0" w:lastRowLastColumn="0"/>
            <w:tcW w:w="1275" w:type="dxa"/>
          </w:tcPr>
          <w:p w14:paraId="23FFCF7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38</w:t>
            </w:r>
          </w:p>
        </w:tc>
        <w:tc>
          <w:tcPr>
            <w:tcW w:w="1275" w:type="dxa"/>
          </w:tcPr>
          <w:p w14:paraId="27C7219C"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59</w:t>
            </w:r>
          </w:p>
        </w:tc>
        <w:tc>
          <w:tcPr>
            <w:cnfStyle w:val="000010000000" w:firstRow="0" w:lastRow="0" w:firstColumn="0" w:lastColumn="0" w:oddVBand="1" w:evenVBand="0" w:oddHBand="0" w:evenHBand="0" w:firstRowFirstColumn="0" w:firstRowLastColumn="0" w:lastRowFirstColumn="0" w:lastRowLastColumn="0"/>
            <w:tcW w:w="1274" w:type="dxa"/>
          </w:tcPr>
          <w:p w14:paraId="1D61308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145</w:t>
            </w:r>
          </w:p>
        </w:tc>
      </w:tr>
      <w:tr w:rsidR="00AF1CE6" w:rsidRPr="00821C20" w14:paraId="3AD9564E"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74D61E7"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Pregnancy</w:t>
            </w:r>
          </w:p>
        </w:tc>
        <w:tc>
          <w:tcPr>
            <w:tcW w:w="1274" w:type="dxa"/>
          </w:tcPr>
          <w:p w14:paraId="0EB1864E"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190</w:t>
            </w:r>
          </w:p>
        </w:tc>
        <w:tc>
          <w:tcPr>
            <w:cnfStyle w:val="000010000000" w:firstRow="0" w:lastRow="0" w:firstColumn="0" w:lastColumn="0" w:oddVBand="1" w:evenVBand="0" w:oddHBand="0" w:evenHBand="0" w:firstRowFirstColumn="0" w:firstRowLastColumn="0" w:lastRowFirstColumn="0" w:lastRowLastColumn="0"/>
            <w:tcW w:w="1275" w:type="dxa"/>
          </w:tcPr>
          <w:p w14:paraId="4B7A1854"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159</w:t>
            </w:r>
          </w:p>
        </w:tc>
        <w:tc>
          <w:tcPr>
            <w:tcW w:w="1275" w:type="dxa"/>
          </w:tcPr>
          <w:p w14:paraId="26043EFC"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140</w:t>
            </w:r>
          </w:p>
        </w:tc>
        <w:tc>
          <w:tcPr>
            <w:cnfStyle w:val="000010000000" w:firstRow="0" w:lastRow="0" w:firstColumn="0" w:lastColumn="0" w:oddVBand="1" w:evenVBand="0" w:oddHBand="0" w:evenHBand="0" w:firstRowFirstColumn="0" w:firstRowLastColumn="0" w:lastRowFirstColumn="0" w:lastRowLastColumn="0"/>
            <w:tcW w:w="1274" w:type="dxa"/>
          </w:tcPr>
          <w:p w14:paraId="0BF115AD"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489</w:t>
            </w:r>
          </w:p>
        </w:tc>
      </w:tr>
      <w:tr w:rsidR="00AF1CE6" w:rsidRPr="00821C20" w14:paraId="22EF04C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3ED0BA9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Prisons</w:t>
            </w:r>
          </w:p>
        </w:tc>
        <w:tc>
          <w:tcPr>
            <w:tcW w:w="1274" w:type="dxa"/>
          </w:tcPr>
          <w:p w14:paraId="6893EF6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29</w:t>
            </w:r>
          </w:p>
        </w:tc>
        <w:tc>
          <w:tcPr>
            <w:cnfStyle w:val="000010000000" w:firstRow="0" w:lastRow="0" w:firstColumn="0" w:lastColumn="0" w:oddVBand="1" w:evenVBand="0" w:oddHBand="0" w:evenHBand="0" w:firstRowFirstColumn="0" w:firstRowLastColumn="0" w:lastRowFirstColumn="0" w:lastRowLastColumn="0"/>
            <w:tcW w:w="1275" w:type="dxa"/>
          </w:tcPr>
          <w:p w14:paraId="0E55130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40</w:t>
            </w:r>
          </w:p>
        </w:tc>
        <w:tc>
          <w:tcPr>
            <w:tcW w:w="1275" w:type="dxa"/>
          </w:tcPr>
          <w:p w14:paraId="70C697C7"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28</w:t>
            </w:r>
          </w:p>
        </w:tc>
        <w:tc>
          <w:tcPr>
            <w:cnfStyle w:val="000010000000" w:firstRow="0" w:lastRow="0" w:firstColumn="0" w:lastColumn="0" w:oddVBand="1" w:evenVBand="0" w:oddHBand="0" w:evenHBand="0" w:firstRowFirstColumn="0" w:firstRowLastColumn="0" w:lastRowFirstColumn="0" w:lastRowLastColumn="0"/>
            <w:tcW w:w="1274" w:type="dxa"/>
          </w:tcPr>
          <w:p w14:paraId="0DB990A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97</w:t>
            </w:r>
          </w:p>
        </w:tc>
      </w:tr>
      <w:tr w:rsidR="00AF1CE6" w:rsidRPr="00821C20" w14:paraId="70CEEA9B"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4696086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Privacy</w:t>
            </w:r>
          </w:p>
        </w:tc>
        <w:tc>
          <w:tcPr>
            <w:tcW w:w="1274" w:type="dxa"/>
          </w:tcPr>
          <w:p w14:paraId="04CE0CCD"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29</w:t>
            </w:r>
          </w:p>
        </w:tc>
        <w:tc>
          <w:tcPr>
            <w:cnfStyle w:val="000010000000" w:firstRow="0" w:lastRow="0" w:firstColumn="0" w:lastColumn="0" w:oddVBand="1" w:evenVBand="0" w:oddHBand="0" w:evenHBand="0" w:firstRowFirstColumn="0" w:firstRowLastColumn="0" w:lastRowFirstColumn="0" w:lastRowLastColumn="0"/>
            <w:tcW w:w="1275" w:type="dxa"/>
          </w:tcPr>
          <w:p w14:paraId="6FCDC7B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27</w:t>
            </w:r>
          </w:p>
        </w:tc>
        <w:tc>
          <w:tcPr>
            <w:tcW w:w="1275" w:type="dxa"/>
          </w:tcPr>
          <w:p w14:paraId="4473E756"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17</w:t>
            </w:r>
          </w:p>
        </w:tc>
        <w:tc>
          <w:tcPr>
            <w:cnfStyle w:val="000010000000" w:firstRow="0" w:lastRow="0" w:firstColumn="0" w:lastColumn="0" w:oddVBand="1" w:evenVBand="0" w:oddHBand="0" w:evenHBand="0" w:firstRowFirstColumn="0" w:firstRowLastColumn="0" w:lastRowFirstColumn="0" w:lastRowLastColumn="0"/>
            <w:tcW w:w="1274" w:type="dxa"/>
          </w:tcPr>
          <w:p w14:paraId="2D7EB41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73</w:t>
            </w:r>
          </w:p>
        </w:tc>
      </w:tr>
      <w:tr w:rsidR="00AF1CE6" w:rsidRPr="00821C20" w14:paraId="031F5D33"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4D0B34DE"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Publications - Commission</w:t>
            </w:r>
          </w:p>
        </w:tc>
        <w:tc>
          <w:tcPr>
            <w:tcW w:w="1274" w:type="dxa"/>
          </w:tcPr>
          <w:p w14:paraId="41F80C87"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80</w:t>
            </w:r>
          </w:p>
        </w:tc>
        <w:tc>
          <w:tcPr>
            <w:cnfStyle w:val="000010000000" w:firstRow="0" w:lastRow="0" w:firstColumn="0" w:lastColumn="0" w:oddVBand="1" w:evenVBand="0" w:oddHBand="0" w:evenHBand="0" w:firstRowFirstColumn="0" w:firstRowLastColumn="0" w:lastRowFirstColumn="0" w:lastRowLastColumn="0"/>
            <w:tcW w:w="1275" w:type="dxa"/>
          </w:tcPr>
          <w:p w14:paraId="640575C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171</w:t>
            </w:r>
          </w:p>
        </w:tc>
        <w:tc>
          <w:tcPr>
            <w:tcW w:w="1275" w:type="dxa"/>
          </w:tcPr>
          <w:p w14:paraId="4083375E"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81</w:t>
            </w:r>
          </w:p>
        </w:tc>
        <w:tc>
          <w:tcPr>
            <w:cnfStyle w:val="000010000000" w:firstRow="0" w:lastRow="0" w:firstColumn="0" w:lastColumn="0" w:oddVBand="1" w:evenVBand="0" w:oddHBand="0" w:evenHBand="0" w:firstRowFirstColumn="0" w:firstRowLastColumn="0" w:lastRowFirstColumn="0" w:lastRowLastColumn="0"/>
            <w:tcW w:w="1274" w:type="dxa"/>
          </w:tcPr>
          <w:p w14:paraId="04EFEB3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332</w:t>
            </w:r>
          </w:p>
        </w:tc>
      </w:tr>
      <w:tr w:rsidR="00AF1CE6" w:rsidRPr="00821C20" w14:paraId="129C261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5471430"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Race</w:t>
            </w:r>
          </w:p>
        </w:tc>
        <w:tc>
          <w:tcPr>
            <w:tcW w:w="1274" w:type="dxa"/>
          </w:tcPr>
          <w:p w14:paraId="72DE6B26"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805</w:t>
            </w:r>
          </w:p>
        </w:tc>
        <w:tc>
          <w:tcPr>
            <w:cnfStyle w:val="000010000000" w:firstRow="0" w:lastRow="0" w:firstColumn="0" w:lastColumn="0" w:oddVBand="1" w:evenVBand="0" w:oddHBand="0" w:evenHBand="0" w:firstRowFirstColumn="0" w:firstRowLastColumn="0" w:lastRowFirstColumn="0" w:lastRowLastColumn="0"/>
            <w:tcW w:w="1275" w:type="dxa"/>
          </w:tcPr>
          <w:p w14:paraId="59C18F5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850</w:t>
            </w:r>
          </w:p>
        </w:tc>
        <w:tc>
          <w:tcPr>
            <w:tcW w:w="1275" w:type="dxa"/>
          </w:tcPr>
          <w:p w14:paraId="71A58E51"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608</w:t>
            </w:r>
          </w:p>
        </w:tc>
        <w:tc>
          <w:tcPr>
            <w:cnfStyle w:val="000010000000" w:firstRow="0" w:lastRow="0" w:firstColumn="0" w:lastColumn="0" w:oddVBand="1" w:evenVBand="0" w:oddHBand="0" w:evenHBand="0" w:firstRowFirstColumn="0" w:firstRowLastColumn="0" w:lastRowFirstColumn="0" w:lastRowLastColumn="0"/>
            <w:tcW w:w="1274" w:type="dxa"/>
          </w:tcPr>
          <w:p w14:paraId="7751A7B8"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2263</w:t>
            </w:r>
          </w:p>
        </w:tc>
      </w:tr>
      <w:tr w:rsidR="00AF1CE6" w:rsidRPr="00821C20" w14:paraId="187752CA"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B6D4D7E"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Racial vilification</w:t>
            </w:r>
          </w:p>
        </w:tc>
        <w:tc>
          <w:tcPr>
            <w:tcW w:w="1274" w:type="dxa"/>
          </w:tcPr>
          <w:p w14:paraId="7B42A327"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72</w:t>
            </w:r>
          </w:p>
        </w:tc>
        <w:tc>
          <w:tcPr>
            <w:cnfStyle w:val="000010000000" w:firstRow="0" w:lastRow="0" w:firstColumn="0" w:lastColumn="0" w:oddVBand="1" w:evenVBand="0" w:oddHBand="0" w:evenHBand="0" w:firstRowFirstColumn="0" w:firstRowLastColumn="0" w:lastRowFirstColumn="0" w:lastRowLastColumn="0"/>
            <w:tcW w:w="1275" w:type="dxa"/>
          </w:tcPr>
          <w:p w14:paraId="4679FAD7"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129</w:t>
            </w:r>
          </w:p>
        </w:tc>
        <w:tc>
          <w:tcPr>
            <w:tcW w:w="1275" w:type="dxa"/>
          </w:tcPr>
          <w:p w14:paraId="5098E4B1"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66</w:t>
            </w:r>
          </w:p>
        </w:tc>
        <w:tc>
          <w:tcPr>
            <w:cnfStyle w:val="000010000000" w:firstRow="0" w:lastRow="0" w:firstColumn="0" w:lastColumn="0" w:oddVBand="1" w:evenVBand="0" w:oddHBand="0" w:evenHBand="0" w:firstRowFirstColumn="0" w:firstRowLastColumn="0" w:lastRowFirstColumn="0" w:lastRowLastColumn="0"/>
            <w:tcW w:w="1274" w:type="dxa"/>
          </w:tcPr>
          <w:p w14:paraId="148A4B4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267</w:t>
            </w:r>
          </w:p>
        </w:tc>
      </w:tr>
      <w:tr w:rsidR="00AF1CE6" w:rsidRPr="00821C20" w14:paraId="1F4C2979"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34AFE15B"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Religious belief or activity</w:t>
            </w:r>
          </w:p>
        </w:tc>
        <w:tc>
          <w:tcPr>
            <w:tcW w:w="1274" w:type="dxa"/>
          </w:tcPr>
          <w:p w14:paraId="5A652EF5"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193</w:t>
            </w:r>
          </w:p>
        </w:tc>
        <w:tc>
          <w:tcPr>
            <w:cnfStyle w:val="000010000000" w:firstRow="0" w:lastRow="0" w:firstColumn="0" w:lastColumn="0" w:oddVBand="1" w:evenVBand="0" w:oddHBand="0" w:evenHBand="0" w:firstRowFirstColumn="0" w:firstRowLastColumn="0" w:lastRowFirstColumn="0" w:lastRowLastColumn="0"/>
            <w:tcW w:w="1275" w:type="dxa"/>
          </w:tcPr>
          <w:p w14:paraId="76C7511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233</w:t>
            </w:r>
          </w:p>
        </w:tc>
        <w:tc>
          <w:tcPr>
            <w:tcW w:w="1275" w:type="dxa"/>
          </w:tcPr>
          <w:p w14:paraId="577F6C6C"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181</w:t>
            </w:r>
          </w:p>
        </w:tc>
        <w:tc>
          <w:tcPr>
            <w:cnfStyle w:val="000010000000" w:firstRow="0" w:lastRow="0" w:firstColumn="0" w:lastColumn="0" w:oddVBand="1" w:evenVBand="0" w:oddHBand="0" w:evenHBand="0" w:firstRowFirstColumn="0" w:firstRowLastColumn="0" w:lastRowFirstColumn="0" w:lastRowLastColumn="0"/>
            <w:tcW w:w="1274" w:type="dxa"/>
          </w:tcPr>
          <w:p w14:paraId="4E6F4F9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607</w:t>
            </w:r>
          </w:p>
        </w:tc>
      </w:tr>
      <w:tr w:rsidR="00AF1CE6" w:rsidRPr="00821C20" w14:paraId="2EBAC718"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47DFB87C"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Religious vilification</w:t>
            </w:r>
          </w:p>
        </w:tc>
        <w:tc>
          <w:tcPr>
            <w:tcW w:w="1274" w:type="dxa"/>
          </w:tcPr>
          <w:p w14:paraId="6CB5495B"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32</w:t>
            </w:r>
          </w:p>
        </w:tc>
        <w:tc>
          <w:tcPr>
            <w:cnfStyle w:val="000010000000" w:firstRow="0" w:lastRow="0" w:firstColumn="0" w:lastColumn="0" w:oddVBand="1" w:evenVBand="0" w:oddHBand="0" w:evenHBand="0" w:firstRowFirstColumn="0" w:firstRowLastColumn="0" w:lastRowFirstColumn="0" w:lastRowLastColumn="0"/>
            <w:tcW w:w="1275" w:type="dxa"/>
          </w:tcPr>
          <w:p w14:paraId="01CC1FE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93</w:t>
            </w:r>
          </w:p>
        </w:tc>
        <w:tc>
          <w:tcPr>
            <w:tcW w:w="1275" w:type="dxa"/>
          </w:tcPr>
          <w:p w14:paraId="0EEF7293"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28</w:t>
            </w:r>
          </w:p>
        </w:tc>
        <w:tc>
          <w:tcPr>
            <w:cnfStyle w:val="000010000000" w:firstRow="0" w:lastRow="0" w:firstColumn="0" w:lastColumn="0" w:oddVBand="1" w:evenVBand="0" w:oddHBand="0" w:evenHBand="0" w:firstRowFirstColumn="0" w:firstRowLastColumn="0" w:lastRowFirstColumn="0" w:lastRowLastColumn="0"/>
            <w:tcW w:w="1274" w:type="dxa"/>
          </w:tcPr>
          <w:p w14:paraId="130B2C9A"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153</w:t>
            </w:r>
          </w:p>
        </w:tc>
      </w:tr>
      <w:tr w:rsidR="00AF1CE6" w:rsidRPr="00821C20" w14:paraId="0F35EF33"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4E74B192"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Sex</w:t>
            </w:r>
          </w:p>
        </w:tc>
        <w:tc>
          <w:tcPr>
            <w:tcW w:w="1274" w:type="dxa"/>
          </w:tcPr>
          <w:p w14:paraId="6DCCFD50"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510</w:t>
            </w:r>
          </w:p>
        </w:tc>
        <w:tc>
          <w:tcPr>
            <w:cnfStyle w:val="000010000000" w:firstRow="0" w:lastRow="0" w:firstColumn="0" w:lastColumn="0" w:oddVBand="1" w:evenVBand="0" w:oddHBand="0" w:evenHBand="0" w:firstRowFirstColumn="0" w:firstRowLastColumn="0" w:lastRowFirstColumn="0" w:lastRowLastColumn="0"/>
            <w:tcW w:w="1275" w:type="dxa"/>
          </w:tcPr>
          <w:p w14:paraId="6C1EC6A5"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590</w:t>
            </w:r>
          </w:p>
        </w:tc>
        <w:tc>
          <w:tcPr>
            <w:tcW w:w="1275" w:type="dxa"/>
          </w:tcPr>
          <w:p w14:paraId="73B78706"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472</w:t>
            </w:r>
          </w:p>
        </w:tc>
        <w:tc>
          <w:tcPr>
            <w:cnfStyle w:val="000010000000" w:firstRow="0" w:lastRow="0" w:firstColumn="0" w:lastColumn="0" w:oddVBand="1" w:evenVBand="0" w:oddHBand="0" w:evenHBand="0" w:firstRowFirstColumn="0" w:firstRowLastColumn="0" w:lastRowFirstColumn="0" w:lastRowLastColumn="0"/>
            <w:tcW w:w="1274" w:type="dxa"/>
          </w:tcPr>
          <w:p w14:paraId="62C3DE5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1572</w:t>
            </w:r>
          </w:p>
        </w:tc>
      </w:tr>
      <w:tr w:rsidR="00AF1CE6" w:rsidRPr="00821C20" w14:paraId="50076621"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3263C77"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Sexual harassment</w:t>
            </w:r>
          </w:p>
        </w:tc>
        <w:tc>
          <w:tcPr>
            <w:tcW w:w="1274" w:type="dxa"/>
          </w:tcPr>
          <w:p w14:paraId="0CEA58E8"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540</w:t>
            </w:r>
          </w:p>
        </w:tc>
        <w:tc>
          <w:tcPr>
            <w:cnfStyle w:val="000010000000" w:firstRow="0" w:lastRow="0" w:firstColumn="0" w:lastColumn="0" w:oddVBand="1" w:evenVBand="0" w:oddHBand="0" w:evenHBand="0" w:firstRowFirstColumn="0" w:firstRowLastColumn="0" w:lastRowFirstColumn="0" w:lastRowLastColumn="0"/>
            <w:tcW w:w="1275" w:type="dxa"/>
          </w:tcPr>
          <w:p w14:paraId="15616E3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542</w:t>
            </w:r>
          </w:p>
        </w:tc>
        <w:tc>
          <w:tcPr>
            <w:tcW w:w="1275" w:type="dxa"/>
          </w:tcPr>
          <w:p w14:paraId="55CCD9D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437</w:t>
            </w:r>
          </w:p>
        </w:tc>
        <w:tc>
          <w:tcPr>
            <w:cnfStyle w:val="000010000000" w:firstRow="0" w:lastRow="0" w:firstColumn="0" w:lastColumn="0" w:oddVBand="1" w:evenVBand="0" w:oddHBand="0" w:evenHBand="0" w:firstRowFirstColumn="0" w:firstRowLastColumn="0" w:lastRowFirstColumn="0" w:lastRowLastColumn="0"/>
            <w:tcW w:w="1274" w:type="dxa"/>
          </w:tcPr>
          <w:p w14:paraId="2ECED67E"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1519</w:t>
            </w:r>
          </w:p>
        </w:tc>
      </w:tr>
      <w:tr w:rsidR="00AF1CE6" w:rsidRPr="00821C20" w14:paraId="58DE305D"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46E5EF55"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Sexual orientation</w:t>
            </w:r>
          </w:p>
        </w:tc>
        <w:tc>
          <w:tcPr>
            <w:tcW w:w="1274" w:type="dxa"/>
          </w:tcPr>
          <w:p w14:paraId="7E1B6691"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134</w:t>
            </w:r>
          </w:p>
        </w:tc>
        <w:tc>
          <w:tcPr>
            <w:cnfStyle w:val="000010000000" w:firstRow="0" w:lastRow="0" w:firstColumn="0" w:lastColumn="0" w:oddVBand="1" w:evenVBand="0" w:oddHBand="0" w:evenHBand="0" w:firstRowFirstColumn="0" w:firstRowLastColumn="0" w:lastRowFirstColumn="0" w:lastRowLastColumn="0"/>
            <w:tcW w:w="1275" w:type="dxa"/>
          </w:tcPr>
          <w:p w14:paraId="7C3ACEF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155</w:t>
            </w:r>
          </w:p>
        </w:tc>
        <w:tc>
          <w:tcPr>
            <w:tcW w:w="1275" w:type="dxa"/>
          </w:tcPr>
          <w:p w14:paraId="772206EF"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139</w:t>
            </w:r>
          </w:p>
        </w:tc>
        <w:tc>
          <w:tcPr>
            <w:cnfStyle w:val="000010000000" w:firstRow="0" w:lastRow="0" w:firstColumn="0" w:lastColumn="0" w:oddVBand="1" w:evenVBand="0" w:oddHBand="0" w:evenHBand="0" w:firstRowFirstColumn="0" w:firstRowLastColumn="0" w:lastRowFirstColumn="0" w:lastRowLastColumn="0"/>
            <w:tcW w:w="1274" w:type="dxa"/>
          </w:tcPr>
          <w:p w14:paraId="6F70E3C0"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428</w:t>
            </w:r>
          </w:p>
        </w:tc>
      </w:tr>
      <w:tr w:rsidR="00AF1CE6" w:rsidRPr="00821C20" w14:paraId="08996509"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5EF2441D"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Tenancy</w:t>
            </w:r>
          </w:p>
        </w:tc>
        <w:tc>
          <w:tcPr>
            <w:tcW w:w="1274" w:type="dxa"/>
          </w:tcPr>
          <w:p w14:paraId="0F2BEEB2"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140</w:t>
            </w:r>
          </w:p>
        </w:tc>
        <w:tc>
          <w:tcPr>
            <w:cnfStyle w:val="000010000000" w:firstRow="0" w:lastRow="0" w:firstColumn="0" w:lastColumn="0" w:oddVBand="1" w:evenVBand="0" w:oddHBand="0" w:evenHBand="0" w:firstRowFirstColumn="0" w:firstRowLastColumn="0" w:lastRowFirstColumn="0" w:lastRowLastColumn="0"/>
            <w:tcW w:w="1275" w:type="dxa"/>
          </w:tcPr>
          <w:p w14:paraId="2370D43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204</w:t>
            </w:r>
          </w:p>
        </w:tc>
        <w:tc>
          <w:tcPr>
            <w:tcW w:w="1275" w:type="dxa"/>
          </w:tcPr>
          <w:p w14:paraId="3A89381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204</w:t>
            </w:r>
          </w:p>
        </w:tc>
        <w:tc>
          <w:tcPr>
            <w:cnfStyle w:val="000010000000" w:firstRow="0" w:lastRow="0" w:firstColumn="0" w:lastColumn="0" w:oddVBand="1" w:evenVBand="0" w:oddHBand="0" w:evenHBand="0" w:firstRowFirstColumn="0" w:firstRowLastColumn="0" w:lastRowFirstColumn="0" w:lastRowLastColumn="0"/>
            <w:tcW w:w="1274" w:type="dxa"/>
          </w:tcPr>
          <w:p w14:paraId="3D3A81FC"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548</w:t>
            </w:r>
          </w:p>
        </w:tc>
      </w:tr>
      <w:tr w:rsidR="00AF1CE6" w:rsidRPr="00821C20" w14:paraId="29957FE5"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7FC5BE7E"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Training requests</w:t>
            </w:r>
          </w:p>
        </w:tc>
        <w:tc>
          <w:tcPr>
            <w:tcW w:w="1274" w:type="dxa"/>
          </w:tcPr>
          <w:p w14:paraId="6029D8C3"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51</w:t>
            </w:r>
          </w:p>
        </w:tc>
        <w:tc>
          <w:tcPr>
            <w:cnfStyle w:val="000010000000" w:firstRow="0" w:lastRow="0" w:firstColumn="0" w:lastColumn="0" w:oddVBand="1" w:evenVBand="0" w:oddHBand="0" w:evenHBand="0" w:firstRowFirstColumn="0" w:firstRowLastColumn="0" w:lastRowFirstColumn="0" w:lastRowLastColumn="0"/>
            <w:tcW w:w="1275" w:type="dxa"/>
          </w:tcPr>
          <w:p w14:paraId="406DADBF"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82</w:t>
            </w:r>
          </w:p>
        </w:tc>
        <w:tc>
          <w:tcPr>
            <w:tcW w:w="1275" w:type="dxa"/>
          </w:tcPr>
          <w:p w14:paraId="4AAF4A5C"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42</w:t>
            </w:r>
          </w:p>
        </w:tc>
        <w:tc>
          <w:tcPr>
            <w:cnfStyle w:val="000010000000" w:firstRow="0" w:lastRow="0" w:firstColumn="0" w:lastColumn="0" w:oddVBand="1" w:evenVBand="0" w:oddHBand="0" w:evenHBand="0" w:firstRowFirstColumn="0" w:firstRowLastColumn="0" w:lastRowFirstColumn="0" w:lastRowLastColumn="0"/>
            <w:tcW w:w="1274" w:type="dxa"/>
          </w:tcPr>
          <w:p w14:paraId="41C47A52"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175</w:t>
            </w:r>
          </w:p>
        </w:tc>
      </w:tr>
      <w:tr w:rsidR="00AF1CE6" w:rsidRPr="00821C20" w14:paraId="71BE2A20"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67584171"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Transport</w:t>
            </w:r>
          </w:p>
        </w:tc>
        <w:tc>
          <w:tcPr>
            <w:tcW w:w="1274" w:type="dxa"/>
          </w:tcPr>
          <w:p w14:paraId="3FD3704E"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275" w:type="dxa"/>
          </w:tcPr>
          <w:p w14:paraId="2D883B86"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2</w:t>
            </w:r>
          </w:p>
        </w:tc>
        <w:tc>
          <w:tcPr>
            <w:tcW w:w="1275" w:type="dxa"/>
          </w:tcPr>
          <w:p w14:paraId="5E605FB1"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0</w:t>
            </w:r>
          </w:p>
        </w:tc>
        <w:tc>
          <w:tcPr>
            <w:cnfStyle w:val="000010000000" w:firstRow="0" w:lastRow="0" w:firstColumn="0" w:lastColumn="0" w:oddVBand="1" w:evenVBand="0" w:oddHBand="0" w:evenHBand="0" w:firstRowFirstColumn="0" w:firstRowLastColumn="0" w:lastRowFirstColumn="0" w:lastRowLastColumn="0"/>
            <w:tcW w:w="1274" w:type="dxa"/>
          </w:tcPr>
          <w:p w14:paraId="3243E53D"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4</w:t>
            </w:r>
          </w:p>
        </w:tc>
      </w:tr>
      <w:tr w:rsidR="00AF1CE6" w:rsidRPr="00821C20" w14:paraId="7EF1AC92"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27630D14" w14:textId="77777777" w:rsidR="0077375F" w:rsidRPr="00821C20" w:rsidRDefault="0077375F" w:rsidP="0077375F">
            <w:pPr>
              <w:pStyle w:val="VEOHRCBodytext"/>
              <w:rPr>
                <w:rFonts w:cs="Arial"/>
                <w:sz w:val="20"/>
                <w:szCs w:val="20"/>
                <w:lang w:eastAsia="en-US"/>
              </w:rPr>
            </w:pPr>
            <w:r w:rsidRPr="00821C20">
              <w:rPr>
                <w:rFonts w:cs="Arial"/>
                <w:sz w:val="20"/>
                <w:szCs w:val="20"/>
                <w:lang w:eastAsia="en-US"/>
              </w:rPr>
              <w:t>Victimisation</w:t>
            </w:r>
          </w:p>
        </w:tc>
        <w:tc>
          <w:tcPr>
            <w:tcW w:w="1274" w:type="dxa"/>
          </w:tcPr>
          <w:p w14:paraId="1DF9910F"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541</w:t>
            </w:r>
          </w:p>
        </w:tc>
        <w:tc>
          <w:tcPr>
            <w:cnfStyle w:val="000010000000" w:firstRow="0" w:lastRow="0" w:firstColumn="0" w:lastColumn="0" w:oddVBand="1" w:evenVBand="0" w:oddHBand="0" w:evenHBand="0" w:firstRowFirstColumn="0" w:firstRowLastColumn="0" w:lastRowFirstColumn="0" w:lastRowLastColumn="0"/>
            <w:tcW w:w="1275" w:type="dxa"/>
          </w:tcPr>
          <w:p w14:paraId="0A3EA94B"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518</w:t>
            </w:r>
          </w:p>
        </w:tc>
        <w:tc>
          <w:tcPr>
            <w:tcW w:w="1275" w:type="dxa"/>
          </w:tcPr>
          <w:p w14:paraId="20F1689B" w14:textId="77777777" w:rsidR="0077375F" w:rsidRPr="00821C20"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21C20">
              <w:rPr>
                <w:rFonts w:cs="Arial"/>
                <w:sz w:val="20"/>
                <w:szCs w:val="20"/>
                <w:lang w:eastAsia="en-US"/>
              </w:rPr>
              <w:t>382</w:t>
            </w:r>
          </w:p>
        </w:tc>
        <w:tc>
          <w:tcPr>
            <w:cnfStyle w:val="000010000000" w:firstRow="0" w:lastRow="0" w:firstColumn="0" w:lastColumn="0" w:oddVBand="1" w:evenVBand="0" w:oddHBand="0" w:evenHBand="0" w:firstRowFirstColumn="0" w:firstRowLastColumn="0" w:lastRowFirstColumn="0" w:lastRowLastColumn="0"/>
            <w:tcW w:w="1274" w:type="dxa"/>
          </w:tcPr>
          <w:p w14:paraId="6846CB49"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1441</w:t>
            </w:r>
          </w:p>
        </w:tc>
      </w:tr>
      <w:tr w:rsidR="00AF1CE6" w:rsidRPr="00821C20" w14:paraId="75E8FAD2" w14:textId="77777777" w:rsidTr="00AF1CE6">
        <w:trPr>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18766350" w14:textId="77777777" w:rsidR="0077375F" w:rsidRPr="00821C20" w:rsidRDefault="0077375F" w:rsidP="0077375F">
            <w:pPr>
              <w:pStyle w:val="VEOHRCBodytext"/>
              <w:rPr>
                <w:rFonts w:cs="Arial"/>
                <w:sz w:val="20"/>
                <w:szCs w:val="20"/>
                <w:lang w:eastAsia="en-US"/>
              </w:rPr>
            </w:pPr>
            <w:proofErr w:type="spellStart"/>
            <w:r w:rsidRPr="00821C20">
              <w:rPr>
                <w:rFonts w:cs="Arial"/>
                <w:sz w:val="20"/>
                <w:szCs w:val="20"/>
                <w:lang w:eastAsia="en-US"/>
              </w:rPr>
              <w:t>WorkCover</w:t>
            </w:r>
            <w:proofErr w:type="spellEnd"/>
          </w:p>
        </w:tc>
        <w:tc>
          <w:tcPr>
            <w:tcW w:w="1274" w:type="dxa"/>
          </w:tcPr>
          <w:p w14:paraId="10CCBAB9"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22</w:t>
            </w:r>
          </w:p>
        </w:tc>
        <w:tc>
          <w:tcPr>
            <w:cnfStyle w:val="000010000000" w:firstRow="0" w:lastRow="0" w:firstColumn="0" w:lastColumn="0" w:oddVBand="1" w:evenVBand="0" w:oddHBand="0" w:evenHBand="0" w:firstRowFirstColumn="0" w:firstRowLastColumn="0" w:lastRowFirstColumn="0" w:lastRowLastColumn="0"/>
            <w:tcW w:w="1275" w:type="dxa"/>
          </w:tcPr>
          <w:p w14:paraId="192409B3"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33</w:t>
            </w:r>
          </w:p>
        </w:tc>
        <w:tc>
          <w:tcPr>
            <w:tcW w:w="1275" w:type="dxa"/>
          </w:tcPr>
          <w:p w14:paraId="1694DE3D" w14:textId="77777777" w:rsidR="0077375F" w:rsidRPr="00821C20" w:rsidRDefault="0077375F" w:rsidP="00821C20">
            <w:pPr>
              <w:pStyle w:val="VEOHRCBodytext"/>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sidRPr="00821C20">
              <w:rPr>
                <w:rFonts w:cs="Arial"/>
                <w:sz w:val="20"/>
                <w:szCs w:val="20"/>
                <w:lang w:eastAsia="en-US"/>
              </w:rPr>
              <w:t>6</w:t>
            </w:r>
          </w:p>
        </w:tc>
        <w:tc>
          <w:tcPr>
            <w:cnfStyle w:val="000010000000" w:firstRow="0" w:lastRow="0" w:firstColumn="0" w:lastColumn="0" w:oddVBand="1" w:evenVBand="0" w:oddHBand="0" w:evenHBand="0" w:firstRowFirstColumn="0" w:firstRowLastColumn="0" w:lastRowFirstColumn="0" w:lastRowLastColumn="0"/>
            <w:tcW w:w="1274" w:type="dxa"/>
          </w:tcPr>
          <w:p w14:paraId="681E8534" w14:textId="77777777" w:rsidR="0077375F" w:rsidRPr="00821C20" w:rsidRDefault="0077375F" w:rsidP="00821C20">
            <w:pPr>
              <w:pStyle w:val="VEOHRCBodytext"/>
              <w:jc w:val="right"/>
              <w:rPr>
                <w:rFonts w:cs="Arial"/>
                <w:sz w:val="20"/>
                <w:szCs w:val="20"/>
                <w:lang w:eastAsia="en-US"/>
              </w:rPr>
            </w:pPr>
            <w:r w:rsidRPr="00821C20">
              <w:rPr>
                <w:rFonts w:cs="Arial"/>
                <w:sz w:val="20"/>
                <w:szCs w:val="20"/>
                <w:lang w:eastAsia="en-US"/>
              </w:rPr>
              <w:t>61</w:t>
            </w:r>
          </w:p>
        </w:tc>
      </w:tr>
      <w:tr w:rsidR="00AF1CE6" w:rsidRPr="00821C20" w14:paraId="6426B0BF" w14:textId="77777777" w:rsidTr="00AF1CE6">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3956" w:type="dxa"/>
          </w:tcPr>
          <w:p w14:paraId="05EB4FD1" w14:textId="77777777" w:rsidR="0077375F" w:rsidRPr="00AF1CE6" w:rsidRDefault="0077375F" w:rsidP="0077375F">
            <w:pPr>
              <w:pStyle w:val="VEOHRCBodytext"/>
              <w:rPr>
                <w:rFonts w:cs="Arial"/>
                <w:b/>
                <w:sz w:val="20"/>
                <w:szCs w:val="20"/>
                <w:lang w:eastAsia="en-US"/>
              </w:rPr>
            </w:pPr>
            <w:r w:rsidRPr="00AF1CE6">
              <w:rPr>
                <w:rFonts w:cs="Arial"/>
                <w:b/>
                <w:sz w:val="20"/>
                <w:szCs w:val="20"/>
                <w:lang w:eastAsia="en-US"/>
              </w:rPr>
              <w:t>Total</w:t>
            </w:r>
          </w:p>
        </w:tc>
        <w:tc>
          <w:tcPr>
            <w:tcW w:w="1274" w:type="dxa"/>
          </w:tcPr>
          <w:p w14:paraId="2F61AC6A" w14:textId="77777777" w:rsidR="0077375F" w:rsidRPr="00AF1CE6"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AF1CE6">
              <w:rPr>
                <w:rFonts w:cs="Arial"/>
                <w:b/>
                <w:sz w:val="20"/>
                <w:szCs w:val="20"/>
                <w:lang w:eastAsia="en-US"/>
              </w:rPr>
              <w:t>13101</w:t>
            </w:r>
          </w:p>
        </w:tc>
        <w:tc>
          <w:tcPr>
            <w:cnfStyle w:val="000010000000" w:firstRow="0" w:lastRow="0" w:firstColumn="0" w:lastColumn="0" w:oddVBand="1" w:evenVBand="0" w:oddHBand="0" w:evenHBand="0" w:firstRowFirstColumn="0" w:firstRowLastColumn="0" w:lastRowFirstColumn="0" w:lastRowLastColumn="0"/>
            <w:tcW w:w="1275" w:type="dxa"/>
          </w:tcPr>
          <w:p w14:paraId="51202DC8" w14:textId="77777777" w:rsidR="0077375F" w:rsidRPr="00AF1CE6" w:rsidRDefault="0077375F" w:rsidP="00821C20">
            <w:pPr>
              <w:pStyle w:val="VEOHRCBodytext"/>
              <w:jc w:val="right"/>
              <w:rPr>
                <w:rFonts w:cs="Arial"/>
                <w:b/>
                <w:sz w:val="20"/>
                <w:szCs w:val="20"/>
                <w:lang w:eastAsia="en-US"/>
              </w:rPr>
            </w:pPr>
            <w:r w:rsidRPr="00AF1CE6">
              <w:rPr>
                <w:rFonts w:cs="Arial"/>
                <w:b/>
                <w:sz w:val="20"/>
                <w:szCs w:val="20"/>
                <w:lang w:eastAsia="en-US"/>
              </w:rPr>
              <w:t>13877</w:t>
            </w:r>
          </w:p>
        </w:tc>
        <w:tc>
          <w:tcPr>
            <w:tcW w:w="1275" w:type="dxa"/>
          </w:tcPr>
          <w:p w14:paraId="5A89323D" w14:textId="77777777" w:rsidR="0077375F" w:rsidRPr="00AF1CE6" w:rsidRDefault="0077375F" w:rsidP="00821C20">
            <w:pPr>
              <w:pStyle w:val="VEOHRCBodytext"/>
              <w:jc w:val="right"/>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AF1CE6">
              <w:rPr>
                <w:rFonts w:cs="Arial"/>
                <w:b/>
                <w:sz w:val="20"/>
                <w:szCs w:val="20"/>
                <w:lang w:eastAsia="en-US"/>
              </w:rPr>
              <w:t>11823</w:t>
            </w:r>
          </w:p>
        </w:tc>
        <w:tc>
          <w:tcPr>
            <w:cnfStyle w:val="000010000000" w:firstRow="0" w:lastRow="0" w:firstColumn="0" w:lastColumn="0" w:oddVBand="1" w:evenVBand="0" w:oddHBand="0" w:evenHBand="0" w:firstRowFirstColumn="0" w:firstRowLastColumn="0" w:lastRowFirstColumn="0" w:lastRowLastColumn="0"/>
            <w:tcW w:w="1274" w:type="dxa"/>
          </w:tcPr>
          <w:p w14:paraId="5C592D2B" w14:textId="77777777" w:rsidR="0077375F" w:rsidRPr="00AF1CE6" w:rsidRDefault="0077375F" w:rsidP="00821C20">
            <w:pPr>
              <w:pStyle w:val="VEOHRCBodytext"/>
              <w:jc w:val="right"/>
              <w:rPr>
                <w:rFonts w:cs="Arial"/>
                <w:b/>
                <w:sz w:val="20"/>
                <w:szCs w:val="20"/>
                <w:lang w:eastAsia="en-US"/>
              </w:rPr>
            </w:pPr>
            <w:r w:rsidRPr="00AF1CE6">
              <w:rPr>
                <w:rFonts w:cs="Arial"/>
                <w:b/>
                <w:sz w:val="20"/>
                <w:szCs w:val="20"/>
                <w:lang w:eastAsia="en-US"/>
              </w:rPr>
              <w:t>38943</w:t>
            </w:r>
          </w:p>
        </w:tc>
      </w:tr>
    </w:tbl>
    <w:p w14:paraId="60A57A6F" w14:textId="77777777" w:rsidR="00BC5960" w:rsidRDefault="00BC5960" w:rsidP="0077375F">
      <w:pPr>
        <w:pStyle w:val="VEOHRCHeading2"/>
        <w:rPr>
          <w:lang w:eastAsia="en-US"/>
        </w:rPr>
        <w:sectPr w:rsidR="00BC5960" w:rsidSect="00CD4C53">
          <w:pgSz w:w="11906" w:h="16838" w:code="9"/>
          <w:pgMar w:top="709" w:right="1418" w:bottom="993" w:left="1418" w:header="709" w:footer="272" w:gutter="0"/>
          <w:cols w:space="708"/>
          <w:titlePg/>
          <w:docGrid w:linePitch="360"/>
        </w:sectPr>
      </w:pPr>
    </w:p>
    <w:p w14:paraId="70213E2B" w14:textId="5C2DBD93" w:rsidR="00BC5960" w:rsidRDefault="00BC5960" w:rsidP="00BC5960">
      <w:pPr>
        <w:widowControl w:val="0"/>
        <w:suppressAutoHyphens/>
        <w:autoSpaceDE w:val="0"/>
        <w:autoSpaceDN w:val="0"/>
        <w:adjustRightInd w:val="0"/>
        <w:spacing w:before="113" w:after="85" w:line="250" w:lineRule="atLeast"/>
        <w:textAlignment w:val="center"/>
        <w:rPr>
          <w:rFonts w:ascii="ArialMT-Medium" w:hAnsi="ArialMT-Medium" w:cs="ArialMT-Medium"/>
          <w:color w:val="000000"/>
          <w:sz w:val="21"/>
          <w:szCs w:val="21"/>
          <w:lang w:val="en-GB" w:eastAsia="en-US"/>
        </w:rPr>
      </w:pPr>
      <w:r w:rsidRPr="00BC5960">
        <w:rPr>
          <w:rFonts w:ascii="ArialMT-Medium" w:hAnsi="ArialMT-Medium" w:cs="ArialMT-Medium"/>
          <w:color w:val="000000"/>
          <w:sz w:val="21"/>
          <w:szCs w:val="21"/>
          <w:lang w:val="en-GB" w:eastAsia="en-US"/>
        </w:rPr>
        <w:lastRenderedPageBreak/>
        <w:t>Complaints under the Equal Opportunity Act and Racial and Religious Tolerance Act by area and attribute for 2013/14, 2014/15 and 2015/16</w:t>
      </w:r>
    </w:p>
    <w:p w14:paraId="706F08D7" w14:textId="77777777" w:rsidR="00BC5960" w:rsidRPr="00BC5960" w:rsidRDefault="00BC5960" w:rsidP="00BC5960">
      <w:pPr>
        <w:pStyle w:val="VEOHRCHeading3"/>
        <w:rPr>
          <w:color w:val="000000" w:themeColor="text1"/>
          <w:sz w:val="20"/>
          <w:szCs w:val="20"/>
        </w:rPr>
      </w:pPr>
    </w:p>
    <w:tbl>
      <w:tblPr>
        <w:tblStyle w:val="LightList"/>
        <w:tblW w:w="21370" w:type="dxa"/>
        <w:tblInd w:w="-176" w:type="dxa"/>
        <w:tblLayout w:type="fixed"/>
        <w:tblLook w:val="0000" w:firstRow="0" w:lastRow="0" w:firstColumn="0" w:lastColumn="0" w:noHBand="0" w:noVBand="0"/>
      </w:tblPr>
      <w:tblGrid>
        <w:gridCol w:w="2489"/>
        <w:gridCol w:w="672"/>
        <w:gridCol w:w="672"/>
        <w:gridCol w:w="673"/>
        <w:gridCol w:w="676"/>
        <w:gridCol w:w="678"/>
        <w:gridCol w:w="679"/>
        <w:gridCol w:w="678"/>
        <w:gridCol w:w="678"/>
        <w:gridCol w:w="681"/>
        <w:gridCol w:w="679"/>
        <w:gridCol w:w="680"/>
        <w:gridCol w:w="683"/>
        <w:gridCol w:w="681"/>
        <w:gridCol w:w="681"/>
        <w:gridCol w:w="683"/>
        <w:gridCol w:w="681"/>
        <w:gridCol w:w="681"/>
        <w:gridCol w:w="688"/>
        <w:gridCol w:w="7"/>
        <w:gridCol w:w="681"/>
        <w:gridCol w:w="681"/>
        <w:gridCol w:w="683"/>
        <w:gridCol w:w="9"/>
        <w:gridCol w:w="681"/>
        <w:gridCol w:w="681"/>
        <w:gridCol w:w="678"/>
        <w:gridCol w:w="11"/>
        <w:gridCol w:w="681"/>
        <w:gridCol w:w="681"/>
        <w:gridCol w:w="1156"/>
        <w:gridCol w:w="27"/>
      </w:tblGrid>
      <w:tr w:rsidR="0015030A" w:rsidRPr="0015030A" w14:paraId="176912EF" w14:textId="77777777" w:rsidTr="0015030A">
        <w:trPr>
          <w:gridAfter w:val="1"/>
          <w:cnfStyle w:val="000000100000" w:firstRow="0" w:lastRow="0" w:firstColumn="0" w:lastColumn="0" w:oddVBand="0" w:evenVBand="0" w:oddHBand="1" w:evenHBand="0" w:firstRowFirstColumn="0" w:firstRowLastColumn="0" w:lastRowFirstColumn="0" w:lastRowLastColumn="0"/>
          <w:wAfter w:w="27" w:type="dxa"/>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6EB30DCC" w14:textId="77777777" w:rsidR="00BC5960" w:rsidRPr="0015030A" w:rsidRDefault="00BC5960" w:rsidP="00BC5960">
            <w:pPr>
              <w:pStyle w:val="NoParagraphStyle"/>
              <w:spacing w:line="240" w:lineRule="auto"/>
              <w:textAlignment w:val="auto"/>
              <w:rPr>
                <w:rFonts w:ascii="Arial" w:hAnsi="Arial" w:cs="Arial"/>
                <w:color w:val="000000" w:themeColor="text1"/>
                <w:sz w:val="16"/>
                <w:szCs w:val="16"/>
                <w:lang w:val="en-US"/>
              </w:rPr>
            </w:pPr>
          </w:p>
        </w:tc>
        <w:tc>
          <w:tcPr>
            <w:tcW w:w="16325" w:type="dxa"/>
            <w:gridSpan w:val="26"/>
          </w:tcPr>
          <w:p w14:paraId="66254850" w14:textId="77777777" w:rsidR="00BC5960" w:rsidRPr="0015030A" w:rsidRDefault="00BC5960" w:rsidP="00BC5960">
            <w:pPr>
              <w:pStyle w:val="tabletextboldreverse"/>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rPr>
              <w:t>AREA</w:t>
            </w:r>
          </w:p>
        </w:tc>
        <w:tc>
          <w:tcPr>
            <w:cnfStyle w:val="000010000000" w:firstRow="0" w:lastRow="0" w:firstColumn="0" w:lastColumn="0" w:oddVBand="1" w:evenVBand="0" w:oddHBand="0" w:evenHBand="0" w:firstRowFirstColumn="0" w:firstRowLastColumn="0" w:lastRowFirstColumn="0" w:lastRowLastColumn="0"/>
            <w:tcW w:w="2529" w:type="dxa"/>
            <w:gridSpan w:val="4"/>
          </w:tcPr>
          <w:p w14:paraId="3F5412FC" w14:textId="77777777" w:rsidR="00BC5960" w:rsidRPr="0015030A" w:rsidRDefault="00BC5960" w:rsidP="00BC5960">
            <w:pPr>
              <w:pStyle w:val="NoParagraphStyle"/>
              <w:spacing w:line="240" w:lineRule="auto"/>
              <w:textAlignment w:val="auto"/>
              <w:rPr>
                <w:rFonts w:ascii="Arial" w:hAnsi="Arial" w:cs="Arial"/>
                <w:color w:val="000000" w:themeColor="text1"/>
                <w:sz w:val="16"/>
                <w:szCs w:val="16"/>
                <w:lang w:val="en-US"/>
              </w:rPr>
            </w:pPr>
          </w:p>
        </w:tc>
      </w:tr>
      <w:tr w:rsidR="0015030A" w:rsidRPr="0015030A" w14:paraId="6CFE063F" w14:textId="77777777" w:rsidTr="0015030A">
        <w:trPr>
          <w:gridAfter w:val="1"/>
          <w:wAfter w:w="27" w:type="dxa"/>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350815F2" w14:textId="77777777" w:rsidR="00BC5960" w:rsidRPr="0015030A" w:rsidRDefault="00BC5960" w:rsidP="00BC5960">
            <w:pPr>
              <w:pStyle w:val="tabletextboldreverse"/>
              <w:rPr>
                <w:rFonts w:ascii="Arial" w:hAnsi="Arial" w:cs="Arial"/>
                <w:color w:val="000000" w:themeColor="text1"/>
              </w:rPr>
            </w:pPr>
            <w:r w:rsidRPr="0015030A">
              <w:rPr>
                <w:rFonts w:ascii="Arial" w:hAnsi="Arial" w:cs="Arial"/>
                <w:bCs w:val="0"/>
                <w:caps/>
                <w:color w:val="000000" w:themeColor="text1"/>
              </w:rPr>
              <w:t>Attribute</w:t>
            </w:r>
          </w:p>
        </w:tc>
        <w:tc>
          <w:tcPr>
            <w:tcW w:w="2017" w:type="dxa"/>
            <w:gridSpan w:val="3"/>
          </w:tcPr>
          <w:p w14:paraId="123EA475" w14:textId="77777777" w:rsidR="00BC5960" w:rsidRPr="0015030A" w:rsidRDefault="00BC5960" w:rsidP="00BC5960">
            <w:pPr>
              <w:pStyle w:val="tabletextboldrevers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rPr>
              <w:t>Accommodation</w:t>
            </w:r>
          </w:p>
        </w:tc>
        <w:tc>
          <w:tcPr>
            <w:cnfStyle w:val="000010000000" w:firstRow="0" w:lastRow="0" w:firstColumn="0" w:lastColumn="0" w:oddVBand="1" w:evenVBand="0" w:oddHBand="0" w:evenHBand="0" w:firstRowFirstColumn="0" w:firstRowLastColumn="0" w:lastRowFirstColumn="0" w:lastRowLastColumn="0"/>
            <w:tcW w:w="2033" w:type="dxa"/>
            <w:gridSpan w:val="3"/>
          </w:tcPr>
          <w:p w14:paraId="0837D12F" w14:textId="77777777" w:rsidR="00BC5960" w:rsidRPr="0015030A" w:rsidRDefault="00BC5960" w:rsidP="00BC5960">
            <w:pPr>
              <w:pStyle w:val="tabletextboldreverse"/>
              <w:jc w:val="center"/>
              <w:rPr>
                <w:rFonts w:ascii="Arial" w:hAnsi="Arial" w:cs="Arial"/>
                <w:color w:val="000000" w:themeColor="text1"/>
              </w:rPr>
            </w:pPr>
            <w:r w:rsidRPr="0015030A">
              <w:rPr>
                <w:rFonts w:ascii="Arial" w:hAnsi="Arial" w:cs="Arial"/>
                <w:bCs w:val="0"/>
                <w:color w:val="000000" w:themeColor="text1"/>
              </w:rPr>
              <w:t>Clubs</w:t>
            </w:r>
          </w:p>
        </w:tc>
        <w:tc>
          <w:tcPr>
            <w:tcW w:w="2037" w:type="dxa"/>
            <w:gridSpan w:val="3"/>
          </w:tcPr>
          <w:p w14:paraId="60609FC9" w14:textId="77777777" w:rsidR="00BC5960" w:rsidRPr="0015030A" w:rsidRDefault="00BC5960" w:rsidP="00BC5960">
            <w:pPr>
              <w:pStyle w:val="tabletextboldrevers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rPr>
              <w:t>Education</w:t>
            </w:r>
          </w:p>
        </w:tc>
        <w:tc>
          <w:tcPr>
            <w:cnfStyle w:val="000010000000" w:firstRow="0" w:lastRow="0" w:firstColumn="0" w:lastColumn="0" w:oddVBand="1" w:evenVBand="0" w:oddHBand="0" w:evenHBand="0" w:firstRowFirstColumn="0" w:firstRowLastColumn="0" w:lastRowFirstColumn="0" w:lastRowLastColumn="0"/>
            <w:tcW w:w="2042" w:type="dxa"/>
            <w:gridSpan w:val="3"/>
          </w:tcPr>
          <w:p w14:paraId="75DEC632" w14:textId="77777777" w:rsidR="00BC5960" w:rsidRPr="0015030A" w:rsidRDefault="00BC5960" w:rsidP="00BC5960">
            <w:pPr>
              <w:pStyle w:val="tabletextboldreverse"/>
              <w:jc w:val="center"/>
              <w:rPr>
                <w:rFonts w:ascii="Arial" w:hAnsi="Arial" w:cs="Arial"/>
                <w:color w:val="000000" w:themeColor="text1"/>
              </w:rPr>
            </w:pPr>
            <w:r w:rsidRPr="0015030A">
              <w:rPr>
                <w:rFonts w:ascii="Arial" w:hAnsi="Arial" w:cs="Arial"/>
                <w:bCs w:val="0"/>
                <w:color w:val="000000" w:themeColor="text1"/>
              </w:rPr>
              <w:t>Employment</w:t>
            </w:r>
          </w:p>
        </w:tc>
        <w:tc>
          <w:tcPr>
            <w:tcW w:w="2045" w:type="dxa"/>
            <w:gridSpan w:val="3"/>
          </w:tcPr>
          <w:p w14:paraId="7E6666BE" w14:textId="77777777" w:rsidR="00BC5960" w:rsidRPr="0015030A" w:rsidRDefault="00BC5960" w:rsidP="00BC5960">
            <w:pPr>
              <w:pStyle w:val="tabletextboldrevers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spacing w:val="-3"/>
              </w:rPr>
              <w:t>Goods/Services</w:t>
            </w:r>
          </w:p>
        </w:tc>
        <w:tc>
          <w:tcPr>
            <w:cnfStyle w:val="000010000000" w:firstRow="0" w:lastRow="0" w:firstColumn="0" w:lastColumn="0" w:oddVBand="1" w:evenVBand="0" w:oddHBand="0" w:evenHBand="0" w:firstRowFirstColumn="0" w:firstRowLastColumn="0" w:lastRowFirstColumn="0" w:lastRowLastColumn="0"/>
            <w:tcW w:w="2050" w:type="dxa"/>
            <w:gridSpan w:val="3"/>
          </w:tcPr>
          <w:p w14:paraId="39808D85" w14:textId="77777777" w:rsidR="00BC5960" w:rsidRPr="0015030A" w:rsidRDefault="00BC5960" w:rsidP="00BC5960">
            <w:pPr>
              <w:pStyle w:val="tabletextboldreverse"/>
              <w:jc w:val="center"/>
              <w:rPr>
                <w:rFonts w:ascii="Arial" w:hAnsi="Arial" w:cs="Arial"/>
                <w:color w:val="000000" w:themeColor="text1"/>
              </w:rPr>
            </w:pPr>
            <w:r w:rsidRPr="0015030A">
              <w:rPr>
                <w:rFonts w:ascii="Arial" w:hAnsi="Arial" w:cs="Arial"/>
                <w:bCs w:val="0"/>
                <w:color w:val="000000" w:themeColor="text1"/>
              </w:rPr>
              <w:t>Local Gov’t</w:t>
            </w:r>
          </w:p>
        </w:tc>
        <w:tc>
          <w:tcPr>
            <w:tcW w:w="2052" w:type="dxa"/>
            <w:gridSpan w:val="4"/>
          </w:tcPr>
          <w:p w14:paraId="13C202F5" w14:textId="77777777" w:rsidR="00BC5960" w:rsidRPr="0015030A" w:rsidRDefault="00BC5960" w:rsidP="00BC5960">
            <w:pPr>
              <w:pStyle w:val="tabletextboldrevers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spacing w:val="-7"/>
              </w:rPr>
              <w:t>No area required*</w:t>
            </w:r>
            <w:r w:rsidRPr="0015030A">
              <w:rPr>
                <w:rFonts w:ascii="Arial" w:hAnsi="Arial" w:cs="Arial"/>
                <w:bCs w:val="0"/>
                <w:color w:val="000000" w:themeColor="text1"/>
                <w:spacing w:val="-3"/>
              </w:rPr>
              <w:t xml:space="preserve"> </w:t>
            </w:r>
          </w:p>
        </w:tc>
        <w:tc>
          <w:tcPr>
            <w:cnfStyle w:val="000010000000" w:firstRow="0" w:lastRow="0" w:firstColumn="0" w:lastColumn="0" w:oddVBand="1" w:evenVBand="0" w:oddHBand="0" w:evenHBand="0" w:firstRowFirstColumn="0" w:firstRowLastColumn="0" w:lastRowFirstColumn="0" w:lastRowLastColumn="0"/>
            <w:tcW w:w="2049" w:type="dxa"/>
            <w:gridSpan w:val="4"/>
          </w:tcPr>
          <w:p w14:paraId="14F82A1A" w14:textId="77777777" w:rsidR="00BC5960" w:rsidRPr="0015030A" w:rsidRDefault="00BC5960" w:rsidP="00BC5960">
            <w:pPr>
              <w:pStyle w:val="tabletextboldreverse"/>
              <w:jc w:val="center"/>
              <w:rPr>
                <w:rFonts w:ascii="Arial" w:hAnsi="Arial" w:cs="Arial"/>
                <w:color w:val="000000" w:themeColor="text1"/>
              </w:rPr>
            </w:pPr>
            <w:r w:rsidRPr="0015030A">
              <w:rPr>
                <w:rFonts w:ascii="Arial" w:hAnsi="Arial" w:cs="Arial"/>
                <w:bCs w:val="0"/>
                <w:color w:val="000000" w:themeColor="text1"/>
              </w:rPr>
              <w:t>Sport</w:t>
            </w:r>
          </w:p>
        </w:tc>
        <w:tc>
          <w:tcPr>
            <w:tcW w:w="2529" w:type="dxa"/>
            <w:gridSpan w:val="4"/>
          </w:tcPr>
          <w:p w14:paraId="0F73EAA9" w14:textId="77777777" w:rsidR="00BC5960" w:rsidRPr="0015030A" w:rsidRDefault="00BC5960" w:rsidP="00BC5960">
            <w:pPr>
              <w:pStyle w:val="tabletextboldrevers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bCs w:val="0"/>
                <w:color w:val="000000" w:themeColor="text1"/>
              </w:rPr>
              <w:t>Total</w:t>
            </w:r>
          </w:p>
        </w:tc>
      </w:tr>
      <w:tr w:rsidR="0015030A" w:rsidRPr="0015030A" w14:paraId="187EA5A4" w14:textId="77777777" w:rsidTr="0015030A">
        <w:trPr>
          <w:cnfStyle w:val="000000100000" w:firstRow="0" w:lastRow="0" w:firstColumn="0" w:lastColumn="0" w:oddVBand="0" w:evenVBand="0" w:oddHBand="1" w:evenHBand="0" w:firstRowFirstColumn="0" w:firstRowLastColumn="0" w:lastRowFirstColumn="0" w:lastRowLastColumn="0"/>
          <w:trHeight w:hRule="exact" w:val="690"/>
        </w:trPr>
        <w:tc>
          <w:tcPr>
            <w:cnfStyle w:val="000010000000" w:firstRow="0" w:lastRow="0" w:firstColumn="0" w:lastColumn="0" w:oddVBand="1" w:evenVBand="0" w:oddHBand="0" w:evenHBand="0" w:firstRowFirstColumn="0" w:firstRowLastColumn="0" w:lastRowFirstColumn="0" w:lastRowLastColumn="0"/>
            <w:tcW w:w="2489" w:type="dxa"/>
          </w:tcPr>
          <w:p w14:paraId="68428935" w14:textId="77777777" w:rsidR="00BC5960" w:rsidRPr="0015030A" w:rsidRDefault="00BC5960" w:rsidP="00BC5960">
            <w:pPr>
              <w:pStyle w:val="tabletextblue"/>
              <w:rPr>
                <w:rFonts w:ascii="Arial" w:hAnsi="Arial" w:cs="Arial"/>
                <w:color w:val="000000" w:themeColor="text1"/>
              </w:rPr>
            </w:pPr>
            <w:r w:rsidRPr="0015030A">
              <w:rPr>
                <w:rFonts w:ascii="Arial" w:hAnsi="Arial" w:cs="Arial"/>
                <w:color w:val="000000" w:themeColor="text1"/>
              </w:rPr>
              <w:t> </w:t>
            </w:r>
          </w:p>
        </w:tc>
        <w:tc>
          <w:tcPr>
            <w:tcW w:w="672" w:type="dxa"/>
          </w:tcPr>
          <w:p w14:paraId="5B96ACDD"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13/14</w:t>
            </w:r>
          </w:p>
        </w:tc>
        <w:tc>
          <w:tcPr>
            <w:cnfStyle w:val="000010000000" w:firstRow="0" w:lastRow="0" w:firstColumn="0" w:lastColumn="0" w:oddVBand="1" w:evenVBand="0" w:oddHBand="0" w:evenHBand="0" w:firstRowFirstColumn="0" w:firstRowLastColumn="0" w:lastRowFirstColumn="0" w:lastRowLastColumn="0"/>
            <w:tcW w:w="672" w:type="dxa"/>
          </w:tcPr>
          <w:p w14:paraId="3E7288BB"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14/15</w:t>
            </w:r>
          </w:p>
        </w:tc>
        <w:tc>
          <w:tcPr>
            <w:tcW w:w="673" w:type="dxa"/>
          </w:tcPr>
          <w:p w14:paraId="4AF43DBB"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15/16</w:t>
            </w:r>
          </w:p>
        </w:tc>
        <w:tc>
          <w:tcPr>
            <w:cnfStyle w:val="000010000000" w:firstRow="0" w:lastRow="0" w:firstColumn="0" w:lastColumn="0" w:oddVBand="1" w:evenVBand="0" w:oddHBand="0" w:evenHBand="0" w:firstRowFirstColumn="0" w:firstRowLastColumn="0" w:lastRowFirstColumn="0" w:lastRowLastColumn="0"/>
            <w:tcW w:w="676" w:type="dxa"/>
          </w:tcPr>
          <w:p w14:paraId="16F119EF"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13/14</w:t>
            </w:r>
          </w:p>
        </w:tc>
        <w:tc>
          <w:tcPr>
            <w:tcW w:w="678" w:type="dxa"/>
          </w:tcPr>
          <w:p w14:paraId="3A7CA7FD"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14/15</w:t>
            </w:r>
          </w:p>
        </w:tc>
        <w:tc>
          <w:tcPr>
            <w:cnfStyle w:val="000010000000" w:firstRow="0" w:lastRow="0" w:firstColumn="0" w:lastColumn="0" w:oddVBand="1" w:evenVBand="0" w:oddHBand="0" w:evenHBand="0" w:firstRowFirstColumn="0" w:firstRowLastColumn="0" w:lastRowFirstColumn="0" w:lastRowLastColumn="0"/>
            <w:tcW w:w="679" w:type="dxa"/>
          </w:tcPr>
          <w:p w14:paraId="5B45574C"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spacing w:val="-7"/>
              </w:rPr>
              <w:t>15/16</w:t>
            </w:r>
          </w:p>
        </w:tc>
        <w:tc>
          <w:tcPr>
            <w:tcW w:w="678" w:type="dxa"/>
          </w:tcPr>
          <w:p w14:paraId="0E32D5E7"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13/14</w:t>
            </w:r>
          </w:p>
        </w:tc>
        <w:tc>
          <w:tcPr>
            <w:cnfStyle w:val="000010000000" w:firstRow="0" w:lastRow="0" w:firstColumn="0" w:lastColumn="0" w:oddVBand="1" w:evenVBand="0" w:oddHBand="0" w:evenHBand="0" w:firstRowFirstColumn="0" w:firstRowLastColumn="0" w:lastRowFirstColumn="0" w:lastRowLastColumn="0"/>
            <w:tcW w:w="678" w:type="dxa"/>
          </w:tcPr>
          <w:p w14:paraId="4F44C9D8"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14/15</w:t>
            </w:r>
          </w:p>
        </w:tc>
        <w:tc>
          <w:tcPr>
            <w:tcW w:w="681" w:type="dxa"/>
          </w:tcPr>
          <w:p w14:paraId="1D0055E3"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15/16</w:t>
            </w:r>
          </w:p>
        </w:tc>
        <w:tc>
          <w:tcPr>
            <w:cnfStyle w:val="000010000000" w:firstRow="0" w:lastRow="0" w:firstColumn="0" w:lastColumn="0" w:oddVBand="1" w:evenVBand="0" w:oddHBand="0" w:evenHBand="0" w:firstRowFirstColumn="0" w:firstRowLastColumn="0" w:lastRowFirstColumn="0" w:lastRowLastColumn="0"/>
            <w:tcW w:w="679" w:type="dxa"/>
          </w:tcPr>
          <w:p w14:paraId="30EBA6F4"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13/14</w:t>
            </w:r>
          </w:p>
        </w:tc>
        <w:tc>
          <w:tcPr>
            <w:tcW w:w="680" w:type="dxa"/>
          </w:tcPr>
          <w:p w14:paraId="5B70AF0A"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14/15</w:t>
            </w:r>
          </w:p>
        </w:tc>
        <w:tc>
          <w:tcPr>
            <w:cnfStyle w:val="000010000000" w:firstRow="0" w:lastRow="0" w:firstColumn="0" w:lastColumn="0" w:oddVBand="1" w:evenVBand="0" w:oddHBand="0" w:evenHBand="0" w:firstRowFirstColumn="0" w:firstRowLastColumn="0" w:lastRowFirstColumn="0" w:lastRowLastColumn="0"/>
            <w:tcW w:w="683" w:type="dxa"/>
          </w:tcPr>
          <w:p w14:paraId="0CF7E8A7"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15/16</w:t>
            </w:r>
          </w:p>
        </w:tc>
        <w:tc>
          <w:tcPr>
            <w:tcW w:w="681" w:type="dxa"/>
          </w:tcPr>
          <w:p w14:paraId="1DA5163A"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13/14</w:t>
            </w:r>
          </w:p>
        </w:tc>
        <w:tc>
          <w:tcPr>
            <w:cnfStyle w:val="000010000000" w:firstRow="0" w:lastRow="0" w:firstColumn="0" w:lastColumn="0" w:oddVBand="1" w:evenVBand="0" w:oddHBand="0" w:evenHBand="0" w:firstRowFirstColumn="0" w:firstRowLastColumn="0" w:lastRowFirstColumn="0" w:lastRowLastColumn="0"/>
            <w:tcW w:w="681" w:type="dxa"/>
          </w:tcPr>
          <w:p w14:paraId="61527474"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14/15</w:t>
            </w:r>
          </w:p>
        </w:tc>
        <w:tc>
          <w:tcPr>
            <w:tcW w:w="683" w:type="dxa"/>
          </w:tcPr>
          <w:p w14:paraId="334A67A0"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15/16</w:t>
            </w:r>
          </w:p>
        </w:tc>
        <w:tc>
          <w:tcPr>
            <w:cnfStyle w:val="000010000000" w:firstRow="0" w:lastRow="0" w:firstColumn="0" w:lastColumn="0" w:oddVBand="1" w:evenVBand="0" w:oddHBand="0" w:evenHBand="0" w:firstRowFirstColumn="0" w:firstRowLastColumn="0" w:lastRowFirstColumn="0" w:lastRowLastColumn="0"/>
            <w:tcW w:w="681" w:type="dxa"/>
          </w:tcPr>
          <w:p w14:paraId="487624AA"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13/14</w:t>
            </w:r>
          </w:p>
        </w:tc>
        <w:tc>
          <w:tcPr>
            <w:tcW w:w="681" w:type="dxa"/>
          </w:tcPr>
          <w:p w14:paraId="776968CB"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14/15</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21E62830"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15/16</w:t>
            </w:r>
          </w:p>
        </w:tc>
        <w:tc>
          <w:tcPr>
            <w:tcW w:w="681" w:type="dxa"/>
          </w:tcPr>
          <w:p w14:paraId="15A07768"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13/14</w:t>
            </w:r>
          </w:p>
        </w:tc>
        <w:tc>
          <w:tcPr>
            <w:cnfStyle w:val="000010000000" w:firstRow="0" w:lastRow="0" w:firstColumn="0" w:lastColumn="0" w:oddVBand="1" w:evenVBand="0" w:oddHBand="0" w:evenHBand="0" w:firstRowFirstColumn="0" w:firstRowLastColumn="0" w:lastRowFirstColumn="0" w:lastRowLastColumn="0"/>
            <w:tcW w:w="681" w:type="dxa"/>
          </w:tcPr>
          <w:p w14:paraId="48118C93"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14/15</w:t>
            </w:r>
          </w:p>
        </w:tc>
        <w:tc>
          <w:tcPr>
            <w:tcW w:w="692" w:type="dxa"/>
            <w:gridSpan w:val="2"/>
          </w:tcPr>
          <w:p w14:paraId="644ABB4B"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15/16</w:t>
            </w:r>
          </w:p>
        </w:tc>
        <w:tc>
          <w:tcPr>
            <w:cnfStyle w:val="000010000000" w:firstRow="0" w:lastRow="0" w:firstColumn="0" w:lastColumn="0" w:oddVBand="1" w:evenVBand="0" w:oddHBand="0" w:evenHBand="0" w:firstRowFirstColumn="0" w:firstRowLastColumn="0" w:lastRowFirstColumn="0" w:lastRowLastColumn="0"/>
            <w:tcW w:w="681" w:type="dxa"/>
          </w:tcPr>
          <w:p w14:paraId="2200088F"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13/14</w:t>
            </w:r>
          </w:p>
        </w:tc>
        <w:tc>
          <w:tcPr>
            <w:tcW w:w="681" w:type="dxa"/>
          </w:tcPr>
          <w:p w14:paraId="76552765"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14/15</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3BD5388A"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rPr>
              <w:t>15/16</w:t>
            </w:r>
          </w:p>
        </w:tc>
        <w:tc>
          <w:tcPr>
            <w:tcW w:w="681" w:type="dxa"/>
          </w:tcPr>
          <w:p w14:paraId="7DE6E0DE"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ADEF"/>
                  </w14:solidFill>
                  <w14:prstDash w14:val="solid"/>
                  <w14:round/>
                </w14:textOutline>
              </w:rPr>
              <w:t>13/14</w:t>
            </w:r>
          </w:p>
        </w:tc>
        <w:tc>
          <w:tcPr>
            <w:cnfStyle w:val="000010000000" w:firstRow="0" w:lastRow="0" w:firstColumn="0" w:lastColumn="0" w:oddVBand="1" w:evenVBand="0" w:oddHBand="0" w:evenHBand="0" w:firstRowFirstColumn="0" w:firstRowLastColumn="0" w:lastRowFirstColumn="0" w:lastRowLastColumn="0"/>
            <w:tcW w:w="681" w:type="dxa"/>
          </w:tcPr>
          <w:p w14:paraId="1D4DA394" w14:textId="77777777" w:rsidR="00BC5960" w:rsidRPr="0015030A" w:rsidRDefault="00BC5960" w:rsidP="00BC5960">
            <w:pPr>
              <w:pStyle w:val="tabletextblue"/>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ADEF"/>
                  </w14:solidFill>
                  <w14:prstDash w14:val="solid"/>
                  <w14:round/>
                </w14:textOutline>
              </w:rPr>
              <w:t>14/15</w:t>
            </w:r>
          </w:p>
        </w:tc>
        <w:tc>
          <w:tcPr>
            <w:tcW w:w="1183" w:type="dxa"/>
            <w:gridSpan w:val="2"/>
          </w:tcPr>
          <w:p w14:paraId="46893337" w14:textId="77777777" w:rsidR="00BC5960" w:rsidRPr="0015030A" w:rsidRDefault="00BC5960" w:rsidP="00BC5960">
            <w:pPr>
              <w:pStyle w:val="tabletextblue"/>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ADEF"/>
                  </w14:solidFill>
                  <w14:prstDash w14:val="solid"/>
                  <w14:round/>
                </w14:textOutline>
              </w:rPr>
              <w:t>15/16</w:t>
            </w:r>
          </w:p>
        </w:tc>
      </w:tr>
      <w:tr w:rsidR="0015030A" w:rsidRPr="0015030A" w14:paraId="748EC367"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4DA54431"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Age</w:t>
            </w:r>
          </w:p>
        </w:tc>
        <w:tc>
          <w:tcPr>
            <w:tcW w:w="672" w:type="dxa"/>
          </w:tcPr>
          <w:p w14:paraId="5835EDC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672" w:type="dxa"/>
          </w:tcPr>
          <w:p w14:paraId="27F0E82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15</w:t>
            </w:r>
          </w:p>
        </w:tc>
        <w:tc>
          <w:tcPr>
            <w:tcW w:w="673" w:type="dxa"/>
          </w:tcPr>
          <w:p w14:paraId="600704B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7</w:t>
            </w:r>
          </w:p>
        </w:tc>
        <w:tc>
          <w:tcPr>
            <w:cnfStyle w:val="000010000000" w:firstRow="0" w:lastRow="0" w:firstColumn="0" w:lastColumn="0" w:oddVBand="1" w:evenVBand="0" w:oddHBand="0" w:evenHBand="0" w:firstRowFirstColumn="0" w:firstRowLastColumn="0" w:lastRowFirstColumn="0" w:lastRowLastColumn="0"/>
            <w:tcW w:w="676" w:type="dxa"/>
          </w:tcPr>
          <w:p w14:paraId="084CFDE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CB578D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28E87AA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9B5861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5</w:t>
            </w:r>
          </w:p>
        </w:tc>
        <w:tc>
          <w:tcPr>
            <w:cnfStyle w:val="000010000000" w:firstRow="0" w:lastRow="0" w:firstColumn="0" w:lastColumn="0" w:oddVBand="1" w:evenVBand="0" w:oddHBand="0" w:evenHBand="0" w:firstRowFirstColumn="0" w:firstRowLastColumn="0" w:lastRowFirstColumn="0" w:lastRowLastColumn="0"/>
            <w:tcW w:w="678" w:type="dxa"/>
          </w:tcPr>
          <w:p w14:paraId="43E6407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7344689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679" w:type="dxa"/>
          </w:tcPr>
          <w:p w14:paraId="226DC57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77</w:t>
            </w:r>
          </w:p>
        </w:tc>
        <w:tc>
          <w:tcPr>
            <w:tcW w:w="680" w:type="dxa"/>
          </w:tcPr>
          <w:p w14:paraId="683C76A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90</w:t>
            </w:r>
          </w:p>
        </w:tc>
        <w:tc>
          <w:tcPr>
            <w:cnfStyle w:val="000010000000" w:firstRow="0" w:lastRow="0" w:firstColumn="0" w:lastColumn="0" w:oddVBand="1" w:evenVBand="0" w:oddHBand="0" w:evenHBand="0" w:firstRowFirstColumn="0" w:firstRowLastColumn="0" w:lastRowFirstColumn="0" w:lastRowLastColumn="0"/>
            <w:tcW w:w="683" w:type="dxa"/>
          </w:tcPr>
          <w:p w14:paraId="72A11FD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83</w:t>
            </w:r>
          </w:p>
        </w:tc>
        <w:tc>
          <w:tcPr>
            <w:tcW w:w="681" w:type="dxa"/>
          </w:tcPr>
          <w:p w14:paraId="2A4F4AE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45</w:t>
            </w:r>
          </w:p>
        </w:tc>
        <w:tc>
          <w:tcPr>
            <w:cnfStyle w:val="000010000000" w:firstRow="0" w:lastRow="0" w:firstColumn="0" w:lastColumn="0" w:oddVBand="1" w:evenVBand="0" w:oddHBand="0" w:evenHBand="0" w:firstRowFirstColumn="0" w:firstRowLastColumn="0" w:lastRowFirstColumn="0" w:lastRowLastColumn="0"/>
            <w:tcW w:w="681" w:type="dxa"/>
          </w:tcPr>
          <w:p w14:paraId="3EF96AF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36</w:t>
            </w:r>
          </w:p>
        </w:tc>
        <w:tc>
          <w:tcPr>
            <w:tcW w:w="683" w:type="dxa"/>
          </w:tcPr>
          <w:p w14:paraId="018A5B6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29</w:t>
            </w:r>
          </w:p>
        </w:tc>
        <w:tc>
          <w:tcPr>
            <w:cnfStyle w:val="000010000000" w:firstRow="0" w:lastRow="0" w:firstColumn="0" w:lastColumn="0" w:oddVBand="1" w:evenVBand="0" w:oddHBand="0" w:evenHBand="0" w:firstRowFirstColumn="0" w:firstRowLastColumn="0" w:lastRowFirstColumn="0" w:lastRowLastColumn="0"/>
            <w:tcW w:w="681" w:type="dxa"/>
          </w:tcPr>
          <w:p w14:paraId="33E1630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8A19B0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1AC52E7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993DE4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8C2FDD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4B9210B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D97A82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1" w:type="dxa"/>
          </w:tcPr>
          <w:p w14:paraId="7E1B979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039291F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8F7313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140</w:t>
            </w:r>
          </w:p>
        </w:tc>
        <w:tc>
          <w:tcPr>
            <w:cnfStyle w:val="000010000000" w:firstRow="0" w:lastRow="0" w:firstColumn="0" w:lastColumn="0" w:oddVBand="1" w:evenVBand="0" w:oddHBand="0" w:evenHBand="0" w:firstRowFirstColumn="0" w:firstRowLastColumn="0" w:lastRowFirstColumn="0" w:lastRowLastColumn="0"/>
            <w:tcW w:w="681" w:type="dxa"/>
          </w:tcPr>
          <w:p w14:paraId="2E27B51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145</w:t>
            </w:r>
          </w:p>
        </w:tc>
        <w:tc>
          <w:tcPr>
            <w:tcW w:w="1183" w:type="dxa"/>
            <w:gridSpan w:val="2"/>
          </w:tcPr>
          <w:p w14:paraId="445B105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123</w:t>
            </w:r>
          </w:p>
        </w:tc>
      </w:tr>
      <w:tr w:rsidR="0015030A" w:rsidRPr="0015030A" w14:paraId="1DC10A84"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23EB328B"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Authorising and assisting</w:t>
            </w:r>
          </w:p>
        </w:tc>
        <w:tc>
          <w:tcPr>
            <w:tcW w:w="672" w:type="dxa"/>
          </w:tcPr>
          <w:p w14:paraId="10FEB62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169F67E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7C61484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3B1DC8D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0ADE6A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2A76374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1433C23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20AE7D0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0FF4AD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3CE74C1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0" w:type="dxa"/>
          </w:tcPr>
          <w:p w14:paraId="105F346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3" w:type="dxa"/>
          </w:tcPr>
          <w:p w14:paraId="2F69F45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ECE70F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0CF72C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517393C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9F96F2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129B23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47A69E4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E13E44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681" w:type="dxa"/>
          </w:tcPr>
          <w:p w14:paraId="3C28B49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33</w:t>
            </w:r>
          </w:p>
        </w:tc>
        <w:tc>
          <w:tcPr>
            <w:tcW w:w="692" w:type="dxa"/>
            <w:gridSpan w:val="2"/>
          </w:tcPr>
          <w:p w14:paraId="00A4949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681" w:type="dxa"/>
          </w:tcPr>
          <w:p w14:paraId="44E5443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A77BAC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4E44D80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21F804B"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8</w:t>
            </w:r>
          </w:p>
        </w:tc>
        <w:tc>
          <w:tcPr>
            <w:cnfStyle w:val="000010000000" w:firstRow="0" w:lastRow="0" w:firstColumn="0" w:lastColumn="0" w:oddVBand="1" w:evenVBand="0" w:oddHBand="0" w:evenHBand="0" w:firstRowFirstColumn="0" w:firstRowLastColumn="0" w:lastRowFirstColumn="0" w:lastRowLastColumn="0"/>
            <w:tcW w:w="681" w:type="dxa"/>
          </w:tcPr>
          <w:p w14:paraId="4D89A69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33</w:t>
            </w:r>
          </w:p>
        </w:tc>
        <w:tc>
          <w:tcPr>
            <w:tcW w:w="1183" w:type="dxa"/>
            <w:gridSpan w:val="2"/>
          </w:tcPr>
          <w:p w14:paraId="34C8FDE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22</w:t>
            </w:r>
          </w:p>
        </w:tc>
      </w:tr>
      <w:tr w:rsidR="0015030A" w:rsidRPr="0015030A" w14:paraId="1AC85C13"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11BD3901"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Breastfeeding</w:t>
            </w:r>
          </w:p>
        </w:tc>
        <w:tc>
          <w:tcPr>
            <w:tcW w:w="672" w:type="dxa"/>
          </w:tcPr>
          <w:p w14:paraId="2340A70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0255160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153A095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6E862F4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2CD1406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2A0F93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2484F97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1C62045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74D88D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9" w:type="dxa"/>
          </w:tcPr>
          <w:p w14:paraId="7486CCD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w:t>
            </w:r>
          </w:p>
        </w:tc>
        <w:tc>
          <w:tcPr>
            <w:tcW w:w="680" w:type="dxa"/>
          </w:tcPr>
          <w:p w14:paraId="726DF56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83" w:type="dxa"/>
          </w:tcPr>
          <w:p w14:paraId="7F6C566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1" w:type="dxa"/>
          </w:tcPr>
          <w:p w14:paraId="7A3B42C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681" w:type="dxa"/>
          </w:tcPr>
          <w:p w14:paraId="4E7D76E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3E48499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763B605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EEB146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B7AEC4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5C6CAA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659AD3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59568EBD"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68AEC33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38538E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78E3E64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A062A2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14</w:t>
            </w:r>
          </w:p>
        </w:tc>
        <w:tc>
          <w:tcPr>
            <w:cnfStyle w:val="000010000000" w:firstRow="0" w:lastRow="0" w:firstColumn="0" w:lastColumn="0" w:oddVBand="1" w:evenVBand="0" w:oddHBand="0" w:evenHBand="0" w:firstRowFirstColumn="0" w:firstRowLastColumn="0" w:lastRowFirstColumn="0" w:lastRowLastColumn="0"/>
            <w:tcW w:w="681" w:type="dxa"/>
          </w:tcPr>
          <w:p w14:paraId="398B030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w:t>
            </w:r>
          </w:p>
        </w:tc>
        <w:tc>
          <w:tcPr>
            <w:tcW w:w="1183" w:type="dxa"/>
            <w:gridSpan w:val="2"/>
          </w:tcPr>
          <w:p w14:paraId="2500625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8</w:t>
            </w:r>
          </w:p>
        </w:tc>
      </w:tr>
      <w:tr w:rsidR="0015030A" w:rsidRPr="0015030A" w14:paraId="49464A1E"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1381038C"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Carer status</w:t>
            </w:r>
          </w:p>
        </w:tc>
        <w:tc>
          <w:tcPr>
            <w:tcW w:w="672" w:type="dxa"/>
          </w:tcPr>
          <w:p w14:paraId="5771BFA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672" w:type="dxa"/>
          </w:tcPr>
          <w:p w14:paraId="41D1CFB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7</w:t>
            </w:r>
          </w:p>
        </w:tc>
        <w:tc>
          <w:tcPr>
            <w:tcW w:w="673" w:type="dxa"/>
          </w:tcPr>
          <w:p w14:paraId="291B8BB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12</w:t>
            </w:r>
          </w:p>
        </w:tc>
        <w:tc>
          <w:tcPr>
            <w:cnfStyle w:val="000010000000" w:firstRow="0" w:lastRow="0" w:firstColumn="0" w:lastColumn="0" w:oddVBand="1" w:evenVBand="0" w:oddHBand="0" w:evenHBand="0" w:firstRowFirstColumn="0" w:firstRowLastColumn="0" w:lastRowFirstColumn="0" w:lastRowLastColumn="0"/>
            <w:tcW w:w="676" w:type="dxa"/>
          </w:tcPr>
          <w:p w14:paraId="20CB76D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89C13D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56B2F0B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8" w:type="dxa"/>
          </w:tcPr>
          <w:p w14:paraId="29CA21E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78" w:type="dxa"/>
          </w:tcPr>
          <w:p w14:paraId="4A83914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1" w:type="dxa"/>
          </w:tcPr>
          <w:p w14:paraId="346A36E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9" w:type="dxa"/>
          </w:tcPr>
          <w:p w14:paraId="69C80B8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85</w:t>
            </w:r>
          </w:p>
        </w:tc>
        <w:tc>
          <w:tcPr>
            <w:tcW w:w="680" w:type="dxa"/>
          </w:tcPr>
          <w:p w14:paraId="3A6F70A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99</w:t>
            </w:r>
          </w:p>
        </w:tc>
        <w:tc>
          <w:tcPr>
            <w:cnfStyle w:val="000010000000" w:firstRow="0" w:lastRow="0" w:firstColumn="0" w:lastColumn="0" w:oddVBand="1" w:evenVBand="0" w:oddHBand="0" w:evenHBand="0" w:firstRowFirstColumn="0" w:firstRowLastColumn="0" w:lastRowFirstColumn="0" w:lastRowLastColumn="0"/>
            <w:tcW w:w="683" w:type="dxa"/>
          </w:tcPr>
          <w:p w14:paraId="604136A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62</w:t>
            </w:r>
          </w:p>
        </w:tc>
        <w:tc>
          <w:tcPr>
            <w:tcW w:w="681" w:type="dxa"/>
          </w:tcPr>
          <w:p w14:paraId="40DB17F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681" w:type="dxa"/>
          </w:tcPr>
          <w:p w14:paraId="30330A0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12</w:t>
            </w:r>
          </w:p>
        </w:tc>
        <w:tc>
          <w:tcPr>
            <w:tcW w:w="683" w:type="dxa"/>
          </w:tcPr>
          <w:p w14:paraId="3114FB0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w:t>
            </w:r>
          </w:p>
        </w:tc>
        <w:tc>
          <w:tcPr>
            <w:cnfStyle w:val="000010000000" w:firstRow="0" w:lastRow="0" w:firstColumn="0" w:lastColumn="0" w:oddVBand="1" w:evenVBand="0" w:oddHBand="0" w:evenHBand="0" w:firstRowFirstColumn="0" w:firstRowLastColumn="0" w:lastRowFirstColumn="0" w:lastRowLastColumn="0"/>
            <w:tcW w:w="681" w:type="dxa"/>
          </w:tcPr>
          <w:p w14:paraId="0CEEE36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396D88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0CFDCBC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F7E3F4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94E0E9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3292662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56517C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24EA0B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1D792BE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4C96346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111</w:t>
            </w:r>
          </w:p>
        </w:tc>
        <w:tc>
          <w:tcPr>
            <w:cnfStyle w:val="000010000000" w:firstRow="0" w:lastRow="0" w:firstColumn="0" w:lastColumn="0" w:oddVBand="1" w:evenVBand="0" w:oddHBand="0" w:evenHBand="0" w:firstRowFirstColumn="0" w:firstRowLastColumn="0" w:lastRowFirstColumn="0" w:lastRowLastColumn="0"/>
            <w:tcW w:w="681" w:type="dxa"/>
          </w:tcPr>
          <w:p w14:paraId="396645F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123</w:t>
            </w:r>
          </w:p>
        </w:tc>
        <w:tc>
          <w:tcPr>
            <w:tcW w:w="1183" w:type="dxa"/>
            <w:gridSpan w:val="2"/>
          </w:tcPr>
          <w:p w14:paraId="2395EA3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94</w:t>
            </w:r>
          </w:p>
        </w:tc>
      </w:tr>
      <w:tr w:rsidR="0015030A" w:rsidRPr="0015030A" w14:paraId="6E0963A2"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28964574"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Disability</w:t>
            </w:r>
          </w:p>
        </w:tc>
        <w:tc>
          <w:tcPr>
            <w:tcW w:w="672" w:type="dxa"/>
          </w:tcPr>
          <w:p w14:paraId="27F343D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36</w:t>
            </w:r>
          </w:p>
        </w:tc>
        <w:tc>
          <w:tcPr>
            <w:cnfStyle w:val="000010000000" w:firstRow="0" w:lastRow="0" w:firstColumn="0" w:lastColumn="0" w:oddVBand="1" w:evenVBand="0" w:oddHBand="0" w:evenHBand="0" w:firstRowFirstColumn="0" w:firstRowLastColumn="0" w:lastRowFirstColumn="0" w:lastRowLastColumn="0"/>
            <w:tcW w:w="672" w:type="dxa"/>
          </w:tcPr>
          <w:p w14:paraId="3A7E5AA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79</w:t>
            </w:r>
          </w:p>
        </w:tc>
        <w:tc>
          <w:tcPr>
            <w:tcW w:w="673" w:type="dxa"/>
          </w:tcPr>
          <w:p w14:paraId="1C67D64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38</w:t>
            </w:r>
          </w:p>
        </w:tc>
        <w:tc>
          <w:tcPr>
            <w:cnfStyle w:val="000010000000" w:firstRow="0" w:lastRow="0" w:firstColumn="0" w:lastColumn="0" w:oddVBand="1" w:evenVBand="0" w:oddHBand="0" w:evenHBand="0" w:firstRowFirstColumn="0" w:firstRowLastColumn="0" w:lastRowFirstColumn="0" w:lastRowLastColumn="0"/>
            <w:tcW w:w="676" w:type="dxa"/>
          </w:tcPr>
          <w:p w14:paraId="56949BC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w:t>
            </w:r>
          </w:p>
        </w:tc>
        <w:tc>
          <w:tcPr>
            <w:tcW w:w="678" w:type="dxa"/>
          </w:tcPr>
          <w:p w14:paraId="1E28819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9" w:type="dxa"/>
          </w:tcPr>
          <w:p w14:paraId="1300AAC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78" w:type="dxa"/>
          </w:tcPr>
          <w:p w14:paraId="1BA4E9E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73</w:t>
            </w:r>
          </w:p>
        </w:tc>
        <w:tc>
          <w:tcPr>
            <w:cnfStyle w:val="000010000000" w:firstRow="0" w:lastRow="0" w:firstColumn="0" w:lastColumn="0" w:oddVBand="1" w:evenVBand="0" w:oddHBand="0" w:evenHBand="0" w:firstRowFirstColumn="0" w:firstRowLastColumn="0" w:lastRowFirstColumn="0" w:lastRowLastColumn="0"/>
            <w:tcW w:w="678" w:type="dxa"/>
          </w:tcPr>
          <w:p w14:paraId="20AE8A6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53</w:t>
            </w:r>
          </w:p>
        </w:tc>
        <w:tc>
          <w:tcPr>
            <w:tcW w:w="681" w:type="dxa"/>
          </w:tcPr>
          <w:p w14:paraId="62FF72F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47</w:t>
            </w:r>
          </w:p>
        </w:tc>
        <w:tc>
          <w:tcPr>
            <w:cnfStyle w:val="000010000000" w:firstRow="0" w:lastRow="0" w:firstColumn="0" w:lastColumn="0" w:oddVBand="1" w:evenVBand="0" w:oddHBand="0" w:evenHBand="0" w:firstRowFirstColumn="0" w:firstRowLastColumn="0" w:lastRowFirstColumn="0" w:lastRowLastColumn="0"/>
            <w:tcW w:w="679" w:type="dxa"/>
          </w:tcPr>
          <w:p w14:paraId="7CE9813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340</w:t>
            </w:r>
          </w:p>
        </w:tc>
        <w:tc>
          <w:tcPr>
            <w:tcW w:w="680" w:type="dxa"/>
          </w:tcPr>
          <w:p w14:paraId="250FB40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355</w:t>
            </w:r>
          </w:p>
        </w:tc>
        <w:tc>
          <w:tcPr>
            <w:cnfStyle w:val="000010000000" w:firstRow="0" w:lastRow="0" w:firstColumn="0" w:lastColumn="0" w:oddVBand="1" w:evenVBand="0" w:oddHBand="0" w:evenHBand="0" w:firstRowFirstColumn="0" w:firstRowLastColumn="0" w:lastRowFirstColumn="0" w:lastRowLastColumn="0"/>
            <w:tcW w:w="683" w:type="dxa"/>
          </w:tcPr>
          <w:p w14:paraId="667AA3F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258</w:t>
            </w:r>
          </w:p>
        </w:tc>
        <w:tc>
          <w:tcPr>
            <w:tcW w:w="681" w:type="dxa"/>
          </w:tcPr>
          <w:p w14:paraId="09F2489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223</w:t>
            </w:r>
          </w:p>
        </w:tc>
        <w:tc>
          <w:tcPr>
            <w:cnfStyle w:val="000010000000" w:firstRow="0" w:lastRow="0" w:firstColumn="0" w:lastColumn="0" w:oddVBand="1" w:evenVBand="0" w:oddHBand="0" w:evenHBand="0" w:firstRowFirstColumn="0" w:firstRowLastColumn="0" w:lastRowFirstColumn="0" w:lastRowLastColumn="0"/>
            <w:tcW w:w="681" w:type="dxa"/>
          </w:tcPr>
          <w:p w14:paraId="2ED8030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262</w:t>
            </w:r>
          </w:p>
        </w:tc>
        <w:tc>
          <w:tcPr>
            <w:tcW w:w="683" w:type="dxa"/>
          </w:tcPr>
          <w:p w14:paraId="2FF9F20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197</w:t>
            </w:r>
          </w:p>
        </w:tc>
        <w:tc>
          <w:tcPr>
            <w:cnfStyle w:val="000010000000" w:firstRow="0" w:lastRow="0" w:firstColumn="0" w:lastColumn="0" w:oddVBand="1" w:evenVBand="0" w:oddHBand="0" w:evenHBand="0" w:firstRowFirstColumn="0" w:firstRowLastColumn="0" w:lastRowFirstColumn="0" w:lastRowLastColumn="0"/>
            <w:tcW w:w="681" w:type="dxa"/>
          </w:tcPr>
          <w:p w14:paraId="22C6A40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398F5DD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4C0FA48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F28657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1BC9D24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28941F1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57AA66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7</w:t>
            </w:r>
          </w:p>
        </w:tc>
        <w:tc>
          <w:tcPr>
            <w:tcW w:w="681" w:type="dxa"/>
          </w:tcPr>
          <w:p w14:paraId="5D4DA0F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062519B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58596B1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686</w:t>
            </w:r>
          </w:p>
        </w:tc>
        <w:tc>
          <w:tcPr>
            <w:cnfStyle w:val="000010000000" w:firstRow="0" w:lastRow="0" w:firstColumn="0" w:lastColumn="0" w:oddVBand="1" w:evenVBand="0" w:oddHBand="0" w:evenHBand="0" w:firstRowFirstColumn="0" w:firstRowLastColumn="0" w:lastRowFirstColumn="0" w:lastRowLastColumn="0"/>
            <w:tcW w:w="681" w:type="dxa"/>
          </w:tcPr>
          <w:p w14:paraId="796DF56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752</w:t>
            </w:r>
          </w:p>
        </w:tc>
        <w:tc>
          <w:tcPr>
            <w:tcW w:w="1183" w:type="dxa"/>
            <w:gridSpan w:val="2"/>
          </w:tcPr>
          <w:p w14:paraId="0A6C0BB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544</w:t>
            </w:r>
          </w:p>
        </w:tc>
      </w:tr>
      <w:tr w:rsidR="0015030A" w:rsidRPr="0015030A" w14:paraId="1E5D4849"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794031FD"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 xml:space="preserve">Discriminatory info. </w:t>
            </w:r>
            <w:proofErr w:type="gramStart"/>
            <w:r w:rsidRPr="0015030A">
              <w:rPr>
                <w:rFonts w:ascii="Arial" w:hAnsi="Arial" w:cs="Arial"/>
                <w:color w:val="000000" w:themeColor="text1"/>
              </w:rPr>
              <w:t>request</w:t>
            </w:r>
            <w:proofErr w:type="gramEnd"/>
          </w:p>
        </w:tc>
        <w:tc>
          <w:tcPr>
            <w:tcW w:w="672" w:type="dxa"/>
          </w:tcPr>
          <w:p w14:paraId="2ECAA5BB"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2F44C34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7C04A4E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5936320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F299B0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4A2DDBC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C56030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6ABF7FF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F9DA8D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6E63D03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0" w:type="dxa"/>
          </w:tcPr>
          <w:p w14:paraId="0638CFF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3" w:type="dxa"/>
          </w:tcPr>
          <w:p w14:paraId="4C8DF5F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D20EA8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72D21DE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01D2E1B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12291FF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EBCFAD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42EFD0F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5314D4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16</w:t>
            </w:r>
          </w:p>
        </w:tc>
        <w:tc>
          <w:tcPr>
            <w:cnfStyle w:val="000010000000" w:firstRow="0" w:lastRow="0" w:firstColumn="0" w:lastColumn="0" w:oddVBand="1" w:evenVBand="0" w:oddHBand="0" w:evenHBand="0" w:firstRowFirstColumn="0" w:firstRowLastColumn="0" w:lastRowFirstColumn="0" w:lastRowLastColumn="0"/>
            <w:tcW w:w="681" w:type="dxa"/>
          </w:tcPr>
          <w:p w14:paraId="4F6F898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12</w:t>
            </w:r>
          </w:p>
        </w:tc>
        <w:tc>
          <w:tcPr>
            <w:tcW w:w="692" w:type="dxa"/>
            <w:gridSpan w:val="2"/>
          </w:tcPr>
          <w:p w14:paraId="04FC7C0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5</w:t>
            </w:r>
          </w:p>
        </w:tc>
        <w:tc>
          <w:tcPr>
            <w:cnfStyle w:val="000010000000" w:firstRow="0" w:lastRow="0" w:firstColumn="0" w:lastColumn="0" w:oddVBand="1" w:evenVBand="0" w:oddHBand="0" w:evenHBand="0" w:firstRowFirstColumn="0" w:firstRowLastColumn="0" w:lastRowFirstColumn="0" w:lastRowLastColumn="0"/>
            <w:tcW w:w="681" w:type="dxa"/>
          </w:tcPr>
          <w:p w14:paraId="652EECE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44394B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3FAD03C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B77A8B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16</w:t>
            </w:r>
          </w:p>
        </w:tc>
        <w:tc>
          <w:tcPr>
            <w:cnfStyle w:val="000010000000" w:firstRow="0" w:lastRow="0" w:firstColumn="0" w:lastColumn="0" w:oddVBand="1" w:evenVBand="0" w:oddHBand="0" w:evenHBand="0" w:firstRowFirstColumn="0" w:firstRowLastColumn="0" w:lastRowFirstColumn="0" w:lastRowLastColumn="0"/>
            <w:tcW w:w="681" w:type="dxa"/>
          </w:tcPr>
          <w:p w14:paraId="689034C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12</w:t>
            </w:r>
          </w:p>
        </w:tc>
        <w:tc>
          <w:tcPr>
            <w:tcW w:w="1183" w:type="dxa"/>
            <w:gridSpan w:val="2"/>
          </w:tcPr>
          <w:p w14:paraId="7F453DB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w:t>
            </w:r>
          </w:p>
        </w:tc>
      </w:tr>
      <w:tr w:rsidR="0015030A" w:rsidRPr="0015030A" w14:paraId="50E2424C"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7BAAD1FC"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Employment activity</w:t>
            </w:r>
          </w:p>
        </w:tc>
        <w:tc>
          <w:tcPr>
            <w:tcW w:w="672" w:type="dxa"/>
          </w:tcPr>
          <w:p w14:paraId="6346BCF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2BCC127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4EEE3F8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2508942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5299D0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3878DF3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101929FD"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306C87E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EA7981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0E819F8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210</w:t>
            </w:r>
          </w:p>
        </w:tc>
        <w:tc>
          <w:tcPr>
            <w:tcW w:w="680" w:type="dxa"/>
          </w:tcPr>
          <w:p w14:paraId="1DD14E8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188</w:t>
            </w:r>
          </w:p>
        </w:tc>
        <w:tc>
          <w:tcPr>
            <w:cnfStyle w:val="000010000000" w:firstRow="0" w:lastRow="0" w:firstColumn="0" w:lastColumn="0" w:oddVBand="1" w:evenVBand="0" w:oddHBand="0" w:evenHBand="0" w:firstRowFirstColumn="0" w:firstRowLastColumn="0" w:lastRowFirstColumn="0" w:lastRowLastColumn="0"/>
            <w:tcW w:w="683" w:type="dxa"/>
          </w:tcPr>
          <w:p w14:paraId="01BED7D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114</w:t>
            </w:r>
          </w:p>
        </w:tc>
        <w:tc>
          <w:tcPr>
            <w:tcW w:w="681" w:type="dxa"/>
          </w:tcPr>
          <w:p w14:paraId="116AB5BD"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1" w:type="dxa"/>
          </w:tcPr>
          <w:p w14:paraId="45CABF5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0E1B7FD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004320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BFFDEA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320CA72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A751C6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69D016E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6F0A7FB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0D18DD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23BDB6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4D5CFE3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392979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212</w:t>
            </w:r>
          </w:p>
        </w:tc>
        <w:tc>
          <w:tcPr>
            <w:cnfStyle w:val="000010000000" w:firstRow="0" w:lastRow="0" w:firstColumn="0" w:lastColumn="0" w:oddVBand="1" w:evenVBand="0" w:oddHBand="0" w:evenHBand="0" w:firstRowFirstColumn="0" w:firstRowLastColumn="0" w:lastRowFirstColumn="0" w:lastRowLastColumn="0"/>
            <w:tcW w:w="681" w:type="dxa"/>
          </w:tcPr>
          <w:p w14:paraId="29CDEE7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188</w:t>
            </w:r>
          </w:p>
        </w:tc>
        <w:tc>
          <w:tcPr>
            <w:tcW w:w="1183" w:type="dxa"/>
            <w:gridSpan w:val="2"/>
          </w:tcPr>
          <w:p w14:paraId="5C41518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114</w:t>
            </w:r>
          </w:p>
        </w:tc>
      </w:tr>
      <w:tr w:rsidR="0015030A" w:rsidRPr="0015030A" w14:paraId="4727B21C"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131640AB"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Gender identity</w:t>
            </w:r>
          </w:p>
        </w:tc>
        <w:tc>
          <w:tcPr>
            <w:tcW w:w="672" w:type="dxa"/>
          </w:tcPr>
          <w:p w14:paraId="57BB988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52D7DDB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3" w:type="dxa"/>
          </w:tcPr>
          <w:p w14:paraId="3E61B1C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6" w:type="dxa"/>
          </w:tcPr>
          <w:p w14:paraId="44EE52F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5F1E3F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2BC3357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AE74C6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166A14E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EAFEE7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79" w:type="dxa"/>
          </w:tcPr>
          <w:p w14:paraId="3E5BB58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0" w:type="dxa"/>
          </w:tcPr>
          <w:p w14:paraId="5F4ED5E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683" w:type="dxa"/>
          </w:tcPr>
          <w:p w14:paraId="6E71CA8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1E745AD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10</w:t>
            </w:r>
          </w:p>
        </w:tc>
        <w:tc>
          <w:tcPr>
            <w:cnfStyle w:val="000010000000" w:firstRow="0" w:lastRow="0" w:firstColumn="0" w:lastColumn="0" w:oddVBand="1" w:evenVBand="0" w:oddHBand="0" w:evenHBand="0" w:firstRowFirstColumn="0" w:firstRowLastColumn="0" w:lastRowFirstColumn="0" w:lastRowLastColumn="0"/>
            <w:tcW w:w="681" w:type="dxa"/>
          </w:tcPr>
          <w:p w14:paraId="70CCC47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3" w:type="dxa"/>
          </w:tcPr>
          <w:p w14:paraId="7A98E59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w:t>
            </w:r>
          </w:p>
        </w:tc>
        <w:tc>
          <w:tcPr>
            <w:cnfStyle w:val="000010000000" w:firstRow="0" w:lastRow="0" w:firstColumn="0" w:lastColumn="0" w:oddVBand="1" w:evenVBand="0" w:oddHBand="0" w:evenHBand="0" w:firstRowFirstColumn="0" w:firstRowLastColumn="0" w:lastRowFirstColumn="0" w:lastRowLastColumn="0"/>
            <w:tcW w:w="681" w:type="dxa"/>
          </w:tcPr>
          <w:p w14:paraId="56AC90B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538CBF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5EF5BCD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45B46F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CBE8C6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051C61D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CE277E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71FC4D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68CF751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9CB353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w:t>
            </w:r>
          </w:p>
        </w:tc>
        <w:tc>
          <w:tcPr>
            <w:cnfStyle w:val="000010000000" w:firstRow="0" w:lastRow="0" w:firstColumn="0" w:lastColumn="0" w:oddVBand="1" w:evenVBand="0" w:oddHBand="0" w:evenHBand="0" w:firstRowFirstColumn="0" w:firstRowLastColumn="0" w:lastRowFirstColumn="0" w:lastRowLastColumn="0"/>
            <w:tcW w:w="681" w:type="dxa"/>
          </w:tcPr>
          <w:p w14:paraId="03C64F1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15</w:t>
            </w:r>
          </w:p>
        </w:tc>
        <w:tc>
          <w:tcPr>
            <w:tcW w:w="1183" w:type="dxa"/>
            <w:gridSpan w:val="2"/>
          </w:tcPr>
          <w:p w14:paraId="69D5B90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10</w:t>
            </w:r>
          </w:p>
        </w:tc>
      </w:tr>
      <w:tr w:rsidR="0015030A" w:rsidRPr="0015030A" w14:paraId="2BC4E679"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58E8A5FA"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Industrial activity</w:t>
            </w:r>
          </w:p>
        </w:tc>
        <w:tc>
          <w:tcPr>
            <w:tcW w:w="672" w:type="dxa"/>
          </w:tcPr>
          <w:p w14:paraId="70343E6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1F4C27A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4799165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56FAF30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44B25B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01F1EDB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938527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40C0EE7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489E58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93888F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27</w:t>
            </w:r>
          </w:p>
        </w:tc>
        <w:tc>
          <w:tcPr>
            <w:tcW w:w="680" w:type="dxa"/>
          </w:tcPr>
          <w:p w14:paraId="08EB932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683" w:type="dxa"/>
          </w:tcPr>
          <w:p w14:paraId="5077DE0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17</w:t>
            </w:r>
          </w:p>
        </w:tc>
        <w:tc>
          <w:tcPr>
            <w:tcW w:w="681" w:type="dxa"/>
          </w:tcPr>
          <w:p w14:paraId="218CD31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81" w:type="dxa"/>
          </w:tcPr>
          <w:p w14:paraId="328ABD1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0F85343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430C41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DDED92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493E901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02B1FD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1171789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492CDC0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901DB3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743441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2A97026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E4465D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28</w:t>
            </w:r>
          </w:p>
        </w:tc>
        <w:tc>
          <w:tcPr>
            <w:cnfStyle w:val="000010000000" w:firstRow="0" w:lastRow="0" w:firstColumn="0" w:lastColumn="0" w:oddVBand="1" w:evenVBand="0" w:oddHBand="0" w:evenHBand="0" w:firstRowFirstColumn="0" w:firstRowLastColumn="0" w:lastRowFirstColumn="0" w:lastRowLastColumn="0"/>
            <w:tcW w:w="681" w:type="dxa"/>
          </w:tcPr>
          <w:p w14:paraId="2104A27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20</w:t>
            </w:r>
          </w:p>
        </w:tc>
        <w:tc>
          <w:tcPr>
            <w:tcW w:w="1183" w:type="dxa"/>
            <w:gridSpan w:val="2"/>
          </w:tcPr>
          <w:p w14:paraId="49D92DF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17</w:t>
            </w:r>
          </w:p>
        </w:tc>
      </w:tr>
      <w:tr w:rsidR="0015030A" w:rsidRPr="0015030A" w14:paraId="553A8144"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3BCA7AF6"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Lawful sexual activity</w:t>
            </w:r>
          </w:p>
        </w:tc>
        <w:tc>
          <w:tcPr>
            <w:tcW w:w="672" w:type="dxa"/>
          </w:tcPr>
          <w:p w14:paraId="61DC026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2" w:type="dxa"/>
          </w:tcPr>
          <w:p w14:paraId="505473B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73" w:type="dxa"/>
          </w:tcPr>
          <w:p w14:paraId="52E7447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0D394F3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6A9F976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077F9E9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45F3B05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30C1D1C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698972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6EB9C4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14</w:t>
            </w:r>
          </w:p>
        </w:tc>
        <w:tc>
          <w:tcPr>
            <w:tcW w:w="680" w:type="dxa"/>
          </w:tcPr>
          <w:p w14:paraId="47D7BD0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83" w:type="dxa"/>
          </w:tcPr>
          <w:p w14:paraId="3A7B1F4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206C35B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81" w:type="dxa"/>
          </w:tcPr>
          <w:p w14:paraId="7256AE6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3" w:type="dxa"/>
          </w:tcPr>
          <w:p w14:paraId="026CE92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5</w:t>
            </w:r>
          </w:p>
        </w:tc>
        <w:tc>
          <w:tcPr>
            <w:cnfStyle w:val="000010000000" w:firstRow="0" w:lastRow="0" w:firstColumn="0" w:lastColumn="0" w:oddVBand="1" w:evenVBand="0" w:oddHBand="0" w:evenHBand="0" w:firstRowFirstColumn="0" w:firstRowLastColumn="0" w:lastRowFirstColumn="0" w:lastRowLastColumn="0"/>
            <w:tcW w:w="681" w:type="dxa"/>
          </w:tcPr>
          <w:p w14:paraId="273A3BB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010AEB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1B0AD8C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A2A21C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D5EC99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0867F70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177C8D3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042C11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3BF5583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E46ABF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18</w:t>
            </w:r>
          </w:p>
        </w:tc>
        <w:tc>
          <w:tcPr>
            <w:cnfStyle w:val="000010000000" w:firstRow="0" w:lastRow="0" w:firstColumn="0" w:lastColumn="0" w:oddVBand="1" w:evenVBand="0" w:oddHBand="0" w:evenHBand="0" w:firstRowFirstColumn="0" w:firstRowLastColumn="0" w:lastRowFirstColumn="0" w:lastRowLastColumn="0"/>
            <w:tcW w:w="681" w:type="dxa"/>
          </w:tcPr>
          <w:p w14:paraId="08402F7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6</w:t>
            </w:r>
          </w:p>
        </w:tc>
        <w:tc>
          <w:tcPr>
            <w:tcW w:w="1183" w:type="dxa"/>
            <w:gridSpan w:val="2"/>
          </w:tcPr>
          <w:p w14:paraId="216906E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6</w:t>
            </w:r>
          </w:p>
        </w:tc>
      </w:tr>
      <w:tr w:rsidR="0015030A" w:rsidRPr="0015030A" w14:paraId="205ABCAB"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407DF421"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Marital status</w:t>
            </w:r>
          </w:p>
        </w:tc>
        <w:tc>
          <w:tcPr>
            <w:tcW w:w="672" w:type="dxa"/>
          </w:tcPr>
          <w:p w14:paraId="3B0B7B7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w:t>
            </w:r>
          </w:p>
        </w:tc>
        <w:tc>
          <w:tcPr>
            <w:cnfStyle w:val="000010000000" w:firstRow="0" w:lastRow="0" w:firstColumn="0" w:lastColumn="0" w:oddVBand="1" w:evenVBand="0" w:oddHBand="0" w:evenHBand="0" w:firstRowFirstColumn="0" w:firstRowLastColumn="0" w:lastRowFirstColumn="0" w:lastRowLastColumn="0"/>
            <w:tcW w:w="672" w:type="dxa"/>
          </w:tcPr>
          <w:p w14:paraId="428B75A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w:t>
            </w:r>
          </w:p>
        </w:tc>
        <w:tc>
          <w:tcPr>
            <w:tcW w:w="673" w:type="dxa"/>
          </w:tcPr>
          <w:p w14:paraId="7B2CFB6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w:t>
            </w:r>
          </w:p>
        </w:tc>
        <w:tc>
          <w:tcPr>
            <w:cnfStyle w:val="000010000000" w:firstRow="0" w:lastRow="0" w:firstColumn="0" w:lastColumn="0" w:oddVBand="1" w:evenVBand="0" w:oddHBand="0" w:evenHBand="0" w:firstRowFirstColumn="0" w:firstRowLastColumn="0" w:lastRowFirstColumn="0" w:lastRowLastColumn="0"/>
            <w:tcW w:w="676" w:type="dxa"/>
          </w:tcPr>
          <w:p w14:paraId="07B49A2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68B4D0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19178EA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7C7F5C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0D2CC91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0A2AF2C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2CB0DFC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29</w:t>
            </w:r>
          </w:p>
        </w:tc>
        <w:tc>
          <w:tcPr>
            <w:tcW w:w="680" w:type="dxa"/>
          </w:tcPr>
          <w:p w14:paraId="188608E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21</w:t>
            </w:r>
          </w:p>
        </w:tc>
        <w:tc>
          <w:tcPr>
            <w:cnfStyle w:val="000010000000" w:firstRow="0" w:lastRow="0" w:firstColumn="0" w:lastColumn="0" w:oddVBand="1" w:evenVBand="0" w:oddHBand="0" w:evenHBand="0" w:firstRowFirstColumn="0" w:firstRowLastColumn="0" w:lastRowFirstColumn="0" w:lastRowLastColumn="0"/>
            <w:tcW w:w="683" w:type="dxa"/>
          </w:tcPr>
          <w:p w14:paraId="6910221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10</w:t>
            </w:r>
          </w:p>
        </w:tc>
        <w:tc>
          <w:tcPr>
            <w:tcW w:w="681" w:type="dxa"/>
          </w:tcPr>
          <w:p w14:paraId="2AF8B19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w:t>
            </w:r>
          </w:p>
        </w:tc>
        <w:tc>
          <w:tcPr>
            <w:cnfStyle w:val="000010000000" w:firstRow="0" w:lastRow="0" w:firstColumn="0" w:lastColumn="0" w:oddVBand="1" w:evenVBand="0" w:oddHBand="0" w:evenHBand="0" w:firstRowFirstColumn="0" w:firstRowLastColumn="0" w:lastRowFirstColumn="0" w:lastRowLastColumn="0"/>
            <w:tcW w:w="681" w:type="dxa"/>
          </w:tcPr>
          <w:p w14:paraId="21C18A2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3" w:type="dxa"/>
          </w:tcPr>
          <w:p w14:paraId="18DED38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681" w:type="dxa"/>
          </w:tcPr>
          <w:p w14:paraId="3765296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EF1FB9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644E431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96FFA9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7EDE9D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0D2FEB2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25C935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48DC44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3DAFB6C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904D39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50</w:t>
            </w:r>
          </w:p>
        </w:tc>
        <w:tc>
          <w:tcPr>
            <w:cnfStyle w:val="000010000000" w:firstRow="0" w:lastRow="0" w:firstColumn="0" w:lastColumn="0" w:oddVBand="1" w:evenVBand="0" w:oddHBand="0" w:evenHBand="0" w:firstRowFirstColumn="0" w:firstRowLastColumn="0" w:lastRowFirstColumn="0" w:lastRowLastColumn="0"/>
            <w:tcW w:w="681" w:type="dxa"/>
          </w:tcPr>
          <w:p w14:paraId="6936A1D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31</w:t>
            </w:r>
          </w:p>
        </w:tc>
        <w:tc>
          <w:tcPr>
            <w:tcW w:w="1183" w:type="dxa"/>
            <w:gridSpan w:val="2"/>
          </w:tcPr>
          <w:p w14:paraId="6FEADE3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24</w:t>
            </w:r>
          </w:p>
        </w:tc>
      </w:tr>
      <w:tr w:rsidR="0015030A" w:rsidRPr="0015030A" w14:paraId="4D2ABD27"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5404AEE2"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Parental status</w:t>
            </w:r>
          </w:p>
        </w:tc>
        <w:tc>
          <w:tcPr>
            <w:tcW w:w="672" w:type="dxa"/>
          </w:tcPr>
          <w:p w14:paraId="52B5E7D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672" w:type="dxa"/>
          </w:tcPr>
          <w:p w14:paraId="278D32B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w:t>
            </w:r>
          </w:p>
        </w:tc>
        <w:tc>
          <w:tcPr>
            <w:tcW w:w="673" w:type="dxa"/>
          </w:tcPr>
          <w:p w14:paraId="6EDECAF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676" w:type="dxa"/>
          </w:tcPr>
          <w:p w14:paraId="741CC8E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F5362A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0CFBEDA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8" w:type="dxa"/>
          </w:tcPr>
          <w:p w14:paraId="37D8920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0A67148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1" w:type="dxa"/>
          </w:tcPr>
          <w:p w14:paraId="2F8A32F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679" w:type="dxa"/>
          </w:tcPr>
          <w:p w14:paraId="63D1031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83</w:t>
            </w:r>
          </w:p>
        </w:tc>
        <w:tc>
          <w:tcPr>
            <w:tcW w:w="680" w:type="dxa"/>
          </w:tcPr>
          <w:p w14:paraId="64717F3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93</w:t>
            </w:r>
          </w:p>
        </w:tc>
        <w:tc>
          <w:tcPr>
            <w:cnfStyle w:val="000010000000" w:firstRow="0" w:lastRow="0" w:firstColumn="0" w:lastColumn="0" w:oddVBand="1" w:evenVBand="0" w:oddHBand="0" w:evenHBand="0" w:firstRowFirstColumn="0" w:firstRowLastColumn="0" w:lastRowFirstColumn="0" w:lastRowLastColumn="0"/>
            <w:tcW w:w="683" w:type="dxa"/>
          </w:tcPr>
          <w:p w14:paraId="712B7C8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66</w:t>
            </w:r>
          </w:p>
        </w:tc>
        <w:tc>
          <w:tcPr>
            <w:tcW w:w="681" w:type="dxa"/>
          </w:tcPr>
          <w:p w14:paraId="2C5670A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12</w:t>
            </w:r>
          </w:p>
        </w:tc>
        <w:tc>
          <w:tcPr>
            <w:cnfStyle w:val="000010000000" w:firstRow="0" w:lastRow="0" w:firstColumn="0" w:lastColumn="0" w:oddVBand="1" w:evenVBand="0" w:oddHBand="0" w:evenHBand="0" w:firstRowFirstColumn="0" w:firstRowLastColumn="0" w:lastRowFirstColumn="0" w:lastRowLastColumn="0"/>
            <w:tcW w:w="681" w:type="dxa"/>
          </w:tcPr>
          <w:p w14:paraId="0B2BEC4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w:t>
            </w:r>
          </w:p>
        </w:tc>
        <w:tc>
          <w:tcPr>
            <w:tcW w:w="683" w:type="dxa"/>
          </w:tcPr>
          <w:p w14:paraId="2F13B86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681" w:type="dxa"/>
          </w:tcPr>
          <w:p w14:paraId="22954C9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4A8E1A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6DE67DF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E7C527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273728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61FD3E5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B4E851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E55E27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5FDD876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50A17A8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104</w:t>
            </w:r>
          </w:p>
        </w:tc>
        <w:tc>
          <w:tcPr>
            <w:cnfStyle w:val="000010000000" w:firstRow="0" w:lastRow="0" w:firstColumn="0" w:lastColumn="0" w:oddVBand="1" w:evenVBand="0" w:oddHBand="0" w:evenHBand="0" w:firstRowFirstColumn="0" w:firstRowLastColumn="0" w:lastRowFirstColumn="0" w:lastRowLastColumn="0"/>
            <w:tcW w:w="681" w:type="dxa"/>
          </w:tcPr>
          <w:p w14:paraId="5DE55DC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111</w:t>
            </w:r>
          </w:p>
        </w:tc>
        <w:tc>
          <w:tcPr>
            <w:tcW w:w="1183" w:type="dxa"/>
            <w:gridSpan w:val="2"/>
          </w:tcPr>
          <w:p w14:paraId="434BC75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92</w:t>
            </w:r>
          </w:p>
        </w:tc>
      </w:tr>
      <w:tr w:rsidR="0015030A" w:rsidRPr="0015030A" w14:paraId="1289D01F"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7BA760A0"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Personal association</w:t>
            </w:r>
          </w:p>
        </w:tc>
        <w:tc>
          <w:tcPr>
            <w:tcW w:w="672" w:type="dxa"/>
          </w:tcPr>
          <w:p w14:paraId="5F32C3B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72" w:type="dxa"/>
          </w:tcPr>
          <w:p w14:paraId="398A815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73" w:type="dxa"/>
          </w:tcPr>
          <w:p w14:paraId="118FF1B8"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676" w:type="dxa"/>
          </w:tcPr>
          <w:p w14:paraId="5A38EBE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4BE980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2EDBAE6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CBE2EB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8" w:type="dxa"/>
          </w:tcPr>
          <w:p w14:paraId="6712C3A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w:t>
            </w:r>
          </w:p>
        </w:tc>
        <w:tc>
          <w:tcPr>
            <w:tcW w:w="681" w:type="dxa"/>
          </w:tcPr>
          <w:p w14:paraId="55E9893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9" w:type="dxa"/>
          </w:tcPr>
          <w:p w14:paraId="7B427DE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19</w:t>
            </w:r>
          </w:p>
        </w:tc>
        <w:tc>
          <w:tcPr>
            <w:tcW w:w="680" w:type="dxa"/>
          </w:tcPr>
          <w:p w14:paraId="40E55FE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23</w:t>
            </w:r>
          </w:p>
        </w:tc>
        <w:tc>
          <w:tcPr>
            <w:cnfStyle w:val="000010000000" w:firstRow="0" w:lastRow="0" w:firstColumn="0" w:lastColumn="0" w:oddVBand="1" w:evenVBand="0" w:oddHBand="0" w:evenHBand="0" w:firstRowFirstColumn="0" w:firstRowLastColumn="0" w:lastRowFirstColumn="0" w:lastRowLastColumn="0"/>
            <w:tcW w:w="683" w:type="dxa"/>
          </w:tcPr>
          <w:p w14:paraId="3A9D48A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w:t>
            </w:r>
          </w:p>
        </w:tc>
        <w:tc>
          <w:tcPr>
            <w:tcW w:w="681" w:type="dxa"/>
          </w:tcPr>
          <w:p w14:paraId="3EFA2FA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35</w:t>
            </w:r>
          </w:p>
        </w:tc>
        <w:tc>
          <w:tcPr>
            <w:cnfStyle w:val="000010000000" w:firstRow="0" w:lastRow="0" w:firstColumn="0" w:lastColumn="0" w:oddVBand="1" w:evenVBand="0" w:oddHBand="0" w:evenHBand="0" w:firstRowFirstColumn="0" w:firstRowLastColumn="0" w:lastRowFirstColumn="0" w:lastRowLastColumn="0"/>
            <w:tcW w:w="681" w:type="dxa"/>
          </w:tcPr>
          <w:p w14:paraId="1F02D77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41</w:t>
            </w:r>
          </w:p>
        </w:tc>
        <w:tc>
          <w:tcPr>
            <w:tcW w:w="683" w:type="dxa"/>
          </w:tcPr>
          <w:p w14:paraId="4B11844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681" w:type="dxa"/>
          </w:tcPr>
          <w:p w14:paraId="7A0C04D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A22614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53FBC5F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CE6DD1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FBC89F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3F05444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81A6F6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930A10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199F596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1346FB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59</w:t>
            </w:r>
          </w:p>
        </w:tc>
        <w:tc>
          <w:tcPr>
            <w:cnfStyle w:val="000010000000" w:firstRow="0" w:lastRow="0" w:firstColumn="0" w:lastColumn="0" w:oddVBand="1" w:evenVBand="0" w:oddHBand="0" w:evenHBand="0" w:firstRowFirstColumn="0" w:firstRowLastColumn="0" w:lastRowFirstColumn="0" w:lastRowLastColumn="0"/>
            <w:tcW w:w="681" w:type="dxa"/>
          </w:tcPr>
          <w:p w14:paraId="23ADE5D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72</w:t>
            </w:r>
          </w:p>
        </w:tc>
        <w:tc>
          <w:tcPr>
            <w:tcW w:w="1183" w:type="dxa"/>
            <w:gridSpan w:val="2"/>
          </w:tcPr>
          <w:p w14:paraId="6158463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36</w:t>
            </w:r>
          </w:p>
        </w:tc>
      </w:tr>
      <w:tr w:rsidR="0015030A" w:rsidRPr="0015030A" w14:paraId="72A03B7A"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4C01F493"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Physical features</w:t>
            </w:r>
          </w:p>
        </w:tc>
        <w:tc>
          <w:tcPr>
            <w:tcW w:w="672" w:type="dxa"/>
          </w:tcPr>
          <w:p w14:paraId="021097E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51A02CF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7</w:t>
            </w:r>
          </w:p>
        </w:tc>
        <w:tc>
          <w:tcPr>
            <w:tcW w:w="673" w:type="dxa"/>
          </w:tcPr>
          <w:p w14:paraId="08EAEF5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37EC5F4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210FB7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608CE78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189B800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78" w:type="dxa"/>
          </w:tcPr>
          <w:p w14:paraId="208ACCA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w:t>
            </w:r>
          </w:p>
        </w:tc>
        <w:tc>
          <w:tcPr>
            <w:tcW w:w="681" w:type="dxa"/>
          </w:tcPr>
          <w:p w14:paraId="07D918A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679" w:type="dxa"/>
          </w:tcPr>
          <w:p w14:paraId="2E93822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90</w:t>
            </w:r>
          </w:p>
        </w:tc>
        <w:tc>
          <w:tcPr>
            <w:tcW w:w="680" w:type="dxa"/>
          </w:tcPr>
          <w:p w14:paraId="6BF5EB6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100</w:t>
            </w:r>
          </w:p>
        </w:tc>
        <w:tc>
          <w:tcPr>
            <w:cnfStyle w:val="000010000000" w:firstRow="0" w:lastRow="0" w:firstColumn="0" w:lastColumn="0" w:oddVBand="1" w:evenVBand="0" w:oddHBand="0" w:evenHBand="0" w:firstRowFirstColumn="0" w:firstRowLastColumn="0" w:lastRowFirstColumn="0" w:lastRowLastColumn="0"/>
            <w:tcW w:w="683" w:type="dxa"/>
          </w:tcPr>
          <w:p w14:paraId="5456018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62</w:t>
            </w:r>
          </w:p>
        </w:tc>
        <w:tc>
          <w:tcPr>
            <w:tcW w:w="681" w:type="dxa"/>
          </w:tcPr>
          <w:p w14:paraId="028569CB"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681" w:type="dxa"/>
          </w:tcPr>
          <w:p w14:paraId="53384AB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17</w:t>
            </w:r>
          </w:p>
        </w:tc>
        <w:tc>
          <w:tcPr>
            <w:tcW w:w="683" w:type="dxa"/>
          </w:tcPr>
          <w:p w14:paraId="3198252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39</w:t>
            </w:r>
          </w:p>
        </w:tc>
        <w:tc>
          <w:tcPr>
            <w:cnfStyle w:val="000010000000" w:firstRow="0" w:lastRow="0" w:firstColumn="0" w:lastColumn="0" w:oddVBand="1" w:evenVBand="0" w:oddHBand="0" w:evenHBand="0" w:firstRowFirstColumn="0" w:firstRowLastColumn="0" w:lastRowFirstColumn="0" w:lastRowLastColumn="0"/>
            <w:tcW w:w="681" w:type="dxa"/>
          </w:tcPr>
          <w:p w14:paraId="34D5461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4EFD2A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2F711DC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18FE4F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84F756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0B57C79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18F9C4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D6C30A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7A92779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002B34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114</w:t>
            </w:r>
          </w:p>
        </w:tc>
        <w:tc>
          <w:tcPr>
            <w:cnfStyle w:val="000010000000" w:firstRow="0" w:lastRow="0" w:firstColumn="0" w:lastColumn="0" w:oddVBand="1" w:evenVBand="0" w:oddHBand="0" w:evenHBand="0" w:firstRowFirstColumn="0" w:firstRowLastColumn="0" w:lastRowFirstColumn="0" w:lastRowLastColumn="0"/>
            <w:tcW w:w="681" w:type="dxa"/>
          </w:tcPr>
          <w:p w14:paraId="62A5438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127</w:t>
            </w:r>
          </w:p>
        </w:tc>
        <w:tc>
          <w:tcPr>
            <w:tcW w:w="1183" w:type="dxa"/>
            <w:gridSpan w:val="2"/>
          </w:tcPr>
          <w:p w14:paraId="791D42F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112</w:t>
            </w:r>
          </w:p>
        </w:tc>
      </w:tr>
      <w:tr w:rsidR="0015030A" w:rsidRPr="0015030A" w14:paraId="5AE4E081"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0816A77E"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Political belief or activity</w:t>
            </w:r>
          </w:p>
        </w:tc>
        <w:tc>
          <w:tcPr>
            <w:tcW w:w="672" w:type="dxa"/>
          </w:tcPr>
          <w:p w14:paraId="68243D1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5148EE5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75ECDFB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1B4F545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4D632D9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0D935E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7F69BC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2AC3745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75407C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5DBB17A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w:t>
            </w:r>
          </w:p>
        </w:tc>
        <w:tc>
          <w:tcPr>
            <w:tcW w:w="680" w:type="dxa"/>
          </w:tcPr>
          <w:p w14:paraId="6D879B5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3" w:type="dxa"/>
          </w:tcPr>
          <w:p w14:paraId="065F367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w:t>
            </w:r>
          </w:p>
        </w:tc>
        <w:tc>
          <w:tcPr>
            <w:tcW w:w="681" w:type="dxa"/>
          </w:tcPr>
          <w:p w14:paraId="0DBA4A2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7</w:t>
            </w:r>
          </w:p>
        </w:tc>
        <w:tc>
          <w:tcPr>
            <w:cnfStyle w:val="000010000000" w:firstRow="0" w:lastRow="0" w:firstColumn="0" w:lastColumn="0" w:oddVBand="1" w:evenVBand="0" w:oddHBand="0" w:evenHBand="0" w:firstRowFirstColumn="0" w:firstRowLastColumn="0" w:lastRowFirstColumn="0" w:lastRowLastColumn="0"/>
            <w:tcW w:w="681" w:type="dxa"/>
          </w:tcPr>
          <w:p w14:paraId="3EBC885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w:t>
            </w:r>
          </w:p>
        </w:tc>
        <w:tc>
          <w:tcPr>
            <w:tcW w:w="683" w:type="dxa"/>
          </w:tcPr>
          <w:p w14:paraId="61C79CA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5</w:t>
            </w:r>
          </w:p>
        </w:tc>
        <w:tc>
          <w:tcPr>
            <w:cnfStyle w:val="000010000000" w:firstRow="0" w:lastRow="0" w:firstColumn="0" w:lastColumn="0" w:oddVBand="1" w:evenVBand="0" w:oddHBand="0" w:evenHBand="0" w:firstRowFirstColumn="0" w:firstRowLastColumn="0" w:lastRowFirstColumn="0" w:lastRowLastColumn="0"/>
            <w:tcW w:w="681" w:type="dxa"/>
          </w:tcPr>
          <w:p w14:paraId="41D219E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43854DD"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01C609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0BB3B8C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8C3D43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5BB08DA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1F382E4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954C42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53F6860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381982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16</w:t>
            </w:r>
          </w:p>
        </w:tc>
        <w:tc>
          <w:tcPr>
            <w:cnfStyle w:val="000010000000" w:firstRow="0" w:lastRow="0" w:firstColumn="0" w:lastColumn="0" w:oddVBand="1" w:evenVBand="0" w:oddHBand="0" w:evenHBand="0" w:firstRowFirstColumn="0" w:firstRowLastColumn="0" w:lastRowFirstColumn="0" w:lastRowLastColumn="0"/>
            <w:tcW w:w="681" w:type="dxa"/>
          </w:tcPr>
          <w:p w14:paraId="0DB724E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7</w:t>
            </w:r>
          </w:p>
        </w:tc>
        <w:tc>
          <w:tcPr>
            <w:tcW w:w="1183" w:type="dxa"/>
            <w:gridSpan w:val="2"/>
          </w:tcPr>
          <w:p w14:paraId="460F7AC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10</w:t>
            </w:r>
          </w:p>
        </w:tc>
      </w:tr>
      <w:tr w:rsidR="0015030A" w:rsidRPr="0015030A" w14:paraId="3F13DC8F"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19859D04"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Pregnancy</w:t>
            </w:r>
          </w:p>
        </w:tc>
        <w:tc>
          <w:tcPr>
            <w:tcW w:w="672" w:type="dxa"/>
          </w:tcPr>
          <w:p w14:paraId="35E5685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3CE17D5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3" w:type="dxa"/>
          </w:tcPr>
          <w:p w14:paraId="31917BD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3548EB2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49712CC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15CF955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7A0727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8" w:type="dxa"/>
          </w:tcPr>
          <w:p w14:paraId="4154D70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6EC9715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9" w:type="dxa"/>
          </w:tcPr>
          <w:p w14:paraId="410F16D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43</w:t>
            </w:r>
          </w:p>
        </w:tc>
        <w:tc>
          <w:tcPr>
            <w:tcW w:w="680" w:type="dxa"/>
          </w:tcPr>
          <w:p w14:paraId="7AEBFAF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35</w:t>
            </w:r>
          </w:p>
        </w:tc>
        <w:tc>
          <w:tcPr>
            <w:cnfStyle w:val="000010000000" w:firstRow="0" w:lastRow="0" w:firstColumn="0" w:lastColumn="0" w:oddVBand="1" w:evenVBand="0" w:oddHBand="0" w:evenHBand="0" w:firstRowFirstColumn="0" w:firstRowLastColumn="0" w:lastRowFirstColumn="0" w:lastRowLastColumn="0"/>
            <w:tcW w:w="683" w:type="dxa"/>
          </w:tcPr>
          <w:p w14:paraId="4A07ACC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33</w:t>
            </w:r>
          </w:p>
        </w:tc>
        <w:tc>
          <w:tcPr>
            <w:tcW w:w="681" w:type="dxa"/>
          </w:tcPr>
          <w:p w14:paraId="237CEAA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81" w:type="dxa"/>
          </w:tcPr>
          <w:p w14:paraId="0A42A24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6</w:t>
            </w:r>
          </w:p>
        </w:tc>
        <w:tc>
          <w:tcPr>
            <w:tcW w:w="683" w:type="dxa"/>
          </w:tcPr>
          <w:p w14:paraId="3958F5BB"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1" w:type="dxa"/>
          </w:tcPr>
          <w:p w14:paraId="24D7E2A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91EBA5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AE08D9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3A5248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17782A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20DBDCD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DB4095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ED6EAE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45FF794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4DBE03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45</w:t>
            </w:r>
          </w:p>
        </w:tc>
        <w:tc>
          <w:tcPr>
            <w:cnfStyle w:val="000010000000" w:firstRow="0" w:lastRow="0" w:firstColumn="0" w:lastColumn="0" w:oddVBand="1" w:evenVBand="0" w:oddHBand="0" w:evenHBand="0" w:firstRowFirstColumn="0" w:firstRowLastColumn="0" w:lastRowFirstColumn="0" w:lastRowLastColumn="0"/>
            <w:tcW w:w="681" w:type="dxa"/>
          </w:tcPr>
          <w:p w14:paraId="3235BF3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43</w:t>
            </w:r>
          </w:p>
        </w:tc>
        <w:tc>
          <w:tcPr>
            <w:tcW w:w="1183" w:type="dxa"/>
            <w:gridSpan w:val="2"/>
          </w:tcPr>
          <w:p w14:paraId="52F5E9B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38</w:t>
            </w:r>
          </w:p>
        </w:tc>
      </w:tr>
      <w:tr w:rsidR="0015030A" w:rsidRPr="0015030A" w14:paraId="40868A13"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780133EF"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Race</w:t>
            </w:r>
          </w:p>
        </w:tc>
        <w:tc>
          <w:tcPr>
            <w:tcW w:w="672" w:type="dxa"/>
          </w:tcPr>
          <w:p w14:paraId="61325DC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12</w:t>
            </w:r>
          </w:p>
        </w:tc>
        <w:tc>
          <w:tcPr>
            <w:cnfStyle w:val="000010000000" w:firstRow="0" w:lastRow="0" w:firstColumn="0" w:lastColumn="0" w:oddVBand="1" w:evenVBand="0" w:oddHBand="0" w:evenHBand="0" w:firstRowFirstColumn="0" w:firstRowLastColumn="0" w:lastRowFirstColumn="0" w:lastRowLastColumn="0"/>
            <w:tcW w:w="672" w:type="dxa"/>
          </w:tcPr>
          <w:p w14:paraId="64452C4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18</w:t>
            </w:r>
          </w:p>
        </w:tc>
        <w:tc>
          <w:tcPr>
            <w:tcW w:w="673" w:type="dxa"/>
          </w:tcPr>
          <w:p w14:paraId="4CBFAEF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16</w:t>
            </w:r>
          </w:p>
        </w:tc>
        <w:tc>
          <w:tcPr>
            <w:cnfStyle w:val="000010000000" w:firstRow="0" w:lastRow="0" w:firstColumn="0" w:lastColumn="0" w:oddVBand="1" w:evenVBand="0" w:oddHBand="0" w:evenHBand="0" w:firstRowFirstColumn="0" w:firstRowLastColumn="0" w:lastRowFirstColumn="0" w:lastRowLastColumn="0"/>
            <w:tcW w:w="676" w:type="dxa"/>
          </w:tcPr>
          <w:p w14:paraId="70A78B5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8" w:type="dxa"/>
          </w:tcPr>
          <w:p w14:paraId="6699C4D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3420B74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66241CD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w:t>
            </w:r>
          </w:p>
        </w:tc>
        <w:tc>
          <w:tcPr>
            <w:cnfStyle w:val="000010000000" w:firstRow="0" w:lastRow="0" w:firstColumn="0" w:lastColumn="0" w:oddVBand="1" w:evenVBand="0" w:oddHBand="0" w:evenHBand="0" w:firstRowFirstColumn="0" w:firstRowLastColumn="0" w:lastRowFirstColumn="0" w:lastRowLastColumn="0"/>
            <w:tcW w:w="678" w:type="dxa"/>
          </w:tcPr>
          <w:p w14:paraId="1272921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15</w:t>
            </w:r>
          </w:p>
        </w:tc>
        <w:tc>
          <w:tcPr>
            <w:tcW w:w="681" w:type="dxa"/>
          </w:tcPr>
          <w:p w14:paraId="505A274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679" w:type="dxa"/>
          </w:tcPr>
          <w:p w14:paraId="2DA0F8B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175</w:t>
            </w:r>
          </w:p>
        </w:tc>
        <w:tc>
          <w:tcPr>
            <w:tcW w:w="680" w:type="dxa"/>
          </w:tcPr>
          <w:p w14:paraId="1371D02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174</w:t>
            </w:r>
          </w:p>
        </w:tc>
        <w:tc>
          <w:tcPr>
            <w:cnfStyle w:val="000010000000" w:firstRow="0" w:lastRow="0" w:firstColumn="0" w:lastColumn="0" w:oddVBand="1" w:evenVBand="0" w:oddHBand="0" w:evenHBand="0" w:firstRowFirstColumn="0" w:firstRowLastColumn="0" w:lastRowFirstColumn="0" w:lastRowLastColumn="0"/>
            <w:tcW w:w="683" w:type="dxa"/>
          </w:tcPr>
          <w:p w14:paraId="104C56C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100</w:t>
            </w:r>
          </w:p>
        </w:tc>
        <w:tc>
          <w:tcPr>
            <w:tcW w:w="681" w:type="dxa"/>
          </w:tcPr>
          <w:p w14:paraId="5BAA7AA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90</w:t>
            </w:r>
          </w:p>
        </w:tc>
        <w:tc>
          <w:tcPr>
            <w:cnfStyle w:val="000010000000" w:firstRow="0" w:lastRow="0" w:firstColumn="0" w:lastColumn="0" w:oddVBand="1" w:evenVBand="0" w:oddHBand="0" w:evenHBand="0" w:firstRowFirstColumn="0" w:firstRowLastColumn="0" w:lastRowFirstColumn="0" w:lastRowLastColumn="0"/>
            <w:tcW w:w="681" w:type="dxa"/>
          </w:tcPr>
          <w:p w14:paraId="3630D28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98</w:t>
            </w:r>
          </w:p>
        </w:tc>
        <w:tc>
          <w:tcPr>
            <w:tcW w:w="683" w:type="dxa"/>
          </w:tcPr>
          <w:p w14:paraId="0A0A62A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60</w:t>
            </w:r>
          </w:p>
        </w:tc>
        <w:tc>
          <w:tcPr>
            <w:cnfStyle w:val="000010000000" w:firstRow="0" w:lastRow="0" w:firstColumn="0" w:lastColumn="0" w:oddVBand="1" w:evenVBand="0" w:oddHBand="0" w:evenHBand="0" w:firstRowFirstColumn="0" w:firstRowLastColumn="0" w:lastRowFirstColumn="0" w:lastRowLastColumn="0"/>
            <w:tcW w:w="681" w:type="dxa"/>
          </w:tcPr>
          <w:p w14:paraId="4B77B56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4A76F93F"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5144D50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8AC6F8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6A3EE0D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094543D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147985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72AC45A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55F80D4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82223E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296</w:t>
            </w:r>
          </w:p>
        </w:tc>
        <w:tc>
          <w:tcPr>
            <w:cnfStyle w:val="000010000000" w:firstRow="0" w:lastRow="0" w:firstColumn="0" w:lastColumn="0" w:oddVBand="1" w:evenVBand="0" w:oddHBand="0" w:evenHBand="0" w:firstRowFirstColumn="0" w:firstRowLastColumn="0" w:lastRowFirstColumn="0" w:lastRowLastColumn="0"/>
            <w:tcW w:w="681" w:type="dxa"/>
          </w:tcPr>
          <w:p w14:paraId="40C816D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307</w:t>
            </w:r>
          </w:p>
        </w:tc>
        <w:tc>
          <w:tcPr>
            <w:tcW w:w="1183" w:type="dxa"/>
            <w:gridSpan w:val="2"/>
          </w:tcPr>
          <w:p w14:paraId="5721A36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196</w:t>
            </w:r>
          </w:p>
        </w:tc>
      </w:tr>
      <w:tr w:rsidR="0015030A" w:rsidRPr="0015030A" w14:paraId="1B8A929D"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046BC4B6"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Racial vilification</w:t>
            </w:r>
          </w:p>
        </w:tc>
        <w:tc>
          <w:tcPr>
            <w:tcW w:w="672" w:type="dxa"/>
          </w:tcPr>
          <w:p w14:paraId="35662A5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2B74577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294BC7E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5B4166D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71382E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42928DB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0B54B58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4BC4A70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249819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68FDCFA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0" w:type="dxa"/>
          </w:tcPr>
          <w:p w14:paraId="6C142A4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3" w:type="dxa"/>
          </w:tcPr>
          <w:p w14:paraId="5CA70C9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F9A96D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89A2A8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0D5E1DC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6EA9905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A126DA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3004C39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1CFFBF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18</w:t>
            </w:r>
          </w:p>
        </w:tc>
        <w:tc>
          <w:tcPr>
            <w:cnfStyle w:val="000010000000" w:firstRow="0" w:lastRow="0" w:firstColumn="0" w:lastColumn="0" w:oddVBand="1" w:evenVBand="0" w:oddHBand="0" w:evenHBand="0" w:firstRowFirstColumn="0" w:firstRowLastColumn="0" w:lastRowFirstColumn="0" w:lastRowLastColumn="0"/>
            <w:tcW w:w="681" w:type="dxa"/>
          </w:tcPr>
          <w:p w14:paraId="63027F4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45</w:t>
            </w:r>
          </w:p>
        </w:tc>
        <w:tc>
          <w:tcPr>
            <w:tcW w:w="692" w:type="dxa"/>
            <w:gridSpan w:val="2"/>
          </w:tcPr>
          <w:p w14:paraId="71D9E8B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681" w:type="dxa"/>
          </w:tcPr>
          <w:p w14:paraId="4FC17C1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CC330E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773751D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04AF1E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18</w:t>
            </w:r>
          </w:p>
        </w:tc>
        <w:tc>
          <w:tcPr>
            <w:cnfStyle w:val="000010000000" w:firstRow="0" w:lastRow="0" w:firstColumn="0" w:lastColumn="0" w:oddVBand="1" w:evenVBand="0" w:oddHBand="0" w:evenHBand="0" w:firstRowFirstColumn="0" w:firstRowLastColumn="0" w:lastRowFirstColumn="0" w:lastRowLastColumn="0"/>
            <w:tcW w:w="681" w:type="dxa"/>
          </w:tcPr>
          <w:p w14:paraId="76300F0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45</w:t>
            </w:r>
          </w:p>
        </w:tc>
        <w:tc>
          <w:tcPr>
            <w:tcW w:w="1183" w:type="dxa"/>
            <w:gridSpan w:val="2"/>
          </w:tcPr>
          <w:p w14:paraId="2CBE4C8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9</w:t>
            </w:r>
          </w:p>
        </w:tc>
      </w:tr>
      <w:tr w:rsidR="0015030A" w:rsidRPr="0015030A" w14:paraId="7AAA3405"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2E275406"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Religious belief or activity</w:t>
            </w:r>
          </w:p>
        </w:tc>
        <w:tc>
          <w:tcPr>
            <w:tcW w:w="672" w:type="dxa"/>
          </w:tcPr>
          <w:p w14:paraId="35CF2C7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67EAAE1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w:t>
            </w:r>
          </w:p>
        </w:tc>
        <w:tc>
          <w:tcPr>
            <w:tcW w:w="673" w:type="dxa"/>
          </w:tcPr>
          <w:p w14:paraId="3125C42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6" w:type="dxa"/>
          </w:tcPr>
          <w:p w14:paraId="10E2180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4CC0AFE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1729890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2F7A0C3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78" w:type="dxa"/>
          </w:tcPr>
          <w:p w14:paraId="783432F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5</w:t>
            </w:r>
          </w:p>
        </w:tc>
        <w:tc>
          <w:tcPr>
            <w:tcW w:w="681" w:type="dxa"/>
          </w:tcPr>
          <w:p w14:paraId="0593E70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16</w:t>
            </w:r>
          </w:p>
        </w:tc>
        <w:tc>
          <w:tcPr>
            <w:cnfStyle w:val="000010000000" w:firstRow="0" w:lastRow="0" w:firstColumn="0" w:lastColumn="0" w:oddVBand="1" w:evenVBand="0" w:oddHBand="0" w:evenHBand="0" w:firstRowFirstColumn="0" w:firstRowLastColumn="0" w:lastRowFirstColumn="0" w:lastRowLastColumn="0"/>
            <w:tcW w:w="679" w:type="dxa"/>
          </w:tcPr>
          <w:p w14:paraId="1613B5E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21</w:t>
            </w:r>
          </w:p>
        </w:tc>
        <w:tc>
          <w:tcPr>
            <w:tcW w:w="680" w:type="dxa"/>
          </w:tcPr>
          <w:p w14:paraId="0D36A3D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39</w:t>
            </w:r>
          </w:p>
        </w:tc>
        <w:tc>
          <w:tcPr>
            <w:cnfStyle w:val="000010000000" w:firstRow="0" w:lastRow="0" w:firstColumn="0" w:lastColumn="0" w:oddVBand="1" w:evenVBand="0" w:oddHBand="0" w:evenHBand="0" w:firstRowFirstColumn="0" w:firstRowLastColumn="0" w:lastRowFirstColumn="0" w:lastRowLastColumn="0"/>
            <w:tcW w:w="683" w:type="dxa"/>
          </w:tcPr>
          <w:p w14:paraId="0437E35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22</w:t>
            </w:r>
          </w:p>
        </w:tc>
        <w:tc>
          <w:tcPr>
            <w:tcW w:w="681" w:type="dxa"/>
          </w:tcPr>
          <w:p w14:paraId="6F196CF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36</w:t>
            </w:r>
          </w:p>
        </w:tc>
        <w:tc>
          <w:tcPr>
            <w:cnfStyle w:val="000010000000" w:firstRow="0" w:lastRow="0" w:firstColumn="0" w:lastColumn="0" w:oddVBand="1" w:evenVBand="0" w:oddHBand="0" w:evenHBand="0" w:firstRowFirstColumn="0" w:firstRowLastColumn="0" w:lastRowFirstColumn="0" w:lastRowLastColumn="0"/>
            <w:tcW w:w="681" w:type="dxa"/>
          </w:tcPr>
          <w:p w14:paraId="3D75992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31</w:t>
            </w:r>
          </w:p>
        </w:tc>
        <w:tc>
          <w:tcPr>
            <w:tcW w:w="683" w:type="dxa"/>
          </w:tcPr>
          <w:p w14:paraId="6380E57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15</w:t>
            </w:r>
          </w:p>
        </w:tc>
        <w:tc>
          <w:tcPr>
            <w:cnfStyle w:val="000010000000" w:firstRow="0" w:lastRow="0" w:firstColumn="0" w:lastColumn="0" w:oddVBand="1" w:evenVBand="0" w:oddHBand="0" w:evenHBand="0" w:firstRowFirstColumn="0" w:firstRowLastColumn="0" w:lastRowFirstColumn="0" w:lastRowLastColumn="0"/>
            <w:tcW w:w="681" w:type="dxa"/>
          </w:tcPr>
          <w:p w14:paraId="62EF51C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22139C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1FB346A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BA9BAE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7973E1A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6DA54E5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79BB24C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B7E3FD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5564878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CAF3CA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59</w:t>
            </w:r>
          </w:p>
        </w:tc>
        <w:tc>
          <w:tcPr>
            <w:cnfStyle w:val="000010000000" w:firstRow="0" w:lastRow="0" w:firstColumn="0" w:lastColumn="0" w:oddVBand="1" w:evenVBand="0" w:oddHBand="0" w:evenHBand="0" w:firstRowFirstColumn="0" w:firstRowLastColumn="0" w:lastRowFirstColumn="0" w:lastRowLastColumn="0"/>
            <w:tcW w:w="681" w:type="dxa"/>
          </w:tcPr>
          <w:p w14:paraId="39B59B0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81</w:t>
            </w:r>
          </w:p>
        </w:tc>
        <w:tc>
          <w:tcPr>
            <w:tcW w:w="1183" w:type="dxa"/>
            <w:gridSpan w:val="2"/>
          </w:tcPr>
          <w:p w14:paraId="0708E0F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54</w:t>
            </w:r>
          </w:p>
        </w:tc>
      </w:tr>
      <w:tr w:rsidR="0015030A" w:rsidRPr="0015030A" w14:paraId="3E149874"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6E9AA60A"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Religious vilification</w:t>
            </w:r>
          </w:p>
        </w:tc>
        <w:tc>
          <w:tcPr>
            <w:tcW w:w="672" w:type="dxa"/>
          </w:tcPr>
          <w:p w14:paraId="3DE0C22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7284F0A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711180D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4787FB3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46BC46D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3FF771B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12D3374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4BFB790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95FC9A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3AC7F50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0" w:type="dxa"/>
          </w:tcPr>
          <w:p w14:paraId="240F832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3" w:type="dxa"/>
          </w:tcPr>
          <w:p w14:paraId="0226595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43D211D"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082C213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200316FF"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195EA3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5F46EE9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3F3BC99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3B131D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19</w:t>
            </w:r>
          </w:p>
        </w:tc>
        <w:tc>
          <w:tcPr>
            <w:cnfStyle w:val="000010000000" w:firstRow="0" w:lastRow="0" w:firstColumn="0" w:lastColumn="0" w:oddVBand="1" w:evenVBand="0" w:oddHBand="0" w:evenHBand="0" w:firstRowFirstColumn="0" w:firstRowLastColumn="0" w:lastRowFirstColumn="0" w:lastRowLastColumn="0"/>
            <w:tcW w:w="681" w:type="dxa"/>
          </w:tcPr>
          <w:p w14:paraId="6FD207B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37</w:t>
            </w:r>
          </w:p>
        </w:tc>
        <w:tc>
          <w:tcPr>
            <w:tcW w:w="692" w:type="dxa"/>
            <w:gridSpan w:val="2"/>
          </w:tcPr>
          <w:p w14:paraId="677E754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681" w:type="dxa"/>
          </w:tcPr>
          <w:p w14:paraId="7967275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55D5E6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69FB133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01E277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19</w:t>
            </w:r>
          </w:p>
        </w:tc>
        <w:tc>
          <w:tcPr>
            <w:cnfStyle w:val="000010000000" w:firstRow="0" w:lastRow="0" w:firstColumn="0" w:lastColumn="0" w:oddVBand="1" w:evenVBand="0" w:oddHBand="0" w:evenHBand="0" w:firstRowFirstColumn="0" w:firstRowLastColumn="0" w:lastRowFirstColumn="0" w:lastRowLastColumn="0"/>
            <w:tcW w:w="681" w:type="dxa"/>
          </w:tcPr>
          <w:p w14:paraId="7FDCAFF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37</w:t>
            </w:r>
          </w:p>
        </w:tc>
        <w:tc>
          <w:tcPr>
            <w:tcW w:w="1183" w:type="dxa"/>
            <w:gridSpan w:val="2"/>
          </w:tcPr>
          <w:p w14:paraId="50573EE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4</w:t>
            </w:r>
          </w:p>
        </w:tc>
      </w:tr>
      <w:tr w:rsidR="0015030A" w:rsidRPr="0015030A" w14:paraId="77FCDA0B"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37297BFF"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Sex</w:t>
            </w:r>
          </w:p>
        </w:tc>
        <w:tc>
          <w:tcPr>
            <w:tcW w:w="672" w:type="dxa"/>
          </w:tcPr>
          <w:p w14:paraId="4D86C80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2" w:type="dxa"/>
          </w:tcPr>
          <w:p w14:paraId="46B42E4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73" w:type="dxa"/>
          </w:tcPr>
          <w:p w14:paraId="095F1D3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7</w:t>
            </w:r>
          </w:p>
        </w:tc>
        <w:tc>
          <w:tcPr>
            <w:cnfStyle w:val="000010000000" w:firstRow="0" w:lastRow="0" w:firstColumn="0" w:lastColumn="0" w:oddVBand="1" w:evenVBand="0" w:oddHBand="0" w:evenHBand="0" w:firstRowFirstColumn="0" w:firstRowLastColumn="0" w:lastRowFirstColumn="0" w:lastRowLastColumn="0"/>
            <w:tcW w:w="676" w:type="dxa"/>
          </w:tcPr>
          <w:p w14:paraId="20F0001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2409F5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42E9C4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3B2E6CC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w:t>
            </w:r>
          </w:p>
        </w:tc>
        <w:tc>
          <w:tcPr>
            <w:cnfStyle w:val="000010000000" w:firstRow="0" w:lastRow="0" w:firstColumn="0" w:lastColumn="0" w:oddVBand="1" w:evenVBand="0" w:oddHBand="0" w:evenHBand="0" w:firstRowFirstColumn="0" w:firstRowLastColumn="0" w:lastRowFirstColumn="0" w:lastRowLastColumn="0"/>
            <w:tcW w:w="678" w:type="dxa"/>
          </w:tcPr>
          <w:p w14:paraId="7F0F89B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4</w:t>
            </w:r>
          </w:p>
        </w:tc>
        <w:tc>
          <w:tcPr>
            <w:tcW w:w="681" w:type="dxa"/>
          </w:tcPr>
          <w:p w14:paraId="122354F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679" w:type="dxa"/>
          </w:tcPr>
          <w:p w14:paraId="707FBB7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110</w:t>
            </w:r>
          </w:p>
        </w:tc>
        <w:tc>
          <w:tcPr>
            <w:tcW w:w="680" w:type="dxa"/>
          </w:tcPr>
          <w:p w14:paraId="6F48548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184</w:t>
            </w:r>
          </w:p>
        </w:tc>
        <w:tc>
          <w:tcPr>
            <w:cnfStyle w:val="000010000000" w:firstRow="0" w:lastRow="0" w:firstColumn="0" w:lastColumn="0" w:oddVBand="1" w:evenVBand="0" w:oddHBand="0" w:evenHBand="0" w:firstRowFirstColumn="0" w:firstRowLastColumn="0" w:lastRowFirstColumn="0" w:lastRowLastColumn="0"/>
            <w:tcW w:w="683" w:type="dxa"/>
          </w:tcPr>
          <w:p w14:paraId="44DF4F7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130</w:t>
            </w:r>
          </w:p>
        </w:tc>
        <w:tc>
          <w:tcPr>
            <w:tcW w:w="681" w:type="dxa"/>
          </w:tcPr>
          <w:p w14:paraId="45F7E696"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41</w:t>
            </w:r>
          </w:p>
        </w:tc>
        <w:tc>
          <w:tcPr>
            <w:cnfStyle w:val="000010000000" w:firstRow="0" w:lastRow="0" w:firstColumn="0" w:lastColumn="0" w:oddVBand="1" w:evenVBand="0" w:oddHBand="0" w:evenHBand="0" w:firstRowFirstColumn="0" w:firstRowLastColumn="0" w:lastRowFirstColumn="0" w:lastRowLastColumn="0"/>
            <w:tcW w:w="681" w:type="dxa"/>
          </w:tcPr>
          <w:p w14:paraId="5255F35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31</w:t>
            </w:r>
          </w:p>
        </w:tc>
        <w:tc>
          <w:tcPr>
            <w:tcW w:w="683" w:type="dxa"/>
          </w:tcPr>
          <w:p w14:paraId="46652B3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49</w:t>
            </w:r>
          </w:p>
        </w:tc>
        <w:tc>
          <w:tcPr>
            <w:cnfStyle w:val="000010000000" w:firstRow="0" w:lastRow="0" w:firstColumn="0" w:lastColumn="0" w:oddVBand="1" w:evenVBand="0" w:oddHBand="0" w:evenHBand="0" w:firstRowFirstColumn="0" w:firstRowLastColumn="0" w:lastRowFirstColumn="0" w:lastRowLastColumn="0"/>
            <w:tcW w:w="681" w:type="dxa"/>
          </w:tcPr>
          <w:p w14:paraId="3236E7C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F672D4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344141D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6883D9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73B0555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4EC722B4"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88B387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w:t>
            </w:r>
          </w:p>
        </w:tc>
        <w:tc>
          <w:tcPr>
            <w:tcW w:w="681" w:type="dxa"/>
          </w:tcPr>
          <w:p w14:paraId="20022EB5"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14</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0EC6AACD"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7693342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162</w:t>
            </w:r>
          </w:p>
        </w:tc>
        <w:tc>
          <w:tcPr>
            <w:cnfStyle w:val="000010000000" w:firstRow="0" w:lastRow="0" w:firstColumn="0" w:lastColumn="0" w:oddVBand="1" w:evenVBand="0" w:oddHBand="0" w:evenHBand="0" w:firstRowFirstColumn="0" w:firstRowLastColumn="0" w:lastRowFirstColumn="0" w:lastRowLastColumn="0"/>
            <w:tcW w:w="681" w:type="dxa"/>
          </w:tcPr>
          <w:p w14:paraId="08452A3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235</w:t>
            </w:r>
          </w:p>
        </w:tc>
        <w:tc>
          <w:tcPr>
            <w:tcW w:w="1183" w:type="dxa"/>
            <w:gridSpan w:val="2"/>
          </w:tcPr>
          <w:p w14:paraId="60715CA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195</w:t>
            </w:r>
          </w:p>
        </w:tc>
      </w:tr>
      <w:tr w:rsidR="0015030A" w:rsidRPr="0015030A" w14:paraId="5E709C01"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3A45D49A"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Sexual harassment</w:t>
            </w:r>
          </w:p>
        </w:tc>
        <w:tc>
          <w:tcPr>
            <w:tcW w:w="672" w:type="dxa"/>
          </w:tcPr>
          <w:p w14:paraId="23F9F47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4724F90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73" w:type="dxa"/>
          </w:tcPr>
          <w:p w14:paraId="7072ACC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6" w:type="dxa"/>
          </w:tcPr>
          <w:p w14:paraId="7A5A43D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3E8DC1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474FD0C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5C09DA6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678" w:type="dxa"/>
          </w:tcPr>
          <w:p w14:paraId="010BA4E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36C176A7"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9" w:type="dxa"/>
          </w:tcPr>
          <w:p w14:paraId="36F1A48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185</w:t>
            </w:r>
          </w:p>
        </w:tc>
        <w:tc>
          <w:tcPr>
            <w:tcW w:w="680" w:type="dxa"/>
          </w:tcPr>
          <w:p w14:paraId="6F40EB3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170</w:t>
            </w:r>
          </w:p>
        </w:tc>
        <w:tc>
          <w:tcPr>
            <w:cnfStyle w:val="000010000000" w:firstRow="0" w:lastRow="0" w:firstColumn="0" w:lastColumn="0" w:oddVBand="1" w:evenVBand="0" w:oddHBand="0" w:evenHBand="0" w:firstRowFirstColumn="0" w:firstRowLastColumn="0" w:lastRowFirstColumn="0" w:lastRowLastColumn="0"/>
            <w:tcW w:w="683" w:type="dxa"/>
          </w:tcPr>
          <w:p w14:paraId="288D5F1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138</w:t>
            </w:r>
          </w:p>
        </w:tc>
        <w:tc>
          <w:tcPr>
            <w:tcW w:w="681" w:type="dxa"/>
          </w:tcPr>
          <w:p w14:paraId="5286172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681" w:type="dxa"/>
          </w:tcPr>
          <w:p w14:paraId="7D3206A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10</w:t>
            </w:r>
          </w:p>
        </w:tc>
        <w:tc>
          <w:tcPr>
            <w:tcW w:w="683" w:type="dxa"/>
          </w:tcPr>
          <w:p w14:paraId="03373C2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28</w:t>
            </w:r>
          </w:p>
        </w:tc>
        <w:tc>
          <w:tcPr>
            <w:cnfStyle w:val="000010000000" w:firstRow="0" w:lastRow="0" w:firstColumn="0" w:lastColumn="0" w:oddVBand="1" w:evenVBand="0" w:oddHBand="0" w:evenHBand="0" w:firstRowFirstColumn="0" w:firstRowLastColumn="0" w:lastRowFirstColumn="0" w:lastRowLastColumn="0"/>
            <w:tcW w:w="681" w:type="dxa"/>
          </w:tcPr>
          <w:p w14:paraId="790C1A4E"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05A16A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B22E57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4C920C8"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32FB4E88"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6E0081E2"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483AA1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A204ED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747CF022"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8152F60"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205</w:t>
            </w:r>
          </w:p>
        </w:tc>
        <w:tc>
          <w:tcPr>
            <w:cnfStyle w:val="000010000000" w:firstRow="0" w:lastRow="0" w:firstColumn="0" w:lastColumn="0" w:oddVBand="1" w:evenVBand="0" w:oddHBand="0" w:evenHBand="0" w:firstRowFirstColumn="0" w:firstRowLastColumn="0" w:lastRowFirstColumn="0" w:lastRowLastColumn="0"/>
            <w:tcW w:w="681" w:type="dxa"/>
          </w:tcPr>
          <w:p w14:paraId="5FC76CC9"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182</w:t>
            </w:r>
          </w:p>
        </w:tc>
        <w:tc>
          <w:tcPr>
            <w:tcW w:w="1183" w:type="dxa"/>
            <w:gridSpan w:val="2"/>
          </w:tcPr>
          <w:p w14:paraId="00A53F0E"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170</w:t>
            </w:r>
          </w:p>
        </w:tc>
      </w:tr>
      <w:tr w:rsidR="0015030A" w:rsidRPr="0015030A" w14:paraId="1DA3828A"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211DBABE"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Sexual orientation</w:t>
            </w:r>
          </w:p>
        </w:tc>
        <w:tc>
          <w:tcPr>
            <w:tcW w:w="672" w:type="dxa"/>
          </w:tcPr>
          <w:p w14:paraId="0C91CAF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7</w:t>
            </w:r>
          </w:p>
        </w:tc>
        <w:tc>
          <w:tcPr>
            <w:cnfStyle w:val="000010000000" w:firstRow="0" w:lastRow="0" w:firstColumn="0" w:lastColumn="0" w:oddVBand="1" w:evenVBand="0" w:oddHBand="0" w:evenHBand="0" w:firstRowFirstColumn="0" w:firstRowLastColumn="0" w:lastRowFirstColumn="0" w:lastRowLastColumn="0"/>
            <w:tcW w:w="672" w:type="dxa"/>
          </w:tcPr>
          <w:p w14:paraId="502330B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w:t>
            </w:r>
          </w:p>
        </w:tc>
        <w:tc>
          <w:tcPr>
            <w:tcW w:w="673" w:type="dxa"/>
          </w:tcPr>
          <w:p w14:paraId="7110493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6" w:type="dxa"/>
          </w:tcPr>
          <w:p w14:paraId="18D5F5C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6341FC99"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58473B6"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558102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8" w:type="dxa"/>
          </w:tcPr>
          <w:p w14:paraId="4E710F9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w:t>
            </w:r>
          </w:p>
        </w:tc>
        <w:tc>
          <w:tcPr>
            <w:tcW w:w="681" w:type="dxa"/>
          </w:tcPr>
          <w:p w14:paraId="6271240C"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79" w:type="dxa"/>
          </w:tcPr>
          <w:p w14:paraId="2980BFA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16</w:t>
            </w:r>
          </w:p>
        </w:tc>
        <w:tc>
          <w:tcPr>
            <w:tcW w:w="680" w:type="dxa"/>
          </w:tcPr>
          <w:p w14:paraId="4B45DEC2"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61</w:t>
            </w:r>
          </w:p>
        </w:tc>
        <w:tc>
          <w:tcPr>
            <w:cnfStyle w:val="000010000000" w:firstRow="0" w:lastRow="0" w:firstColumn="0" w:lastColumn="0" w:oddVBand="1" w:evenVBand="0" w:oddHBand="0" w:evenHBand="0" w:firstRowFirstColumn="0" w:firstRowLastColumn="0" w:lastRowFirstColumn="0" w:lastRowLastColumn="0"/>
            <w:tcW w:w="683" w:type="dxa"/>
          </w:tcPr>
          <w:p w14:paraId="527F97E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25</w:t>
            </w:r>
          </w:p>
        </w:tc>
        <w:tc>
          <w:tcPr>
            <w:tcW w:w="681" w:type="dxa"/>
          </w:tcPr>
          <w:p w14:paraId="03F49567"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681" w:type="dxa"/>
          </w:tcPr>
          <w:p w14:paraId="59144145"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9</w:t>
            </w:r>
          </w:p>
        </w:tc>
        <w:tc>
          <w:tcPr>
            <w:tcW w:w="683" w:type="dxa"/>
          </w:tcPr>
          <w:p w14:paraId="7918DE63"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12</w:t>
            </w:r>
          </w:p>
        </w:tc>
        <w:tc>
          <w:tcPr>
            <w:cnfStyle w:val="000010000000" w:firstRow="0" w:lastRow="0" w:firstColumn="0" w:lastColumn="0" w:oddVBand="1" w:evenVBand="0" w:oddHBand="0" w:evenHBand="0" w:firstRowFirstColumn="0" w:firstRowLastColumn="0" w:lastRowFirstColumn="0" w:lastRowLastColumn="0"/>
            <w:tcW w:w="681" w:type="dxa"/>
          </w:tcPr>
          <w:p w14:paraId="4A18728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6ED802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00592D7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7832AA10"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4AB3149C"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92" w:type="dxa"/>
            <w:gridSpan w:val="2"/>
          </w:tcPr>
          <w:p w14:paraId="532A8301"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20F0B18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4CD66A2B"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58B3D85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67EC6CA"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35</w:t>
            </w:r>
          </w:p>
        </w:tc>
        <w:tc>
          <w:tcPr>
            <w:cnfStyle w:val="000010000000" w:firstRow="0" w:lastRow="0" w:firstColumn="0" w:lastColumn="0" w:oddVBand="1" w:evenVBand="0" w:oddHBand="0" w:evenHBand="0" w:firstRowFirstColumn="0" w:firstRowLastColumn="0" w:lastRowFirstColumn="0" w:lastRowLastColumn="0"/>
            <w:tcW w:w="681" w:type="dxa"/>
          </w:tcPr>
          <w:p w14:paraId="489CF6AB"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75</w:t>
            </w:r>
          </w:p>
        </w:tc>
        <w:tc>
          <w:tcPr>
            <w:tcW w:w="1183" w:type="dxa"/>
            <w:gridSpan w:val="2"/>
          </w:tcPr>
          <w:p w14:paraId="48AFDC4E" w14:textId="77777777" w:rsidR="00BC5960" w:rsidRPr="0015030A" w:rsidRDefault="00BC5960" w:rsidP="00BC5960">
            <w:pPr>
              <w:pStyle w:val="tabletext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41</w:t>
            </w:r>
          </w:p>
        </w:tc>
      </w:tr>
      <w:tr w:rsidR="0015030A" w:rsidRPr="0015030A" w14:paraId="52987214" w14:textId="77777777" w:rsidTr="0015030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24D3B8AF" w14:textId="77777777" w:rsidR="00BC5960" w:rsidRPr="0015030A" w:rsidRDefault="00BC5960" w:rsidP="00BC5960">
            <w:pPr>
              <w:pStyle w:val="tabletext0"/>
              <w:rPr>
                <w:rFonts w:ascii="Arial" w:hAnsi="Arial" w:cs="Arial"/>
                <w:color w:val="000000" w:themeColor="text1"/>
              </w:rPr>
            </w:pPr>
            <w:r w:rsidRPr="0015030A">
              <w:rPr>
                <w:rFonts w:ascii="Arial" w:hAnsi="Arial" w:cs="Arial"/>
                <w:color w:val="000000" w:themeColor="text1"/>
              </w:rPr>
              <w:t>Victimisation</w:t>
            </w:r>
          </w:p>
        </w:tc>
        <w:tc>
          <w:tcPr>
            <w:tcW w:w="672" w:type="dxa"/>
          </w:tcPr>
          <w:p w14:paraId="6960CF2A"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2" w:type="dxa"/>
          </w:tcPr>
          <w:p w14:paraId="41F863F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3" w:type="dxa"/>
          </w:tcPr>
          <w:p w14:paraId="711EB451"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6" w:type="dxa"/>
          </w:tcPr>
          <w:p w14:paraId="41F8883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768EFC3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666E164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78" w:type="dxa"/>
          </w:tcPr>
          <w:p w14:paraId="2859956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8" w:type="dxa"/>
          </w:tcPr>
          <w:p w14:paraId="0FC59B0A"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2AD98375"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79" w:type="dxa"/>
          </w:tcPr>
          <w:p w14:paraId="7594FB8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0" w:type="dxa"/>
          </w:tcPr>
          <w:p w14:paraId="6F81D2E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3" w:type="dxa"/>
          </w:tcPr>
          <w:p w14:paraId="628449DF"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812D026"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4C7F701"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3" w:type="dxa"/>
          </w:tcPr>
          <w:p w14:paraId="165BB9DB"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1" w:type="dxa"/>
          </w:tcPr>
          <w:p w14:paraId="57F5CDE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0BE87AA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0B6DFF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32BAEB83"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305</w:t>
            </w:r>
          </w:p>
        </w:tc>
        <w:tc>
          <w:tcPr>
            <w:cnfStyle w:val="000010000000" w:firstRow="0" w:lastRow="0" w:firstColumn="0" w:lastColumn="0" w:oddVBand="1" w:evenVBand="0" w:oddHBand="0" w:evenHBand="0" w:firstRowFirstColumn="0" w:firstRowLastColumn="0" w:lastRowFirstColumn="0" w:lastRowLastColumn="0"/>
            <w:tcW w:w="681" w:type="dxa"/>
          </w:tcPr>
          <w:p w14:paraId="47E9BFE7"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329</w:t>
            </w:r>
          </w:p>
        </w:tc>
        <w:tc>
          <w:tcPr>
            <w:tcW w:w="692" w:type="dxa"/>
            <w:gridSpan w:val="2"/>
          </w:tcPr>
          <w:p w14:paraId="6D73ED6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192</w:t>
            </w:r>
          </w:p>
        </w:tc>
        <w:tc>
          <w:tcPr>
            <w:cnfStyle w:val="000010000000" w:firstRow="0" w:lastRow="0" w:firstColumn="0" w:lastColumn="0" w:oddVBand="1" w:evenVBand="0" w:oddHBand="0" w:evenHBand="0" w:firstRowFirstColumn="0" w:firstRowLastColumn="0" w:lastRowFirstColumn="0" w:lastRowLastColumn="0"/>
            <w:tcW w:w="681" w:type="dxa"/>
          </w:tcPr>
          <w:p w14:paraId="1367D5F3"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1187880C"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177AF3C0"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rPr>
              <w:t xml:space="preserve"> </w:t>
            </w:r>
          </w:p>
        </w:tc>
        <w:tc>
          <w:tcPr>
            <w:tcW w:w="681" w:type="dxa"/>
          </w:tcPr>
          <w:p w14:paraId="62E5D9D9"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305</w:t>
            </w:r>
          </w:p>
        </w:tc>
        <w:tc>
          <w:tcPr>
            <w:cnfStyle w:val="000010000000" w:firstRow="0" w:lastRow="0" w:firstColumn="0" w:lastColumn="0" w:oddVBand="1" w:evenVBand="0" w:oddHBand="0" w:evenHBand="0" w:firstRowFirstColumn="0" w:firstRowLastColumn="0" w:lastRowFirstColumn="0" w:lastRowLastColumn="0"/>
            <w:tcW w:w="681" w:type="dxa"/>
          </w:tcPr>
          <w:p w14:paraId="26E35684" w14:textId="77777777" w:rsidR="00BC5960" w:rsidRPr="0015030A" w:rsidRDefault="00BC5960" w:rsidP="00BC5960">
            <w:pPr>
              <w:pStyle w:val="tabletext0"/>
              <w:jc w:val="right"/>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329</w:t>
            </w:r>
          </w:p>
        </w:tc>
        <w:tc>
          <w:tcPr>
            <w:tcW w:w="1183" w:type="dxa"/>
            <w:gridSpan w:val="2"/>
          </w:tcPr>
          <w:p w14:paraId="7A7AC304" w14:textId="77777777" w:rsidR="00BC5960" w:rsidRPr="0015030A" w:rsidRDefault="00BC5960" w:rsidP="00BC5960">
            <w:pPr>
              <w:pStyle w:val="tabletext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5030A">
              <w:rPr>
                <w:rFonts w:ascii="Arial" w:hAnsi="Arial" w:cs="Arial"/>
                <w:color w:val="000000" w:themeColor="text1"/>
                <w14:textOutline w14:w="9525" w14:cap="flat" w14:cmpd="sng" w14:algn="ctr">
                  <w14:solidFill>
                    <w14:srgbClr w14:val="000000"/>
                  </w14:solidFill>
                  <w14:prstDash w14:val="solid"/>
                  <w14:round/>
                </w14:textOutline>
              </w:rPr>
              <w:t>192</w:t>
            </w:r>
          </w:p>
        </w:tc>
      </w:tr>
      <w:tr w:rsidR="0015030A" w:rsidRPr="0015030A" w14:paraId="1FD6C81B" w14:textId="77777777" w:rsidTr="0015030A">
        <w:trPr>
          <w:trHeight w:hRule="exact" w:val="310"/>
        </w:trPr>
        <w:tc>
          <w:tcPr>
            <w:cnfStyle w:val="000010000000" w:firstRow="0" w:lastRow="0" w:firstColumn="0" w:lastColumn="0" w:oddVBand="1" w:evenVBand="0" w:oddHBand="0" w:evenHBand="0" w:firstRowFirstColumn="0" w:firstRowLastColumn="0" w:lastRowFirstColumn="0" w:lastRowLastColumn="0"/>
            <w:tcW w:w="2489" w:type="dxa"/>
          </w:tcPr>
          <w:p w14:paraId="3D5D4C65" w14:textId="77777777" w:rsidR="00BC5960" w:rsidRPr="0015030A" w:rsidRDefault="00BC5960" w:rsidP="00BC5960">
            <w:pPr>
              <w:pStyle w:val="tabletextbold"/>
              <w:rPr>
                <w:rFonts w:ascii="Arial" w:hAnsi="Arial" w:cs="Arial"/>
                <w:b/>
                <w:color w:val="000000" w:themeColor="text1"/>
              </w:rPr>
            </w:pPr>
            <w:r w:rsidRPr="0015030A">
              <w:rPr>
                <w:rFonts w:ascii="Arial" w:hAnsi="Arial" w:cs="Arial"/>
                <w:b/>
                <w:color w:val="000000" w:themeColor="text1"/>
              </w:rPr>
              <w:t>Total</w:t>
            </w:r>
          </w:p>
        </w:tc>
        <w:tc>
          <w:tcPr>
            <w:tcW w:w="672" w:type="dxa"/>
          </w:tcPr>
          <w:p w14:paraId="3F48A472"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90</w:t>
            </w:r>
          </w:p>
        </w:tc>
        <w:tc>
          <w:tcPr>
            <w:cnfStyle w:val="000010000000" w:firstRow="0" w:lastRow="0" w:firstColumn="0" w:lastColumn="0" w:oddVBand="1" w:evenVBand="0" w:oddHBand="0" w:evenHBand="0" w:firstRowFirstColumn="0" w:firstRowLastColumn="0" w:lastRowFirstColumn="0" w:lastRowLastColumn="0"/>
            <w:tcW w:w="672" w:type="dxa"/>
          </w:tcPr>
          <w:p w14:paraId="60D97683"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152</w:t>
            </w:r>
          </w:p>
        </w:tc>
        <w:tc>
          <w:tcPr>
            <w:tcW w:w="673" w:type="dxa"/>
          </w:tcPr>
          <w:p w14:paraId="11A47C46"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107</w:t>
            </w:r>
          </w:p>
        </w:tc>
        <w:tc>
          <w:tcPr>
            <w:cnfStyle w:val="000010000000" w:firstRow="0" w:lastRow="0" w:firstColumn="0" w:lastColumn="0" w:oddVBand="1" w:evenVBand="0" w:oddHBand="0" w:evenHBand="0" w:firstRowFirstColumn="0" w:firstRowLastColumn="0" w:lastRowFirstColumn="0" w:lastRowLastColumn="0"/>
            <w:tcW w:w="676" w:type="dxa"/>
          </w:tcPr>
          <w:p w14:paraId="6E40467E"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7</w:t>
            </w:r>
          </w:p>
        </w:tc>
        <w:tc>
          <w:tcPr>
            <w:tcW w:w="678" w:type="dxa"/>
          </w:tcPr>
          <w:p w14:paraId="32DD5167"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1</w:t>
            </w:r>
          </w:p>
        </w:tc>
        <w:tc>
          <w:tcPr>
            <w:cnfStyle w:val="000010000000" w:firstRow="0" w:lastRow="0" w:firstColumn="0" w:lastColumn="0" w:oddVBand="1" w:evenVBand="0" w:oddHBand="0" w:evenHBand="0" w:firstRowFirstColumn="0" w:firstRowLastColumn="0" w:lastRowFirstColumn="0" w:lastRowLastColumn="0"/>
            <w:tcW w:w="679" w:type="dxa"/>
          </w:tcPr>
          <w:p w14:paraId="6F88992F"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4</w:t>
            </w:r>
          </w:p>
        </w:tc>
        <w:tc>
          <w:tcPr>
            <w:tcW w:w="678" w:type="dxa"/>
          </w:tcPr>
          <w:p w14:paraId="666985D3"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118</w:t>
            </w:r>
          </w:p>
        </w:tc>
        <w:tc>
          <w:tcPr>
            <w:cnfStyle w:val="000010000000" w:firstRow="0" w:lastRow="0" w:firstColumn="0" w:lastColumn="0" w:oddVBand="1" w:evenVBand="0" w:oddHBand="0" w:evenHBand="0" w:firstRowFirstColumn="0" w:firstRowLastColumn="0" w:lastRowFirstColumn="0" w:lastRowLastColumn="0"/>
            <w:tcW w:w="678" w:type="dxa"/>
          </w:tcPr>
          <w:p w14:paraId="793FE343"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99</w:t>
            </w:r>
          </w:p>
        </w:tc>
        <w:tc>
          <w:tcPr>
            <w:tcW w:w="681" w:type="dxa"/>
          </w:tcPr>
          <w:p w14:paraId="22FE8BF6"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126</w:t>
            </w:r>
          </w:p>
        </w:tc>
        <w:tc>
          <w:tcPr>
            <w:cnfStyle w:val="000010000000" w:firstRow="0" w:lastRow="0" w:firstColumn="0" w:lastColumn="0" w:oddVBand="1" w:evenVBand="0" w:oddHBand="0" w:evenHBand="0" w:firstRowFirstColumn="0" w:firstRowLastColumn="0" w:lastRowFirstColumn="0" w:lastRowLastColumn="0"/>
            <w:tcW w:w="679" w:type="dxa"/>
          </w:tcPr>
          <w:p w14:paraId="1A4C1158"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1540</w:t>
            </w:r>
          </w:p>
        </w:tc>
        <w:tc>
          <w:tcPr>
            <w:tcW w:w="680" w:type="dxa"/>
          </w:tcPr>
          <w:p w14:paraId="7342208D"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1667</w:t>
            </w:r>
          </w:p>
        </w:tc>
        <w:tc>
          <w:tcPr>
            <w:cnfStyle w:val="000010000000" w:firstRow="0" w:lastRow="0" w:firstColumn="0" w:lastColumn="0" w:oddVBand="1" w:evenVBand="0" w:oddHBand="0" w:evenHBand="0" w:firstRowFirstColumn="0" w:firstRowLastColumn="0" w:lastRowFirstColumn="0" w:lastRowLastColumn="0"/>
            <w:tcW w:w="683" w:type="dxa"/>
          </w:tcPr>
          <w:p w14:paraId="4AE7BB48"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1139</w:t>
            </w:r>
          </w:p>
        </w:tc>
        <w:tc>
          <w:tcPr>
            <w:tcW w:w="681" w:type="dxa"/>
          </w:tcPr>
          <w:p w14:paraId="37088EF3"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591</w:t>
            </w:r>
          </w:p>
        </w:tc>
        <w:tc>
          <w:tcPr>
            <w:cnfStyle w:val="000010000000" w:firstRow="0" w:lastRow="0" w:firstColumn="0" w:lastColumn="0" w:oddVBand="1" w:evenVBand="0" w:oddHBand="0" w:evenHBand="0" w:firstRowFirstColumn="0" w:firstRowLastColumn="0" w:lastRowFirstColumn="0" w:lastRowLastColumn="0"/>
            <w:tcW w:w="681" w:type="dxa"/>
          </w:tcPr>
          <w:p w14:paraId="5E60D94A"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577</w:t>
            </w:r>
          </w:p>
        </w:tc>
        <w:tc>
          <w:tcPr>
            <w:tcW w:w="683" w:type="dxa"/>
          </w:tcPr>
          <w:p w14:paraId="447CE3FE"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501</w:t>
            </w:r>
          </w:p>
        </w:tc>
        <w:tc>
          <w:tcPr>
            <w:cnfStyle w:val="000010000000" w:firstRow="0" w:lastRow="0" w:firstColumn="0" w:lastColumn="0" w:oddVBand="1" w:evenVBand="0" w:oddHBand="0" w:evenHBand="0" w:firstRowFirstColumn="0" w:firstRowLastColumn="0" w:lastRowFirstColumn="0" w:lastRowLastColumn="0"/>
            <w:tcW w:w="681" w:type="dxa"/>
          </w:tcPr>
          <w:p w14:paraId="064367A3"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0</w:t>
            </w:r>
          </w:p>
        </w:tc>
        <w:tc>
          <w:tcPr>
            <w:tcW w:w="681" w:type="dxa"/>
          </w:tcPr>
          <w:p w14:paraId="62EB7BF4"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3</w:t>
            </w:r>
          </w:p>
        </w:tc>
        <w:tc>
          <w:tcPr>
            <w:cnfStyle w:val="000010000000" w:firstRow="0" w:lastRow="0" w:firstColumn="0" w:lastColumn="0" w:oddVBand="1" w:evenVBand="0" w:oddHBand="0" w:evenHBand="0" w:firstRowFirstColumn="0" w:firstRowLastColumn="0" w:lastRowFirstColumn="0" w:lastRowLastColumn="0"/>
            <w:tcW w:w="695" w:type="dxa"/>
            <w:gridSpan w:val="2"/>
          </w:tcPr>
          <w:p w14:paraId="7EFF3221"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2</w:t>
            </w:r>
          </w:p>
        </w:tc>
        <w:tc>
          <w:tcPr>
            <w:tcW w:w="681" w:type="dxa"/>
          </w:tcPr>
          <w:p w14:paraId="1F330ACF"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366</w:t>
            </w:r>
          </w:p>
        </w:tc>
        <w:tc>
          <w:tcPr>
            <w:cnfStyle w:val="000010000000" w:firstRow="0" w:lastRow="0" w:firstColumn="0" w:lastColumn="0" w:oddVBand="1" w:evenVBand="0" w:oddHBand="0" w:evenHBand="0" w:firstRowFirstColumn="0" w:firstRowLastColumn="0" w:lastRowFirstColumn="0" w:lastRowLastColumn="0"/>
            <w:tcW w:w="681" w:type="dxa"/>
          </w:tcPr>
          <w:p w14:paraId="0432738E"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456</w:t>
            </w:r>
          </w:p>
        </w:tc>
        <w:tc>
          <w:tcPr>
            <w:tcW w:w="692" w:type="dxa"/>
            <w:gridSpan w:val="2"/>
          </w:tcPr>
          <w:p w14:paraId="1E87C596"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232</w:t>
            </w:r>
          </w:p>
        </w:tc>
        <w:tc>
          <w:tcPr>
            <w:cnfStyle w:val="000010000000" w:firstRow="0" w:lastRow="0" w:firstColumn="0" w:lastColumn="0" w:oddVBand="1" w:evenVBand="0" w:oddHBand="0" w:evenHBand="0" w:firstRowFirstColumn="0" w:firstRowLastColumn="0" w:lastRowFirstColumn="0" w:lastRowLastColumn="0"/>
            <w:tcW w:w="681" w:type="dxa"/>
          </w:tcPr>
          <w:p w14:paraId="59B3CB68"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16</w:t>
            </w:r>
          </w:p>
        </w:tc>
        <w:tc>
          <w:tcPr>
            <w:tcW w:w="681" w:type="dxa"/>
          </w:tcPr>
          <w:p w14:paraId="618F2C4C"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689" w:type="dxa"/>
            <w:gridSpan w:val="2"/>
          </w:tcPr>
          <w:p w14:paraId="4CA33F71"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rPr>
              <w:t>5</w:t>
            </w:r>
          </w:p>
        </w:tc>
        <w:tc>
          <w:tcPr>
            <w:tcW w:w="681" w:type="dxa"/>
          </w:tcPr>
          <w:p w14:paraId="2DC5B81B"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14:textOutline w14:w="9525" w14:cap="flat" w14:cmpd="sng" w14:algn="ctr">
                  <w14:solidFill>
                    <w14:srgbClr w14:val="000000"/>
                  </w14:solidFill>
                  <w14:prstDash w14:val="solid"/>
                  <w14:round/>
                </w14:textOutline>
              </w:rPr>
              <w:t>2731</w:t>
            </w:r>
          </w:p>
        </w:tc>
        <w:tc>
          <w:tcPr>
            <w:cnfStyle w:val="000010000000" w:firstRow="0" w:lastRow="0" w:firstColumn="0" w:lastColumn="0" w:oddVBand="1" w:evenVBand="0" w:oddHBand="0" w:evenHBand="0" w:firstRowFirstColumn="0" w:firstRowLastColumn="0" w:lastRowFirstColumn="0" w:lastRowLastColumn="0"/>
            <w:tcW w:w="681" w:type="dxa"/>
          </w:tcPr>
          <w:p w14:paraId="1534A66C" w14:textId="77777777" w:rsidR="00BC5960" w:rsidRPr="0015030A" w:rsidRDefault="00BC5960" w:rsidP="00BC5960">
            <w:pPr>
              <w:pStyle w:val="tabletextbold"/>
              <w:jc w:val="right"/>
              <w:rPr>
                <w:rFonts w:ascii="Arial" w:hAnsi="Arial" w:cs="Arial"/>
                <w:b/>
                <w:color w:val="000000" w:themeColor="text1"/>
              </w:rPr>
            </w:pPr>
            <w:r w:rsidRPr="0015030A">
              <w:rPr>
                <w:rFonts w:ascii="Arial" w:hAnsi="Arial" w:cs="Arial"/>
                <w:b/>
                <w:color w:val="000000" w:themeColor="text1"/>
                <w14:textOutline w14:w="9525" w14:cap="flat" w14:cmpd="sng" w14:algn="ctr">
                  <w14:solidFill>
                    <w14:srgbClr w14:val="000000"/>
                  </w14:solidFill>
                  <w14:prstDash w14:val="solid"/>
                  <w14:round/>
                </w14:textOutline>
              </w:rPr>
              <w:t>2977</w:t>
            </w:r>
          </w:p>
        </w:tc>
        <w:tc>
          <w:tcPr>
            <w:tcW w:w="1183" w:type="dxa"/>
            <w:gridSpan w:val="2"/>
          </w:tcPr>
          <w:p w14:paraId="1FE14312" w14:textId="77777777" w:rsidR="00BC5960" w:rsidRPr="0015030A" w:rsidRDefault="00BC5960" w:rsidP="00BC5960">
            <w:pPr>
              <w:pStyle w:val="tabletextbold"/>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15030A">
              <w:rPr>
                <w:rFonts w:ascii="Arial" w:hAnsi="Arial" w:cs="Arial"/>
                <w:b/>
                <w:color w:val="000000" w:themeColor="text1"/>
                <w14:textOutline w14:w="9525" w14:cap="flat" w14:cmpd="sng" w14:algn="ctr">
                  <w14:solidFill>
                    <w14:srgbClr w14:val="000000"/>
                  </w14:solidFill>
                  <w14:prstDash w14:val="solid"/>
                  <w14:round/>
                </w14:textOutline>
              </w:rPr>
              <w:t>2116</w:t>
            </w:r>
          </w:p>
        </w:tc>
      </w:tr>
    </w:tbl>
    <w:p w14:paraId="6A6079B5" w14:textId="6AA45AB6" w:rsidR="00BC5960" w:rsidRDefault="00BC5960" w:rsidP="0015030A">
      <w:pPr>
        <w:widowControl w:val="0"/>
        <w:suppressAutoHyphens/>
        <w:autoSpaceDE w:val="0"/>
        <w:autoSpaceDN w:val="0"/>
        <w:adjustRightInd w:val="0"/>
        <w:spacing w:before="113" w:after="85" w:line="250" w:lineRule="atLeast"/>
        <w:textAlignment w:val="center"/>
        <w:rPr>
          <w:lang w:eastAsia="en-US"/>
        </w:rPr>
        <w:sectPr w:rsidR="00BC5960" w:rsidSect="0015030A">
          <w:pgSz w:w="22660" w:h="12240" w:orient="landscape" w:code="9"/>
          <w:pgMar w:top="851" w:right="993" w:bottom="567" w:left="709" w:header="709" w:footer="272" w:gutter="0"/>
          <w:cols w:space="708"/>
          <w:titlePg/>
          <w:docGrid w:linePitch="360"/>
          <w:printerSettings r:id="rId12"/>
        </w:sectPr>
      </w:pPr>
    </w:p>
    <w:p w14:paraId="26BCA198" w14:textId="4756DCC6" w:rsidR="0077375F" w:rsidRPr="0077375F" w:rsidRDefault="0077375F" w:rsidP="0077375F">
      <w:pPr>
        <w:pStyle w:val="VEOHRCHeading2"/>
        <w:rPr>
          <w:lang w:eastAsia="en-US"/>
        </w:rPr>
      </w:pPr>
      <w:r w:rsidRPr="0077375F">
        <w:rPr>
          <w:lang w:eastAsia="en-US"/>
        </w:rPr>
        <w:lastRenderedPageBreak/>
        <w:t>Complaints</w:t>
      </w:r>
    </w:p>
    <w:p w14:paraId="2D900329" w14:textId="77777777" w:rsidR="0077375F" w:rsidRPr="0077375F" w:rsidRDefault="0077375F" w:rsidP="0077375F">
      <w:pPr>
        <w:pStyle w:val="VEOHRCHeading3"/>
        <w:rPr>
          <w:lang w:eastAsia="en-US"/>
        </w:rPr>
      </w:pPr>
      <w:r w:rsidRPr="0077375F">
        <w:rPr>
          <w:lang w:eastAsia="en-US"/>
        </w:rPr>
        <w:t>Complaints received</w:t>
      </w:r>
    </w:p>
    <w:p w14:paraId="08D6058E" w14:textId="77777777" w:rsidR="0077375F" w:rsidRPr="0077375F" w:rsidRDefault="0077375F" w:rsidP="0077375F">
      <w:pPr>
        <w:pStyle w:val="VEOHRCBodytext"/>
        <w:rPr>
          <w:lang w:eastAsia="en-US"/>
        </w:rPr>
      </w:pPr>
      <w:r w:rsidRPr="0077375F">
        <w:rPr>
          <w:lang w:eastAsia="en-US"/>
        </w:rPr>
        <w:t xml:space="preserve">The Commission accepted 865 complaint files in 2015/16. Within these complaint files 2116 complaints were raised under the Equal Opportunity Act and Racial and Religious Tolerance Act. The complexity of a complaint file is reflected in the number of issues identified by complainants when they make a complaint. A complainant may allege more than one respondent has breached the law and claim one or more attributes are the basis for this unfavourable treatment. One or more areas of public life may apply to a complaint. </w:t>
      </w:r>
    </w:p>
    <w:p w14:paraId="159FBAE8" w14:textId="77777777" w:rsidR="0077375F" w:rsidRPr="0077375F" w:rsidRDefault="0077375F" w:rsidP="0077375F">
      <w:pPr>
        <w:pStyle w:val="VEOHRCBodytext"/>
        <w:rPr>
          <w:lang w:eastAsia="en-US"/>
        </w:rPr>
      </w:pPr>
      <w:r w:rsidRPr="0077375F">
        <w:rPr>
          <w:lang w:eastAsia="en-US"/>
        </w:rPr>
        <w:t>The Commission received the following number of complaint files in the past three years:</w:t>
      </w:r>
    </w:p>
    <w:p w14:paraId="2BD2111A" w14:textId="669E65E8"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2013/14</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1053 files raising 2718 complaints</w:t>
      </w:r>
    </w:p>
    <w:p w14:paraId="34E6DC7A" w14:textId="700FCCC3"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2014/15</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1060 files raising 2977 complaints</w:t>
      </w:r>
    </w:p>
    <w:p w14:paraId="17A4F97B" w14:textId="13242F44"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2015/16</w:t>
      </w:r>
      <w:r w:rsidRPr="0077375F">
        <w:rPr>
          <w:rStyle w:val="VEOHRCBodytextChar"/>
          <w:lang w:eastAsia="en-US"/>
        </w:rPr>
        <w:tab/>
      </w:r>
      <w:r w:rsidR="001B0C5C">
        <w:rPr>
          <w:rStyle w:val="VEOHRCBodytextChar"/>
          <w:lang w:eastAsia="en-US"/>
        </w:rPr>
        <w:t xml:space="preserve"> </w:t>
      </w:r>
      <w:r w:rsidRPr="0077375F">
        <w:rPr>
          <w:rStyle w:val="VEOHRCBodytextChar"/>
          <w:lang w:eastAsia="en-US"/>
        </w:rPr>
        <w:t>865 files raising 2116 complaints </w:t>
      </w:r>
    </w:p>
    <w:p w14:paraId="2F03B043" w14:textId="77777777" w:rsidR="0077375F" w:rsidRPr="0077375F" w:rsidRDefault="0077375F" w:rsidP="0077375F">
      <w:pPr>
        <w:pStyle w:val="VEOHRCBodytext"/>
        <w:rPr>
          <w:lang w:eastAsia="en-US"/>
        </w:rPr>
      </w:pPr>
      <w:r w:rsidRPr="0077375F">
        <w:rPr>
          <w:lang w:eastAsia="en-US"/>
        </w:rPr>
        <w:t>Employment was the most frequent area of complaint followed by goods and services and education. Disability discrimination was the most frequent attribute of complaint followed by race, sex, sexual harassment, age, employment activity, carer and parental status.</w:t>
      </w:r>
    </w:p>
    <w:p w14:paraId="3B8DC63E" w14:textId="77777777" w:rsidR="0077375F" w:rsidRPr="0077375F" w:rsidRDefault="0077375F" w:rsidP="0077375F">
      <w:pPr>
        <w:pStyle w:val="VEOHRCBodytext"/>
        <w:rPr>
          <w:lang w:eastAsia="en-US"/>
        </w:rPr>
      </w:pPr>
      <w:r w:rsidRPr="0077375F">
        <w:rPr>
          <w:lang w:eastAsia="en-US"/>
        </w:rPr>
        <w:t xml:space="preserve">In 2015/16 there were 13 complaints received under the Racial and Religious Tolerance Act compared to 106 in 2014/15. </w:t>
      </w:r>
    </w:p>
    <w:p w14:paraId="04D0EDD5" w14:textId="49B7B00B" w:rsidR="0077375F" w:rsidRDefault="0077375F" w:rsidP="0077375F">
      <w:pPr>
        <w:pStyle w:val="VEOHRCHeading3"/>
        <w:rPr>
          <w:lang w:eastAsia="en-US"/>
        </w:rPr>
      </w:pPr>
      <w:r w:rsidRPr="0077375F">
        <w:rPr>
          <w:lang w:eastAsia="en-US"/>
        </w:rPr>
        <w:t>Complaints under the Equal Opportunity Act and Racial and Religious Tolerance Act</w:t>
      </w:r>
      <w:r w:rsidR="001B0C5C">
        <w:rPr>
          <w:lang w:eastAsia="en-US"/>
        </w:rPr>
        <w:t xml:space="preserve"> </w:t>
      </w:r>
      <w:r w:rsidRPr="0077375F">
        <w:rPr>
          <w:lang w:eastAsia="en-US"/>
        </w:rPr>
        <w:t>by area for 2015/16</w:t>
      </w:r>
    </w:p>
    <w:p w14:paraId="6CEEEC78" w14:textId="63ADDF56" w:rsidR="0077375F" w:rsidRDefault="0077375F" w:rsidP="0077375F">
      <w:pPr>
        <w:widowControl w:val="0"/>
        <w:suppressAutoHyphens/>
        <w:autoSpaceDE w:val="0"/>
        <w:autoSpaceDN w:val="0"/>
        <w:adjustRightInd w:val="0"/>
        <w:spacing w:before="113" w:after="85" w:line="250" w:lineRule="atLeast"/>
        <w:textAlignment w:val="center"/>
        <w:rPr>
          <w:rFonts w:ascii="ArialMT-Medium" w:hAnsi="ArialMT-Medium" w:cs="ArialMT-Medium"/>
          <w:color w:val="000000"/>
          <w:sz w:val="21"/>
          <w:szCs w:val="21"/>
          <w:lang w:val="en-GB" w:eastAsia="en-US"/>
        </w:rPr>
      </w:pPr>
      <w:r w:rsidRPr="0077375F">
        <w:rPr>
          <w:rFonts w:ascii="ArialMT-Medium" w:hAnsi="ArialMT-Medium" w:cs="ArialMT-Medium"/>
          <w:color w:val="000000"/>
          <w:sz w:val="21"/>
          <w:szCs w:val="21"/>
          <w:lang w:val="en-GB" w:eastAsia="en-US"/>
        </w:rPr>
        <w:t>Complaints under the Equal Opportunity Act and Racial and Religious Tolerance Act</w:t>
      </w:r>
      <w:r w:rsidR="001B0C5C">
        <w:rPr>
          <w:rFonts w:ascii="ArialMT-Medium" w:hAnsi="ArialMT-Medium" w:cs="ArialMT-Medium"/>
          <w:color w:val="000000"/>
          <w:sz w:val="21"/>
          <w:szCs w:val="21"/>
          <w:lang w:val="en-GB" w:eastAsia="en-US"/>
        </w:rPr>
        <w:t xml:space="preserve"> </w:t>
      </w:r>
      <w:r w:rsidRPr="0077375F">
        <w:rPr>
          <w:rFonts w:ascii="ArialMT-Medium" w:hAnsi="ArialMT-Medium" w:cs="ArialMT-Medium"/>
          <w:color w:val="000000"/>
          <w:sz w:val="21"/>
          <w:szCs w:val="21"/>
          <w:lang w:val="en-GB" w:eastAsia="en-US"/>
        </w:rPr>
        <w:t>by area and attribute for 2013/14, 2014/15 and 2015/16</w:t>
      </w:r>
    </w:p>
    <w:p w14:paraId="6155402C" w14:textId="49EBFCCA" w:rsidR="0077375F" w:rsidRPr="0077375F" w:rsidRDefault="0077375F" w:rsidP="0077375F">
      <w:pPr>
        <w:widowControl w:val="0"/>
        <w:suppressAutoHyphens/>
        <w:autoSpaceDE w:val="0"/>
        <w:autoSpaceDN w:val="0"/>
        <w:adjustRightInd w:val="0"/>
        <w:spacing w:before="113" w:after="85" w:line="250" w:lineRule="atLeast"/>
        <w:textAlignment w:val="center"/>
        <w:rPr>
          <w:rFonts w:ascii="ArialMT-Medium" w:hAnsi="ArialMT-Medium" w:cs="ArialMT-Medium"/>
          <w:color w:val="000000"/>
          <w:sz w:val="21"/>
          <w:szCs w:val="21"/>
          <w:lang w:val="en-GB" w:eastAsia="en-US"/>
        </w:rPr>
      </w:pPr>
      <w:r w:rsidRPr="0077375F">
        <w:rPr>
          <w:rFonts w:ascii="ArialMT-Medium" w:hAnsi="ArialMT-Medium" w:cs="ArialMT-Medium"/>
          <w:color w:val="000000"/>
          <w:sz w:val="21"/>
          <w:szCs w:val="21"/>
          <w:lang w:val="en-GB" w:eastAsia="en-US"/>
        </w:rPr>
        <w:t>Racial and Religious Tolerance Act</w:t>
      </w:r>
      <w:r w:rsidR="001B0C5C">
        <w:rPr>
          <w:rFonts w:ascii="ArialMT-Medium" w:hAnsi="ArialMT-Medium" w:cs="ArialMT-Medium"/>
          <w:color w:val="000000"/>
          <w:sz w:val="21"/>
          <w:szCs w:val="21"/>
          <w:lang w:val="en-GB" w:eastAsia="en-US"/>
        </w:rPr>
        <w:t xml:space="preserve"> </w:t>
      </w:r>
      <w:r w:rsidRPr="0077375F">
        <w:rPr>
          <w:rFonts w:ascii="ArialMT-Medium" w:hAnsi="ArialMT-Medium" w:cs="ArialMT-Medium"/>
          <w:color w:val="000000"/>
          <w:sz w:val="21"/>
          <w:szCs w:val="21"/>
          <w:lang w:val="en-GB" w:eastAsia="en-US"/>
        </w:rPr>
        <w:t>complaints by attribute</w:t>
      </w:r>
    </w:p>
    <w:tbl>
      <w:tblPr>
        <w:tblStyle w:val="LightList"/>
        <w:tblW w:w="0" w:type="auto"/>
        <w:tblLayout w:type="fixed"/>
        <w:tblLook w:val="0000" w:firstRow="0" w:lastRow="0" w:firstColumn="0" w:lastColumn="0" w:noHBand="0" w:noVBand="0"/>
      </w:tblPr>
      <w:tblGrid>
        <w:gridCol w:w="3443"/>
        <w:gridCol w:w="923"/>
        <w:gridCol w:w="924"/>
        <w:gridCol w:w="923"/>
      </w:tblGrid>
      <w:tr w:rsidR="00AF1CE6" w:rsidRPr="00AF1CE6" w14:paraId="6013DB58" w14:textId="77777777" w:rsidTr="00AF1CE6">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3443" w:type="dxa"/>
          </w:tcPr>
          <w:p w14:paraId="1E8BBB0B"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b/>
                <w:color w:val="000000"/>
                <w:sz w:val="21"/>
                <w:szCs w:val="21"/>
                <w:lang w:val="en-GB" w:eastAsia="en-US"/>
              </w:rPr>
            </w:pPr>
            <w:r w:rsidRPr="00AF1CE6">
              <w:rPr>
                <w:rFonts w:ascii="Arial" w:hAnsi="Arial" w:cs="Arial"/>
                <w:b/>
                <w:color w:val="000000"/>
                <w:sz w:val="20"/>
                <w:szCs w:val="20"/>
                <w:lang w:eastAsia="en-US"/>
              </w:rPr>
              <w:t>Attribute</w:t>
            </w:r>
          </w:p>
        </w:tc>
        <w:tc>
          <w:tcPr>
            <w:tcW w:w="923" w:type="dxa"/>
          </w:tcPr>
          <w:p w14:paraId="71934D6A"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AF1CE6">
              <w:rPr>
                <w:rFonts w:ascii="Arial" w:hAnsi="Arial" w:cs="Arial"/>
                <w:b/>
                <w:color w:val="000000"/>
                <w:sz w:val="20"/>
                <w:szCs w:val="20"/>
                <w:lang w:eastAsia="en-US"/>
              </w:rPr>
              <w:t>13/14</w:t>
            </w:r>
          </w:p>
        </w:tc>
        <w:tc>
          <w:tcPr>
            <w:cnfStyle w:val="000010000000" w:firstRow="0" w:lastRow="0" w:firstColumn="0" w:lastColumn="0" w:oddVBand="1" w:evenVBand="0" w:oddHBand="0" w:evenHBand="0" w:firstRowFirstColumn="0" w:firstRowLastColumn="0" w:lastRowFirstColumn="0" w:lastRowLastColumn="0"/>
            <w:tcW w:w="924" w:type="dxa"/>
          </w:tcPr>
          <w:p w14:paraId="3B0DD318"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sz w:val="21"/>
                <w:szCs w:val="21"/>
                <w:lang w:val="en-GB" w:eastAsia="en-US"/>
              </w:rPr>
            </w:pPr>
            <w:r w:rsidRPr="00AF1CE6">
              <w:rPr>
                <w:rFonts w:ascii="Arial" w:hAnsi="Arial" w:cs="Arial"/>
                <w:b/>
                <w:color w:val="000000"/>
                <w:sz w:val="20"/>
                <w:szCs w:val="20"/>
                <w:lang w:eastAsia="en-US"/>
              </w:rPr>
              <w:t>14/15</w:t>
            </w:r>
          </w:p>
        </w:tc>
        <w:tc>
          <w:tcPr>
            <w:tcW w:w="923" w:type="dxa"/>
          </w:tcPr>
          <w:p w14:paraId="1C6815AA"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AF1CE6">
              <w:rPr>
                <w:rFonts w:ascii="Arial" w:hAnsi="Arial" w:cs="Arial"/>
                <w:b/>
                <w:color w:val="000000"/>
                <w:sz w:val="20"/>
                <w:szCs w:val="20"/>
                <w:lang w:eastAsia="en-US"/>
              </w:rPr>
              <w:t>15/16</w:t>
            </w:r>
          </w:p>
        </w:tc>
      </w:tr>
      <w:tr w:rsidR="00AF1CE6" w:rsidRPr="00AF1CE6" w14:paraId="41D5AF2E" w14:textId="77777777" w:rsidTr="00AF1CE6">
        <w:trPr>
          <w:trHeight w:val="197"/>
        </w:trPr>
        <w:tc>
          <w:tcPr>
            <w:cnfStyle w:val="000010000000" w:firstRow="0" w:lastRow="0" w:firstColumn="0" w:lastColumn="0" w:oddVBand="1" w:evenVBand="0" w:oddHBand="0" w:evenHBand="0" w:firstRowFirstColumn="0" w:firstRowLastColumn="0" w:lastRowFirstColumn="0" w:lastRowLastColumn="0"/>
            <w:tcW w:w="3443" w:type="dxa"/>
          </w:tcPr>
          <w:p w14:paraId="74D2AED5"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Authorising and assisting</w:t>
            </w:r>
          </w:p>
        </w:tc>
        <w:tc>
          <w:tcPr>
            <w:tcW w:w="923" w:type="dxa"/>
          </w:tcPr>
          <w:p w14:paraId="518A28D9"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0</w:t>
            </w:r>
          </w:p>
        </w:tc>
        <w:tc>
          <w:tcPr>
            <w:cnfStyle w:val="000010000000" w:firstRow="0" w:lastRow="0" w:firstColumn="0" w:lastColumn="0" w:oddVBand="1" w:evenVBand="0" w:oddHBand="0" w:evenHBand="0" w:firstRowFirstColumn="0" w:firstRowLastColumn="0" w:lastRowFirstColumn="0" w:lastRowLastColumn="0"/>
            <w:tcW w:w="924" w:type="dxa"/>
          </w:tcPr>
          <w:p w14:paraId="3C4DF642"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20</w:t>
            </w:r>
          </w:p>
        </w:tc>
        <w:tc>
          <w:tcPr>
            <w:tcW w:w="923" w:type="dxa"/>
          </w:tcPr>
          <w:p w14:paraId="15ED0B42"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0</w:t>
            </w:r>
          </w:p>
        </w:tc>
      </w:tr>
      <w:tr w:rsidR="00AF1CE6" w:rsidRPr="00AF1CE6" w14:paraId="353FAD86" w14:textId="77777777" w:rsidTr="00AF1CE6">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3443" w:type="dxa"/>
          </w:tcPr>
          <w:p w14:paraId="3DAE4723"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Racial vilification</w:t>
            </w:r>
          </w:p>
        </w:tc>
        <w:tc>
          <w:tcPr>
            <w:tcW w:w="923" w:type="dxa"/>
          </w:tcPr>
          <w:p w14:paraId="61EBD1DE"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14</w:t>
            </w:r>
          </w:p>
        </w:tc>
        <w:tc>
          <w:tcPr>
            <w:cnfStyle w:val="000010000000" w:firstRow="0" w:lastRow="0" w:firstColumn="0" w:lastColumn="0" w:oddVBand="1" w:evenVBand="0" w:oddHBand="0" w:evenHBand="0" w:firstRowFirstColumn="0" w:firstRowLastColumn="0" w:lastRowFirstColumn="0" w:lastRowLastColumn="0"/>
            <w:tcW w:w="924" w:type="dxa"/>
          </w:tcPr>
          <w:p w14:paraId="2EDF2EC8"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45</w:t>
            </w:r>
          </w:p>
        </w:tc>
        <w:tc>
          <w:tcPr>
            <w:tcW w:w="923" w:type="dxa"/>
          </w:tcPr>
          <w:p w14:paraId="43126F2B"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9</w:t>
            </w:r>
          </w:p>
        </w:tc>
      </w:tr>
      <w:tr w:rsidR="00AF1CE6" w:rsidRPr="00AF1CE6" w14:paraId="641ED871" w14:textId="77777777" w:rsidTr="00AF1CE6">
        <w:trPr>
          <w:trHeight w:val="197"/>
        </w:trPr>
        <w:tc>
          <w:tcPr>
            <w:cnfStyle w:val="000010000000" w:firstRow="0" w:lastRow="0" w:firstColumn="0" w:lastColumn="0" w:oddVBand="1" w:evenVBand="0" w:oddHBand="0" w:evenHBand="0" w:firstRowFirstColumn="0" w:firstRowLastColumn="0" w:lastRowFirstColumn="0" w:lastRowLastColumn="0"/>
            <w:tcW w:w="3443" w:type="dxa"/>
          </w:tcPr>
          <w:p w14:paraId="66F0AC8B"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Religious vilification</w:t>
            </w:r>
          </w:p>
        </w:tc>
        <w:tc>
          <w:tcPr>
            <w:tcW w:w="923" w:type="dxa"/>
          </w:tcPr>
          <w:p w14:paraId="3A18398C"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10</w:t>
            </w:r>
          </w:p>
        </w:tc>
        <w:tc>
          <w:tcPr>
            <w:cnfStyle w:val="000010000000" w:firstRow="0" w:lastRow="0" w:firstColumn="0" w:lastColumn="0" w:oddVBand="1" w:evenVBand="0" w:oddHBand="0" w:evenHBand="0" w:firstRowFirstColumn="0" w:firstRowLastColumn="0" w:lastRowFirstColumn="0" w:lastRowLastColumn="0"/>
            <w:tcW w:w="924" w:type="dxa"/>
          </w:tcPr>
          <w:p w14:paraId="4E647CA9"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37</w:t>
            </w:r>
          </w:p>
        </w:tc>
        <w:tc>
          <w:tcPr>
            <w:tcW w:w="923" w:type="dxa"/>
          </w:tcPr>
          <w:p w14:paraId="000F4035"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4</w:t>
            </w:r>
          </w:p>
        </w:tc>
      </w:tr>
      <w:tr w:rsidR="00AF1CE6" w:rsidRPr="00AF1CE6" w14:paraId="26C73260" w14:textId="77777777" w:rsidTr="00AF1CE6">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3443" w:type="dxa"/>
          </w:tcPr>
          <w:p w14:paraId="0E6240D2"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Victimisation</w:t>
            </w:r>
          </w:p>
        </w:tc>
        <w:tc>
          <w:tcPr>
            <w:tcW w:w="923" w:type="dxa"/>
          </w:tcPr>
          <w:p w14:paraId="6A5D6A44"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924" w:type="dxa"/>
          </w:tcPr>
          <w:p w14:paraId="1CC29277"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AF1CE6">
              <w:rPr>
                <w:rFonts w:ascii="Arial" w:hAnsi="Arial" w:cs="Arial"/>
                <w:color w:val="000000"/>
                <w:sz w:val="20"/>
                <w:szCs w:val="20"/>
                <w:lang w:eastAsia="en-US"/>
              </w:rPr>
              <w:t>4</w:t>
            </w:r>
          </w:p>
        </w:tc>
        <w:tc>
          <w:tcPr>
            <w:tcW w:w="923" w:type="dxa"/>
          </w:tcPr>
          <w:p w14:paraId="6F7997F3"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AF1CE6">
              <w:rPr>
                <w:rFonts w:ascii="Arial" w:hAnsi="Arial" w:cs="Arial"/>
                <w:color w:val="000000"/>
                <w:sz w:val="20"/>
                <w:szCs w:val="20"/>
                <w:lang w:eastAsia="en-US"/>
              </w:rPr>
              <w:t>0</w:t>
            </w:r>
          </w:p>
        </w:tc>
      </w:tr>
      <w:tr w:rsidR="00AF1CE6" w:rsidRPr="00AF1CE6" w14:paraId="719AF6BB" w14:textId="77777777" w:rsidTr="00AF1CE6">
        <w:trPr>
          <w:trHeight w:val="197"/>
        </w:trPr>
        <w:tc>
          <w:tcPr>
            <w:cnfStyle w:val="000010000000" w:firstRow="0" w:lastRow="0" w:firstColumn="0" w:lastColumn="0" w:oddVBand="1" w:evenVBand="0" w:oddHBand="0" w:evenHBand="0" w:firstRowFirstColumn="0" w:firstRowLastColumn="0" w:lastRowFirstColumn="0" w:lastRowLastColumn="0"/>
            <w:tcW w:w="3443" w:type="dxa"/>
          </w:tcPr>
          <w:p w14:paraId="42E45255" w14:textId="77777777" w:rsidR="0077375F" w:rsidRPr="00AF1CE6" w:rsidRDefault="0077375F" w:rsidP="0077375F">
            <w:pPr>
              <w:widowControl w:val="0"/>
              <w:suppressAutoHyphens/>
              <w:autoSpaceDE w:val="0"/>
              <w:autoSpaceDN w:val="0"/>
              <w:adjustRightInd w:val="0"/>
              <w:spacing w:after="113" w:line="250" w:lineRule="atLeast"/>
              <w:textAlignment w:val="center"/>
              <w:rPr>
                <w:rFonts w:ascii="Arial" w:hAnsi="Arial" w:cs="Arial"/>
                <w:b/>
                <w:color w:val="000000"/>
                <w:sz w:val="21"/>
                <w:szCs w:val="21"/>
                <w:lang w:val="en-GB" w:eastAsia="en-US"/>
              </w:rPr>
            </w:pPr>
            <w:r w:rsidRPr="00AF1CE6">
              <w:rPr>
                <w:rFonts w:ascii="Arial" w:hAnsi="Arial" w:cs="Arial"/>
                <w:b/>
                <w:color w:val="000000"/>
                <w:sz w:val="20"/>
                <w:szCs w:val="20"/>
                <w:lang w:eastAsia="en-US"/>
              </w:rPr>
              <w:t>Total</w:t>
            </w:r>
          </w:p>
        </w:tc>
        <w:tc>
          <w:tcPr>
            <w:tcW w:w="923" w:type="dxa"/>
          </w:tcPr>
          <w:p w14:paraId="4C376F54"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1"/>
                <w:szCs w:val="21"/>
                <w:lang w:val="en-GB" w:eastAsia="en-US"/>
              </w:rPr>
            </w:pPr>
            <w:r w:rsidRPr="00AF1CE6">
              <w:rPr>
                <w:rFonts w:ascii="Arial" w:hAnsi="Arial" w:cs="Arial"/>
                <w:b/>
                <w:color w:val="000000"/>
                <w:sz w:val="20"/>
                <w:szCs w:val="20"/>
                <w:lang w:eastAsia="en-US"/>
              </w:rPr>
              <w:t>25</w:t>
            </w:r>
          </w:p>
        </w:tc>
        <w:tc>
          <w:tcPr>
            <w:cnfStyle w:val="000010000000" w:firstRow="0" w:lastRow="0" w:firstColumn="0" w:lastColumn="0" w:oddVBand="1" w:evenVBand="0" w:oddHBand="0" w:evenHBand="0" w:firstRowFirstColumn="0" w:firstRowLastColumn="0" w:lastRowFirstColumn="0" w:lastRowLastColumn="0"/>
            <w:tcW w:w="924" w:type="dxa"/>
          </w:tcPr>
          <w:p w14:paraId="05B6CB4D"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sz w:val="21"/>
                <w:szCs w:val="21"/>
                <w:lang w:val="en-GB" w:eastAsia="en-US"/>
              </w:rPr>
            </w:pPr>
            <w:r w:rsidRPr="00AF1CE6">
              <w:rPr>
                <w:rFonts w:ascii="Arial" w:hAnsi="Arial" w:cs="Arial"/>
                <w:b/>
                <w:color w:val="000000"/>
                <w:sz w:val="20"/>
                <w:szCs w:val="20"/>
                <w:lang w:eastAsia="en-US"/>
              </w:rPr>
              <w:t>106</w:t>
            </w:r>
          </w:p>
        </w:tc>
        <w:tc>
          <w:tcPr>
            <w:tcW w:w="923" w:type="dxa"/>
          </w:tcPr>
          <w:p w14:paraId="50A1FE05" w14:textId="77777777" w:rsidR="0077375F" w:rsidRPr="00AF1CE6"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1"/>
                <w:szCs w:val="21"/>
                <w:lang w:val="en-GB" w:eastAsia="en-US"/>
              </w:rPr>
            </w:pPr>
            <w:r w:rsidRPr="00AF1CE6">
              <w:rPr>
                <w:rFonts w:ascii="Arial" w:hAnsi="Arial" w:cs="Arial"/>
                <w:b/>
                <w:color w:val="000000"/>
                <w:sz w:val="20"/>
                <w:szCs w:val="20"/>
                <w:lang w:eastAsia="en-US"/>
              </w:rPr>
              <w:t>13</w:t>
            </w:r>
          </w:p>
        </w:tc>
      </w:tr>
    </w:tbl>
    <w:p w14:paraId="204E1649" w14:textId="77777777" w:rsidR="0077375F" w:rsidRDefault="0077375F" w:rsidP="0077375F">
      <w:pPr>
        <w:pStyle w:val="VEOHRCHeading3"/>
        <w:rPr>
          <w:lang w:eastAsia="en-US"/>
        </w:rPr>
      </w:pPr>
    </w:p>
    <w:p w14:paraId="3C3D1813" w14:textId="77777777" w:rsidR="0077375F" w:rsidRPr="0077375F" w:rsidRDefault="0077375F" w:rsidP="00AF1CE6">
      <w:pPr>
        <w:pStyle w:val="VEOHRCHeading3"/>
        <w:rPr>
          <w:lang w:eastAsia="en-US"/>
        </w:rPr>
      </w:pPr>
      <w:r w:rsidRPr="0077375F">
        <w:rPr>
          <w:lang w:eastAsia="en-US"/>
        </w:rPr>
        <w:t>Complaints finalised </w:t>
      </w:r>
    </w:p>
    <w:p w14:paraId="0ED1704A" w14:textId="277D9D94" w:rsidR="0077375F" w:rsidRPr="0077375F" w:rsidRDefault="0077375F" w:rsidP="0077375F">
      <w:pPr>
        <w:pStyle w:val="VEOHRCBodytext"/>
        <w:rPr>
          <w:lang w:eastAsia="en-US"/>
        </w:rPr>
      </w:pPr>
      <w:r w:rsidRPr="0077375F">
        <w:rPr>
          <w:lang w:eastAsia="en-US"/>
        </w:rPr>
        <w:t>The Commission finalised 1096 complaint files</w:t>
      </w:r>
      <w:r w:rsidR="001B0C5C">
        <w:rPr>
          <w:lang w:eastAsia="en-US"/>
        </w:rPr>
        <w:t xml:space="preserve"> </w:t>
      </w:r>
      <w:r w:rsidRPr="0077375F">
        <w:rPr>
          <w:lang w:eastAsia="en-US"/>
        </w:rPr>
        <w:t xml:space="preserve">in 2015/16. </w:t>
      </w:r>
    </w:p>
    <w:p w14:paraId="13CD8321" w14:textId="77777777" w:rsidR="0077375F" w:rsidRPr="0077375F" w:rsidRDefault="0077375F" w:rsidP="0077375F">
      <w:pPr>
        <w:pStyle w:val="VEOHRCBodytext"/>
        <w:rPr>
          <w:lang w:eastAsia="en-US"/>
        </w:rPr>
      </w:pPr>
      <w:r w:rsidRPr="0077375F">
        <w:rPr>
          <w:lang w:eastAsia="en-US"/>
        </w:rPr>
        <w:t xml:space="preserve">The Commission finalised 80 per cent of complaint files within six months of receipt. Of all complaint files finalised 42.5 per cent were resolved. Finalised files also consist of those withdrawn by the complainant or respondent and where dispute resolution was not offered. Where conciliation was attempted 70 per cent of files were resolved. </w:t>
      </w:r>
      <w:proofErr w:type="gramStart"/>
      <w:r w:rsidRPr="0077375F">
        <w:rPr>
          <w:lang w:eastAsia="en-US"/>
        </w:rPr>
        <w:t>A customer satisfaction rating of 87 per cent was achieved by the Dispute Resolution Unit</w:t>
      </w:r>
      <w:proofErr w:type="gramEnd"/>
      <w:r w:rsidRPr="0077375F">
        <w:rPr>
          <w:lang w:eastAsia="en-US"/>
        </w:rPr>
        <w:t xml:space="preserve">. </w:t>
      </w:r>
    </w:p>
    <w:p w14:paraId="4E2C3DF6" w14:textId="77777777" w:rsidR="0077375F" w:rsidRPr="0077375F" w:rsidRDefault="0077375F" w:rsidP="0077375F">
      <w:pPr>
        <w:pStyle w:val="VEOHRCHeading2"/>
        <w:rPr>
          <w:lang w:eastAsia="en-US"/>
        </w:rPr>
      </w:pPr>
      <w:r w:rsidRPr="0077375F">
        <w:rPr>
          <w:lang w:eastAsia="en-US"/>
        </w:rPr>
        <w:lastRenderedPageBreak/>
        <w:t>Complainant demographics</w:t>
      </w:r>
    </w:p>
    <w:p w14:paraId="1251F052" w14:textId="77777777" w:rsidR="0077375F" w:rsidRPr="0077375F" w:rsidRDefault="0077375F" w:rsidP="0077375F">
      <w:pPr>
        <w:pStyle w:val="VEOHRCBodytext"/>
        <w:rPr>
          <w:lang w:eastAsia="en-US"/>
        </w:rPr>
      </w:pPr>
      <w:r w:rsidRPr="0077375F">
        <w:rPr>
          <w:lang w:eastAsia="en-US"/>
        </w:rPr>
        <w:t>Complaints by individual complainants (two or more people may jointly bring a dispute to the Commission for dispute resolution) under the Equal Opportunity Act (EOA) and Racial and Religious Tolerance Act (RRTA).</w:t>
      </w:r>
    </w:p>
    <w:p w14:paraId="6C7D271E" w14:textId="77777777" w:rsidR="0077375F" w:rsidRPr="0077375F" w:rsidRDefault="0077375F" w:rsidP="0077375F">
      <w:pPr>
        <w:pStyle w:val="VEOHRCHeading3"/>
        <w:rPr>
          <w:lang w:eastAsia="en-US"/>
        </w:rPr>
      </w:pPr>
      <w:r w:rsidRPr="0077375F">
        <w:rPr>
          <w:lang w:eastAsia="en-US"/>
        </w:rPr>
        <w:t xml:space="preserve">Complainant demographics by Act </w:t>
      </w:r>
    </w:p>
    <w:tbl>
      <w:tblPr>
        <w:tblStyle w:val="LightList"/>
        <w:tblW w:w="0" w:type="auto"/>
        <w:tblLayout w:type="fixed"/>
        <w:tblLook w:val="0000" w:firstRow="0" w:lastRow="0" w:firstColumn="0" w:lastColumn="0" w:noHBand="0" w:noVBand="0"/>
      </w:tblPr>
      <w:tblGrid>
        <w:gridCol w:w="1710"/>
        <w:gridCol w:w="960"/>
        <w:gridCol w:w="960"/>
        <w:gridCol w:w="960"/>
      </w:tblGrid>
      <w:tr w:rsidR="0077375F" w:rsidRPr="00CD4C53" w14:paraId="11F35EA2" w14:textId="77777777" w:rsidTr="00821C20">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710" w:type="dxa"/>
          </w:tcPr>
          <w:p w14:paraId="1852A5FC"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b/>
                <w:color w:val="000000"/>
                <w:sz w:val="21"/>
                <w:szCs w:val="21"/>
                <w:lang w:val="en-GB" w:eastAsia="en-US"/>
              </w:rPr>
            </w:pPr>
            <w:r w:rsidRPr="00CD4C53">
              <w:rPr>
                <w:rFonts w:ascii="Arial" w:hAnsi="Arial" w:cs="Arial"/>
                <w:b/>
                <w:color w:val="000000"/>
                <w:sz w:val="20"/>
                <w:szCs w:val="20"/>
                <w:lang w:eastAsia="en-US"/>
              </w:rPr>
              <w:t>Complainant</w:t>
            </w:r>
          </w:p>
        </w:tc>
        <w:tc>
          <w:tcPr>
            <w:tcW w:w="960" w:type="dxa"/>
          </w:tcPr>
          <w:p w14:paraId="35B6603B"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CD4C53">
              <w:rPr>
                <w:rFonts w:ascii="Arial" w:hAnsi="Arial" w:cs="Arial"/>
                <w:b/>
                <w:color w:val="000000"/>
                <w:sz w:val="20"/>
                <w:szCs w:val="20"/>
                <w:lang w:eastAsia="en-US"/>
              </w:rPr>
              <w:t>EOA</w:t>
            </w:r>
          </w:p>
        </w:tc>
        <w:tc>
          <w:tcPr>
            <w:cnfStyle w:val="000010000000" w:firstRow="0" w:lastRow="0" w:firstColumn="0" w:lastColumn="0" w:oddVBand="1" w:evenVBand="0" w:oddHBand="0" w:evenHBand="0" w:firstRowFirstColumn="0" w:firstRowLastColumn="0" w:lastRowFirstColumn="0" w:lastRowLastColumn="0"/>
            <w:tcW w:w="960" w:type="dxa"/>
          </w:tcPr>
          <w:p w14:paraId="30968D4D"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sz w:val="21"/>
                <w:szCs w:val="21"/>
                <w:lang w:val="en-GB" w:eastAsia="en-US"/>
              </w:rPr>
            </w:pPr>
            <w:r w:rsidRPr="00CD4C53">
              <w:rPr>
                <w:rFonts w:ascii="Arial" w:hAnsi="Arial" w:cs="Arial"/>
                <w:b/>
                <w:color w:val="000000"/>
                <w:sz w:val="20"/>
                <w:szCs w:val="20"/>
                <w:lang w:eastAsia="en-US"/>
              </w:rPr>
              <w:t>RRTA</w:t>
            </w:r>
          </w:p>
        </w:tc>
        <w:tc>
          <w:tcPr>
            <w:tcW w:w="960" w:type="dxa"/>
          </w:tcPr>
          <w:p w14:paraId="1AB7A2F5"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CD4C53">
              <w:rPr>
                <w:rFonts w:ascii="Arial" w:hAnsi="Arial" w:cs="Arial"/>
                <w:b/>
                <w:color w:val="000000"/>
                <w:sz w:val="20"/>
                <w:szCs w:val="20"/>
                <w:lang w:eastAsia="en-US"/>
              </w:rPr>
              <w:t>Total</w:t>
            </w:r>
          </w:p>
        </w:tc>
      </w:tr>
      <w:tr w:rsidR="0077375F" w:rsidRPr="00CD4C53" w14:paraId="1BDFE53A" w14:textId="77777777" w:rsidTr="00821C20">
        <w:trPr>
          <w:trHeight w:val="285"/>
        </w:trPr>
        <w:tc>
          <w:tcPr>
            <w:cnfStyle w:val="000010000000" w:firstRow="0" w:lastRow="0" w:firstColumn="0" w:lastColumn="0" w:oddVBand="1" w:evenVBand="0" w:oddHBand="0" w:evenHBand="0" w:firstRowFirstColumn="0" w:firstRowLastColumn="0" w:lastRowFirstColumn="0" w:lastRowLastColumn="0"/>
            <w:tcW w:w="1710" w:type="dxa"/>
          </w:tcPr>
          <w:p w14:paraId="40822739"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CD4C53">
              <w:rPr>
                <w:rFonts w:ascii="Arial" w:hAnsi="Arial" w:cs="Arial"/>
                <w:color w:val="000000"/>
                <w:sz w:val="20"/>
                <w:szCs w:val="20"/>
                <w:lang w:eastAsia="en-US"/>
              </w:rPr>
              <w:t>Female</w:t>
            </w:r>
          </w:p>
        </w:tc>
        <w:tc>
          <w:tcPr>
            <w:tcW w:w="960" w:type="dxa"/>
          </w:tcPr>
          <w:p w14:paraId="5C277C4A"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462</w:t>
            </w:r>
          </w:p>
        </w:tc>
        <w:tc>
          <w:tcPr>
            <w:cnfStyle w:val="000010000000" w:firstRow="0" w:lastRow="0" w:firstColumn="0" w:lastColumn="0" w:oddVBand="1" w:evenVBand="0" w:oddHBand="0" w:evenHBand="0" w:firstRowFirstColumn="0" w:firstRowLastColumn="0" w:lastRowFirstColumn="0" w:lastRowLastColumn="0"/>
            <w:tcW w:w="960" w:type="dxa"/>
          </w:tcPr>
          <w:p w14:paraId="71D800C4"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CD4C53">
              <w:rPr>
                <w:rFonts w:ascii="Arial" w:hAnsi="Arial" w:cs="Arial"/>
                <w:color w:val="000000"/>
                <w:sz w:val="20"/>
                <w:szCs w:val="20"/>
                <w:lang w:eastAsia="en-US"/>
              </w:rPr>
              <w:t>4</w:t>
            </w:r>
          </w:p>
        </w:tc>
        <w:tc>
          <w:tcPr>
            <w:tcW w:w="960" w:type="dxa"/>
          </w:tcPr>
          <w:p w14:paraId="06A24FE6"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466</w:t>
            </w:r>
          </w:p>
        </w:tc>
      </w:tr>
      <w:tr w:rsidR="0077375F" w:rsidRPr="00CD4C53" w14:paraId="18B9E353" w14:textId="77777777" w:rsidTr="00821C20">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710" w:type="dxa"/>
          </w:tcPr>
          <w:p w14:paraId="77699E29"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CD4C53">
              <w:rPr>
                <w:rFonts w:ascii="Arial" w:hAnsi="Arial" w:cs="Arial"/>
                <w:color w:val="000000"/>
                <w:sz w:val="20"/>
                <w:szCs w:val="20"/>
                <w:lang w:eastAsia="en-US"/>
              </w:rPr>
              <w:t>Intersex</w:t>
            </w:r>
          </w:p>
        </w:tc>
        <w:tc>
          <w:tcPr>
            <w:tcW w:w="960" w:type="dxa"/>
          </w:tcPr>
          <w:p w14:paraId="29E57EA9"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960" w:type="dxa"/>
          </w:tcPr>
          <w:p w14:paraId="6438E54C"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CD4C53">
              <w:rPr>
                <w:rFonts w:ascii="Arial" w:hAnsi="Arial" w:cs="Arial"/>
                <w:color w:val="000000"/>
                <w:sz w:val="20"/>
                <w:szCs w:val="20"/>
                <w:rtl/>
                <w:lang w:val="en-GB" w:eastAsia="en-US" w:bidi="ar-YE"/>
              </w:rPr>
              <w:t> </w:t>
            </w:r>
          </w:p>
        </w:tc>
        <w:tc>
          <w:tcPr>
            <w:tcW w:w="960" w:type="dxa"/>
          </w:tcPr>
          <w:p w14:paraId="75C16E85"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1</w:t>
            </w:r>
          </w:p>
        </w:tc>
      </w:tr>
      <w:tr w:rsidR="0077375F" w:rsidRPr="00CD4C53" w14:paraId="5CE8D900" w14:textId="77777777" w:rsidTr="00821C20">
        <w:trPr>
          <w:trHeight w:val="285"/>
        </w:trPr>
        <w:tc>
          <w:tcPr>
            <w:cnfStyle w:val="000010000000" w:firstRow="0" w:lastRow="0" w:firstColumn="0" w:lastColumn="0" w:oddVBand="1" w:evenVBand="0" w:oddHBand="0" w:evenHBand="0" w:firstRowFirstColumn="0" w:firstRowLastColumn="0" w:lastRowFirstColumn="0" w:lastRowLastColumn="0"/>
            <w:tcW w:w="1710" w:type="dxa"/>
          </w:tcPr>
          <w:p w14:paraId="2E529622"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1"/>
                <w:szCs w:val="21"/>
                <w:lang w:val="en-GB" w:eastAsia="en-US"/>
              </w:rPr>
            </w:pPr>
            <w:r w:rsidRPr="00CD4C53">
              <w:rPr>
                <w:rFonts w:ascii="Arial" w:hAnsi="Arial" w:cs="Arial"/>
                <w:color w:val="000000"/>
                <w:sz w:val="20"/>
                <w:szCs w:val="20"/>
                <w:lang w:eastAsia="en-US"/>
              </w:rPr>
              <w:t>Male</w:t>
            </w:r>
          </w:p>
        </w:tc>
        <w:tc>
          <w:tcPr>
            <w:tcW w:w="960" w:type="dxa"/>
          </w:tcPr>
          <w:p w14:paraId="31566BEC"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396</w:t>
            </w:r>
          </w:p>
        </w:tc>
        <w:tc>
          <w:tcPr>
            <w:cnfStyle w:val="000010000000" w:firstRow="0" w:lastRow="0" w:firstColumn="0" w:lastColumn="0" w:oddVBand="1" w:evenVBand="0" w:oddHBand="0" w:evenHBand="0" w:firstRowFirstColumn="0" w:firstRowLastColumn="0" w:lastRowFirstColumn="0" w:lastRowLastColumn="0"/>
            <w:tcW w:w="960" w:type="dxa"/>
          </w:tcPr>
          <w:p w14:paraId="5B7700D8"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sz w:val="21"/>
                <w:szCs w:val="21"/>
                <w:lang w:val="en-GB" w:eastAsia="en-US"/>
              </w:rPr>
            </w:pPr>
            <w:r w:rsidRPr="00CD4C53">
              <w:rPr>
                <w:rFonts w:ascii="Arial" w:hAnsi="Arial" w:cs="Arial"/>
                <w:color w:val="000000"/>
                <w:sz w:val="20"/>
                <w:szCs w:val="20"/>
                <w:lang w:eastAsia="en-US"/>
              </w:rPr>
              <w:t>4</w:t>
            </w:r>
          </w:p>
        </w:tc>
        <w:tc>
          <w:tcPr>
            <w:tcW w:w="960" w:type="dxa"/>
          </w:tcPr>
          <w:p w14:paraId="7F683C93"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lang w:val="en-GB" w:eastAsia="en-US"/>
              </w:rPr>
            </w:pPr>
            <w:r w:rsidRPr="00CD4C53">
              <w:rPr>
                <w:rFonts w:ascii="Arial" w:hAnsi="Arial" w:cs="Arial"/>
                <w:color w:val="000000"/>
                <w:sz w:val="20"/>
                <w:szCs w:val="20"/>
                <w:lang w:eastAsia="en-US"/>
              </w:rPr>
              <w:t>400</w:t>
            </w:r>
          </w:p>
        </w:tc>
      </w:tr>
      <w:tr w:rsidR="0077375F" w:rsidRPr="00CD4C53" w14:paraId="4A982BEA" w14:textId="77777777" w:rsidTr="00821C20">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710" w:type="dxa"/>
          </w:tcPr>
          <w:p w14:paraId="6BD9A9BE"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b/>
                <w:color w:val="000000"/>
                <w:sz w:val="21"/>
                <w:szCs w:val="21"/>
                <w:lang w:val="en-GB" w:eastAsia="en-US"/>
              </w:rPr>
            </w:pPr>
            <w:r w:rsidRPr="00CD4C53">
              <w:rPr>
                <w:rFonts w:ascii="Arial" w:hAnsi="Arial" w:cs="Arial"/>
                <w:b/>
                <w:color w:val="000000"/>
                <w:sz w:val="20"/>
                <w:szCs w:val="20"/>
                <w:lang w:eastAsia="en-US"/>
              </w:rPr>
              <w:t>Total</w:t>
            </w:r>
          </w:p>
        </w:tc>
        <w:tc>
          <w:tcPr>
            <w:tcW w:w="960" w:type="dxa"/>
          </w:tcPr>
          <w:p w14:paraId="1851C893"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CD4C53">
              <w:rPr>
                <w:rFonts w:ascii="Arial" w:hAnsi="Arial" w:cs="Arial"/>
                <w:b/>
                <w:color w:val="000000"/>
                <w:sz w:val="20"/>
                <w:szCs w:val="20"/>
                <w:lang w:eastAsia="en-US"/>
              </w:rPr>
              <w:t>860</w:t>
            </w:r>
          </w:p>
        </w:tc>
        <w:tc>
          <w:tcPr>
            <w:cnfStyle w:val="000010000000" w:firstRow="0" w:lastRow="0" w:firstColumn="0" w:lastColumn="0" w:oddVBand="1" w:evenVBand="0" w:oddHBand="0" w:evenHBand="0" w:firstRowFirstColumn="0" w:firstRowLastColumn="0" w:lastRowFirstColumn="0" w:lastRowLastColumn="0"/>
            <w:tcW w:w="960" w:type="dxa"/>
          </w:tcPr>
          <w:p w14:paraId="14886E45"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sz w:val="21"/>
                <w:szCs w:val="21"/>
                <w:lang w:val="en-GB" w:eastAsia="en-US"/>
              </w:rPr>
            </w:pPr>
            <w:r w:rsidRPr="00CD4C53">
              <w:rPr>
                <w:rFonts w:ascii="Arial" w:hAnsi="Arial" w:cs="Arial"/>
                <w:b/>
                <w:color w:val="000000"/>
                <w:sz w:val="20"/>
                <w:szCs w:val="20"/>
                <w:lang w:eastAsia="en-US"/>
              </w:rPr>
              <w:t>8</w:t>
            </w:r>
          </w:p>
        </w:tc>
        <w:tc>
          <w:tcPr>
            <w:tcW w:w="960" w:type="dxa"/>
          </w:tcPr>
          <w:p w14:paraId="50FB0FC0" w14:textId="77777777" w:rsidR="0077375F" w:rsidRPr="00CD4C53"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en-GB" w:eastAsia="en-US"/>
              </w:rPr>
            </w:pPr>
            <w:r w:rsidRPr="00CD4C53">
              <w:rPr>
                <w:rFonts w:ascii="Arial" w:hAnsi="Arial" w:cs="Arial"/>
                <w:b/>
                <w:color w:val="000000"/>
                <w:sz w:val="20"/>
                <w:szCs w:val="20"/>
                <w:lang w:eastAsia="en-US"/>
              </w:rPr>
              <w:t>867</w:t>
            </w:r>
          </w:p>
        </w:tc>
      </w:tr>
    </w:tbl>
    <w:p w14:paraId="17956F7B" w14:textId="77777777" w:rsidR="0077375F" w:rsidRPr="0077375F" w:rsidRDefault="0077375F" w:rsidP="0077375F">
      <w:pPr>
        <w:pStyle w:val="VEOHRCHeading3"/>
        <w:rPr>
          <w:lang w:eastAsia="en-US"/>
        </w:rPr>
      </w:pPr>
      <w:r w:rsidRPr="0077375F">
        <w:rPr>
          <w:lang w:eastAsia="en-US"/>
        </w:rPr>
        <w:t xml:space="preserve">Complaints by gender, Act and attribute 2015/16 </w:t>
      </w:r>
    </w:p>
    <w:tbl>
      <w:tblPr>
        <w:tblStyle w:val="LightList"/>
        <w:tblW w:w="9740" w:type="dxa"/>
        <w:tblLayout w:type="fixed"/>
        <w:tblLook w:val="0000" w:firstRow="0" w:lastRow="0" w:firstColumn="0" w:lastColumn="0" w:noHBand="0" w:noVBand="0"/>
      </w:tblPr>
      <w:tblGrid>
        <w:gridCol w:w="817"/>
        <w:gridCol w:w="3827"/>
        <w:gridCol w:w="1196"/>
        <w:gridCol w:w="960"/>
        <w:gridCol w:w="1105"/>
        <w:gridCol w:w="875"/>
        <w:gridCol w:w="960"/>
      </w:tblGrid>
      <w:tr w:rsidR="0077375F" w:rsidRPr="0038278D" w14:paraId="0CD94FCE" w14:textId="77777777" w:rsidTr="0038278D">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817" w:type="dxa"/>
          </w:tcPr>
          <w:p w14:paraId="5AE27515"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Act</w:t>
            </w:r>
          </w:p>
        </w:tc>
        <w:tc>
          <w:tcPr>
            <w:tcW w:w="3827" w:type="dxa"/>
          </w:tcPr>
          <w:p w14:paraId="3CB297B2"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Attribute</w:t>
            </w:r>
          </w:p>
        </w:tc>
        <w:tc>
          <w:tcPr>
            <w:cnfStyle w:val="000010000000" w:firstRow="0" w:lastRow="0" w:firstColumn="0" w:lastColumn="0" w:oddVBand="1" w:evenVBand="0" w:oddHBand="0" w:evenHBand="0" w:firstRowFirstColumn="0" w:firstRowLastColumn="0" w:lastRowFirstColumn="0" w:lastRowLastColumn="0"/>
            <w:tcW w:w="1196" w:type="dxa"/>
          </w:tcPr>
          <w:p w14:paraId="2A72652D"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Female</w:t>
            </w:r>
          </w:p>
        </w:tc>
        <w:tc>
          <w:tcPr>
            <w:tcW w:w="960" w:type="dxa"/>
          </w:tcPr>
          <w:p w14:paraId="01A03D34"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Female, Male*</w:t>
            </w:r>
          </w:p>
        </w:tc>
        <w:tc>
          <w:tcPr>
            <w:cnfStyle w:val="000010000000" w:firstRow="0" w:lastRow="0" w:firstColumn="0" w:lastColumn="0" w:oddVBand="1" w:evenVBand="0" w:oddHBand="0" w:evenHBand="0" w:firstRowFirstColumn="0" w:firstRowLastColumn="0" w:lastRowFirstColumn="0" w:lastRowLastColumn="0"/>
            <w:tcW w:w="1105" w:type="dxa"/>
          </w:tcPr>
          <w:p w14:paraId="7B589CCC"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Intersex</w:t>
            </w:r>
          </w:p>
        </w:tc>
        <w:tc>
          <w:tcPr>
            <w:tcW w:w="875" w:type="dxa"/>
          </w:tcPr>
          <w:p w14:paraId="1184450F"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Male</w:t>
            </w:r>
          </w:p>
        </w:tc>
        <w:tc>
          <w:tcPr>
            <w:cnfStyle w:val="000010000000" w:firstRow="0" w:lastRow="0" w:firstColumn="0" w:lastColumn="0" w:oddVBand="1" w:evenVBand="0" w:oddHBand="0" w:evenHBand="0" w:firstRowFirstColumn="0" w:firstRowLastColumn="0" w:lastRowFirstColumn="0" w:lastRowLastColumn="0"/>
            <w:tcW w:w="960" w:type="dxa"/>
          </w:tcPr>
          <w:p w14:paraId="1A5A14B6"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No.</w:t>
            </w:r>
          </w:p>
        </w:tc>
      </w:tr>
      <w:tr w:rsidR="0077375F" w:rsidRPr="0038278D" w14:paraId="40A8E1E4"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val="restart"/>
            <w:textDirection w:val="btLr"/>
          </w:tcPr>
          <w:p w14:paraId="07D74278"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Equal Opportunity Act</w:t>
            </w:r>
          </w:p>
        </w:tc>
        <w:tc>
          <w:tcPr>
            <w:tcW w:w="3827" w:type="dxa"/>
          </w:tcPr>
          <w:p w14:paraId="681DA4A6"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Age</w:t>
            </w:r>
          </w:p>
        </w:tc>
        <w:tc>
          <w:tcPr>
            <w:cnfStyle w:val="000010000000" w:firstRow="0" w:lastRow="0" w:firstColumn="0" w:lastColumn="0" w:oddVBand="1" w:evenVBand="0" w:oddHBand="0" w:evenHBand="0" w:firstRowFirstColumn="0" w:firstRowLastColumn="0" w:lastRowFirstColumn="0" w:lastRowLastColumn="0"/>
            <w:tcW w:w="1196" w:type="dxa"/>
          </w:tcPr>
          <w:p w14:paraId="544250D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68</w:t>
            </w:r>
          </w:p>
        </w:tc>
        <w:tc>
          <w:tcPr>
            <w:tcW w:w="960" w:type="dxa"/>
          </w:tcPr>
          <w:p w14:paraId="0F242E76"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7A171CFC"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63BFF19F"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55</w:t>
            </w:r>
          </w:p>
        </w:tc>
        <w:tc>
          <w:tcPr>
            <w:cnfStyle w:val="000010000000" w:firstRow="0" w:lastRow="0" w:firstColumn="0" w:lastColumn="0" w:oddVBand="1" w:evenVBand="0" w:oddHBand="0" w:evenHBand="0" w:firstRowFirstColumn="0" w:firstRowLastColumn="0" w:lastRowFirstColumn="0" w:lastRowLastColumn="0"/>
            <w:tcW w:w="960" w:type="dxa"/>
          </w:tcPr>
          <w:p w14:paraId="55A54730"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123</w:t>
            </w:r>
          </w:p>
        </w:tc>
      </w:tr>
      <w:tr w:rsidR="0077375F" w:rsidRPr="0038278D" w14:paraId="59D29C09"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29EEBF6C"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473252A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Authorising and assisting</w:t>
            </w:r>
          </w:p>
        </w:tc>
        <w:tc>
          <w:tcPr>
            <w:cnfStyle w:val="000010000000" w:firstRow="0" w:lastRow="0" w:firstColumn="0" w:lastColumn="0" w:oddVBand="1" w:evenVBand="0" w:oddHBand="0" w:evenHBand="0" w:firstRowFirstColumn="0" w:firstRowLastColumn="0" w:lastRowFirstColumn="0" w:lastRowLastColumn="0"/>
            <w:tcW w:w="1196" w:type="dxa"/>
          </w:tcPr>
          <w:p w14:paraId="709A726A"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14</w:t>
            </w:r>
          </w:p>
        </w:tc>
        <w:tc>
          <w:tcPr>
            <w:tcW w:w="960" w:type="dxa"/>
          </w:tcPr>
          <w:p w14:paraId="702435DB"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3832FB62"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16E2BCF0"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w:t>
            </w:r>
          </w:p>
        </w:tc>
        <w:tc>
          <w:tcPr>
            <w:cnfStyle w:val="000010000000" w:firstRow="0" w:lastRow="0" w:firstColumn="0" w:lastColumn="0" w:oddVBand="1" w:evenVBand="0" w:oddHBand="0" w:evenHBand="0" w:firstRowFirstColumn="0" w:firstRowLastColumn="0" w:lastRowFirstColumn="0" w:lastRowLastColumn="0"/>
            <w:tcW w:w="960" w:type="dxa"/>
          </w:tcPr>
          <w:p w14:paraId="137710F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22</w:t>
            </w:r>
          </w:p>
        </w:tc>
      </w:tr>
      <w:tr w:rsidR="0077375F" w:rsidRPr="0038278D" w14:paraId="3DDC2AD4"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7FB8E9F8"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73F4D417"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Breastfeeding</w:t>
            </w:r>
          </w:p>
        </w:tc>
        <w:tc>
          <w:tcPr>
            <w:cnfStyle w:val="000010000000" w:firstRow="0" w:lastRow="0" w:firstColumn="0" w:lastColumn="0" w:oddVBand="1" w:evenVBand="0" w:oddHBand="0" w:evenHBand="0" w:firstRowFirstColumn="0" w:firstRowLastColumn="0" w:lastRowFirstColumn="0" w:lastRowLastColumn="0"/>
            <w:tcW w:w="1196" w:type="dxa"/>
          </w:tcPr>
          <w:p w14:paraId="1279601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w:t>
            </w:r>
          </w:p>
        </w:tc>
        <w:tc>
          <w:tcPr>
            <w:tcW w:w="960" w:type="dxa"/>
          </w:tcPr>
          <w:p w14:paraId="5567C47E"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08E9FED4"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13E1B175"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960" w:type="dxa"/>
          </w:tcPr>
          <w:p w14:paraId="54618FF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w:t>
            </w:r>
          </w:p>
        </w:tc>
      </w:tr>
      <w:tr w:rsidR="0077375F" w:rsidRPr="0038278D" w14:paraId="53F58772"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4263E0C8"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0CB3235D"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Carer status</w:t>
            </w:r>
          </w:p>
        </w:tc>
        <w:tc>
          <w:tcPr>
            <w:cnfStyle w:val="000010000000" w:firstRow="0" w:lastRow="0" w:firstColumn="0" w:lastColumn="0" w:oddVBand="1" w:evenVBand="0" w:oddHBand="0" w:evenHBand="0" w:firstRowFirstColumn="0" w:firstRowLastColumn="0" w:lastRowFirstColumn="0" w:lastRowLastColumn="0"/>
            <w:tcW w:w="1196" w:type="dxa"/>
          </w:tcPr>
          <w:p w14:paraId="4F605DEF"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67</w:t>
            </w:r>
          </w:p>
        </w:tc>
        <w:tc>
          <w:tcPr>
            <w:tcW w:w="960" w:type="dxa"/>
          </w:tcPr>
          <w:p w14:paraId="3F0067A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105" w:type="dxa"/>
          </w:tcPr>
          <w:p w14:paraId="0D962720"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tcW w:w="875" w:type="dxa"/>
          </w:tcPr>
          <w:p w14:paraId="5467B0D8"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24</w:t>
            </w:r>
          </w:p>
        </w:tc>
        <w:tc>
          <w:tcPr>
            <w:cnfStyle w:val="000010000000" w:firstRow="0" w:lastRow="0" w:firstColumn="0" w:lastColumn="0" w:oddVBand="1" w:evenVBand="0" w:oddHBand="0" w:evenHBand="0" w:firstRowFirstColumn="0" w:firstRowLastColumn="0" w:lastRowFirstColumn="0" w:lastRowLastColumn="0"/>
            <w:tcW w:w="960" w:type="dxa"/>
          </w:tcPr>
          <w:p w14:paraId="28F82D7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94</w:t>
            </w:r>
          </w:p>
        </w:tc>
      </w:tr>
      <w:tr w:rsidR="0077375F" w:rsidRPr="0038278D" w14:paraId="40D3D444"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0D5A105C"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53325B22"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Disability</w:t>
            </w:r>
          </w:p>
        </w:tc>
        <w:tc>
          <w:tcPr>
            <w:cnfStyle w:val="000010000000" w:firstRow="0" w:lastRow="0" w:firstColumn="0" w:lastColumn="0" w:oddVBand="1" w:evenVBand="0" w:oddHBand="0" w:evenHBand="0" w:firstRowFirstColumn="0" w:firstRowLastColumn="0" w:lastRowFirstColumn="0" w:lastRowLastColumn="0"/>
            <w:tcW w:w="1196" w:type="dxa"/>
          </w:tcPr>
          <w:p w14:paraId="4DDF0CA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291</w:t>
            </w:r>
          </w:p>
        </w:tc>
        <w:tc>
          <w:tcPr>
            <w:tcW w:w="960" w:type="dxa"/>
          </w:tcPr>
          <w:p w14:paraId="00F552B1"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5E71F29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tcW w:w="875" w:type="dxa"/>
          </w:tcPr>
          <w:p w14:paraId="5475789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252</w:t>
            </w:r>
          </w:p>
        </w:tc>
        <w:tc>
          <w:tcPr>
            <w:cnfStyle w:val="000010000000" w:firstRow="0" w:lastRow="0" w:firstColumn="0" w:lastColumn="0" w:oddVBand="1" w:evenVBand="0" w:oddHBand="0" w:evenHBand="0" w:firstRowFirstColumn="0" w:firstRowLastColumn="0" w:lastRowFirstColumn="0" w:lastRowLastColumn="0"/>
            <w:tcW w:w="960" w:type="dxa"/>
          </w:tcPr>
          <w:p w14:paraId="399FC19F"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544</w:t>
            </w:r>
          </w:p>
        </w:tc>
      </w:tr>
      <w:tr w:rsidR="0077375F" w:rsidRPr="0038278D" w14:paraId="4288EB32"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98316F0"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5513ADAF"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Discriminatory information request</w:t>
            </w:r>
          </w:p>
        </w:tc>
        <w:tc>
          <w:tcPr>
            <w:cnfStyle w:val="000010000000" w:firstRow="0" w:lastRow="0" w:firstColumn="0" w:lastColumn="0" w:oddVBand="1" w:evenVBand="0" w:oddHBand="0" w:evenHBand="0" w:firstRowFirstColumn="0" w:firstRowLastColumn="0" w:lastRowFirstColumn="0" w:lastRowLastColumn="0"/>
            <w:tcW w:w="1196" w:type="dxa"/>
          </w:tcPr>
          <w:p w14:paraId="6EFAEAC3"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c>
          <w:tcPr>
            <w:tcW w:w="960" w:type="dxa"/>
          </w:tcPr>
          <w:p w14:paraId="2B0D3307"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346B5482"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1495C536"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960" w:type="dxa"/>
          </w:tcPr>
          <w:p w14:paraId="50BB751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r>
      <w:tr w:rsidR="0077375F" w:rsidRPr="0038278D" w14:paraId="00155330"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9B3BB34"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F216BC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Employment activity</w:t>
            </w:r>
          </w:p>
        </w:tc>
        <w:tc>
          <w:tcPr>
            <w:cnfStyle w:val="000010000000" w:firstRow="0" w:lastRow="0" w:firstColumn="0" w:lastColumn="0" w:oddVBand="1" w:evenVBand="0" w:oddHBand="0" w:evenHBand="0" w:firstRowFirstColumn="0" w:firstRowLastColumn="0" w:lastRowFirstColumn="0" w:lastRowLastColumn="0"/>
            <w:tcW w:w="1196" w:type="dxa"/>
          </w:tcPr>
          <w:p w14:paraId="6031238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76</w:t>
            </w:r>
          </w:p>
        </w:tc>
        <w:tc>
          <w:tcPr>
            <w:tcW w:w="960" w:type="dxa"/>
          </w:tcPr>
          <w:p w14:paraId="582D21F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105" w:type="dxa"/>
          </w:tcPr>
          <w:p w14:paraId="567D3A2D"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1D2DBFB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36</w:t>
            </w:r>
          </w:p>
        </w:tc>
        <w:tc>
          <w:tcPr>
            <w:cnfStyle w:val="000010000000" w:firstRow="0" w:lastRow="0" w:firstColumn="0" w:lastColumn="0" w:oddVBand="1" w:evenVBand="0" w:oddHBand="0" w:evenHBand="0" w:firstRowFirstColumn="0" w:firstRowLastColumn="0" w:lastRowFirstColumn="0" w:lastRowLastColumn="0"/>
            <w:tcW w:w="960" w:type="dxa"/>
          </w:tcPr>
          <w:p w14:paraId="7F1FBFF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114</w:t>
            </w:r>
          </w:p>
        </w:tc>
      </w:tr>
      <w:tr w:rsidR="0077375F" w:rsidRPr="0038278D" w14:paraId="7B46A2BC"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4D24F8BB"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E6702C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Gender identity</w:t>
            </w:r>
          </w:p>
        </w:tc>
        <w:tc>
          <w:tcPr>
            <w:cnfStyle w:val="000010000000" w:firstRow="0" w:lastRow="0" w:firstColumn="0" w:lastColumn="0" w:oddVBand="1" w:evenVBand="0" w:oddHBand="0" w:evenHBand="0" w:firstRowFirstColumn="0" w:firstRowLastColumn="0" w:lastRowFirstColumn="0" w:lastRowLastColumn="0"/>
            <w:tcW w:w="1196" w:type="dxa"/>
          </w:tcPr>
          <w:p w14:paraId="70E2D33A"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w:t>
            </w:r>
          </w:p>
        </w:tc>
        <w:tc>
          <w:tcPr>
            <w:tcW w:w="960" w:type="dxa"/>
          </w:tcPr>
          <w:p w14:paraId="48CE3BB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2AD6188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tcW w:w="875" w:type="dxa"/>
          </w:tcPr>
          <w:p w14:paraId="7277B13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w:t>
            </w:r>
          </w:p>
        </w:tc>
        <w:tc>
          <w:tcPr>
            <w:cnfStyle w:val="000010000000" w:firstRow="0" w:lastRow="0" w:firstColumn="0" w:lastColumn="0" w:oddVBand="1" w:evenVBand="0" w:oddHBand="0" w:evenHBand="0" w:firstRowFirstColumn="0" w:firstRowLastColumn="0" w:lastRowFirstColumn="0" w:lastRowLastColumn="0"/>
            <w:tcW w:w="960" w:type="dxa"/>
          </w:tcPr>
          <w:p w14:paraId="74D71B7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10</w:t>
            </w:r>
          </w:p>
        </w:tc>
      </w:tr>
      <w:tr w:rsidR="0077375F" w:rsidRPr="0038278D" w14:paraId="18F1C104"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5FDE1123"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65445BE1"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Industrial activity</w:t>
            </w:r>
          </w:p>
        </w:tc>
        <w:tc>
          <w:tcPr>
            <w:cnfStyle w:val="000010000000" w:firstRow="0" w:lastRow="0" w:firstColumn="0" w:lastColumn="0" w:oddVBand="1" w:evenVBand="0" w:oddHBand="0" w:evenHBand="0" w:firstRowFirstColumn="0" w:firstRowLastColumn="0" w:lastRowFirstColumn="0" w:lastRowLastColumn="0"/>
            <w:tcW w:w="1196" w:type="dxa"/>
          </w:tcPr>
          <w:p w14:paraId="0A85C3B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c>
          <w:tcPr>
            <w:tcW w:w="960" w:type="dxa"/>
          </w:tcPr>
          <w:p w14:paraId="48B242C9"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79B8E3CB"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4507ED9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12</w:t>
            </w:r>
          </w:p>
        </w:tc>
        <w:tc>
          <w:tcPr>
            <w:cnfStyle w:val="000010000000" w:firstRow="0" w:lastRow="0" w:firstColumn="0" w:lastColumn="0" w:oddVBand="1" w:evenVBand="0" w:oddHBand="0" w:evenHBand="0" w:firstRowFirstColumn="0" w:firstRowLastColumn="0" w:lastRowFirstColumn="0" w:lastRowLastColumn="0"/>
            <w:tcW w:w="960" w:type="dxa"/>
          </w:tcPr>
          <w:p w14:paraId="5C3283A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17</w:t>
            </w:r>
          </w:p>
        </w:tc>
      </w:tr>
      <w:tr w:rsidR="0077375F" w:rsidRPr="0038278D" w14:paraId="078EEC18"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0D866908"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787822AE"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Lawful sexual activity</w:t>
            </w:r>
          </w:p>
        </w:tc>
        <w:tc>
          <w:tcPr>
            <w:cnfStyle w:val="000010000000" w:firstRow="0" w:lastRow="0" w:firstColumn="0" w:lastColumn="0" w:oddVBand="1" w:evenVBand="0" w:oddHBand="0" w:evenHBand="0" w:firstRowFirstColumn="0" w:firstRowLastColumn="0" w:lastRowFirstColumn="0" w:lastRowLastColumn="0"/>
            <w:tcW w:w="1196" w:type="dxa"/>
          </w:tcPr>
          <w:p w14:paraId="33D7780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c>
          <w:tcPr>
            <w:tcW w:w="960" w:type="dxa"/>
          </w:tcPr>
          <w:p w14:paraId="6C257AE3"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74E85371"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0FD6155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960" w:type="dxa"/>
          </w:tcPr>
          <w:p w14:paraId="22FE0EEA"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w:t>
            </w:r>
          </w:p>
        </w:tc>
      </w:tr>
      <w:tr w:rsidR="0077375F" w:rsidRPr="0038278D" w14:paraId="3E44DA25"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1041A55"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6572D889"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Marital status</w:t>
            </w:r>
          </w:p>
        </w:tc>
        <w:tc>
          <w:tcPr>
            <w:cnfStyle w:val="000010000000" w:firstRow="0" w:lastRow="0" w:firstColumn="0" w:lastColumn="0" w:oddVBand="1" w:evenVBand="0" w:oddHBand="0" w:evenHBand="0" w:firstRowFirstColumn="0" w:firstRowLastColumn="0" w:lastRowFirstColumn="0" w:lastRowLastColumn="0"/>
            <w:tcW w:w="1196" w:type="dxa"/>
          </w:tcPr>
          <w:p w14:paraId="01E9FFA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14</w:t>
            </w:r>
          </w:p>
        </w:tc>
        <w:tc>
          <w:tcPr>
            <w:tcW w:w="960" w:type="dxa"/>
          </w:tcPr>
          <w:p w14:paraId="090245A6"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3736B4D1"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48C399A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10</w:t>
            </w:r>
          </w:p>
        </w:tc>
        <w:tc>
          <w:tcPr>
            <w:cnfStyle w:val="000010000000" w:firstRow="0" w:lastRow="0" w:firstColumn="0" w:lastColumn="0" w:oddVBand="1" w:evenVBand="0" w:oddHBand="0" w:evenHBand="0" w:firstRowFirstColumn="0" w:firstRowLastColumn="0" w:lastRowFirstColumn="0" w:lastRowLastColumn="0"/>
            <w:tcW w:w="960" w:type="dxa"/>
          </w:tcPr>
          <w:p w14:paraId="12EA36CC"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24</w:t>
            </w:r>
          </w:p>
        </w:tc>
      </w:tr>
      <w:tr w:rsidR="0077375F" w:rsidRPr="0038278D" w14:paraId="4B379E37"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72719375"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0A32DD6D"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Parental status</w:t>
            </w:r>
          </w:p>
        </w:tc>
        <w:tc>
          <w:tcPr>
            <w:cnfStyle w:val="000010000000" w:firstRow="0" w:lastRow="0" w:firstColumn="0" w:lastColumn="0" w:oddVBand="1" w:evenVBand="0" w:oddHBand="0" w:evenHBand="0" w:firstRowFirstColumn="0" w:firstRowLastColumn="0" w:lastRowFirstColumn="0" w:lastRowLastColumn="0"/>
            <w:tcW w:w="1196" w:type="dxa"/>
          </w:tcPr>
          <w:p w14:paraId="5C65640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68</w:t>
            </w:r>
          </w:p>
        </w:tc>
        <w:tc>
          <w:tcPr>
            <w:tcW w:w="960" w:type="dxa"/>
          </w:tcPr>
          <w:p w14:paraId="38BC558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105" w:type="dxa"/>
          </w:tcPr>
          <w:p w14:paraId="2C2A4A8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w:t>
            </w:r>
          </w:p>
        </w:tc>
        <w:tc>
          <w:tcPr>
            <w:tcW w:w="875" w:type="dxa"/>
          </w:tcPr>
          <w:p w14:paraId="6D7ADEA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21</w:t>
            </w:r>
          </w:p>
        </w:tc>
        <w:tc>
          <w:tcPr>
            <w:cnfStyle w:val="000010000000" w:firstRow="0" w:lastRow="0" w:firstColumn="0" w:lastColumn="0" w:oddVBand="1" w:evenVBand="0" w:oddHBand="0" w:evenHBand="0" w:firstRowFirstColumn="0" w:firstRowLastColumn="0" w:lastRowFirstColumn="0" w:lastRowLastColumn="0"/>
            <w:tcW w:w="960" w:type="dxa"/>
          </w:tcPr>
          <w:p w14:paraId="1DBBDDC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92</w:t>
            </w:r>
          </w:p>
        </w:tc>
      </w:tr>
      <w:tr w:rsidR="0077375F" w:rsidRPr="0038278D" w14:paraId="64F15953"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2FBD810B"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40C4D67"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Personal association</w:t>
            </w:r>
          </w:p>
        </w:tc>
        <w:tc>
          <w:tcPr>
            <w:cnfStyle w:val="000010000000" w:firstRow="0" w:lastRow="0" w:firstColumn="0" w:lastColumn="0" w:oddVBand="1" w:evenVBand="0" w:oddHBand="0" w:evenHBand="0" w:firstRowFirstColumn="0" w:firstRowLastColumn="0" w:lastRowFirstColumn="0" w:lastRowLastColumn="0"/>
            <w:tcW w:w="1196" w:type="dxa"/>
          </w:tcPr>
          <w:p w14:paraId="37022A0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24</w:t>
            </w:r>
          </w:p>
        </w:tc>
        <w:tc>
          <w:tcPr>
            <w:tcW w:w="960" w:type="dxa"/>
          </w:tcPr>
          <w:p w14:paraId="6914396B"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47EBB203"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3818E56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12</w:t>
            </w:r>
          </w:p>
        </w:tc>
        <w:tc>
          <w:tcPr>
            <w:cnfStyle w:val="000010000000" w:firstRow="0" w:lastRow="0" w:firstColumn="0" w:lastColumn="0" w:oddVBand="1" w:evenVBand="0" w:oddHBand="0" w:evenHBand="0" w:firstRowFirstColumn="0" w:firstRowLastColumn="0" w:lastRowFirstColumn="0" w:lastRowLastColumn="0"/>
            <w:tcW w:w="960" w:type="dxa"/>
          </w:tcPr>
          <w:p w14:paraId="2E25386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36</w:t>
            </w:r>
          </w:p>
        </w:tc>
      </w:tr>
      <w:tr w:rsidR="0077375F" w:rsidRPr="0038278D" w14:paraId="7BA52103"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9FCAECE"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0DCACCA9"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Physical features</w:t>
            </w:r>
          </w:p>
        </w:tc>
        <w:tc>
          <w:tcPr>
            <w:cnfStyle w:val="000010000000" w:firstRow="0" w:lastRow="0" w:firstColumn="0" w:lastColumn="0" w:oddVBand="1" w:evenVBand="0" w:oddHBand="0" w:evenHBand="0" w:firstRowFirstColumn="0" w:firstRowLastColumn="0" w:lastRowFirstColumn="0" w:lastRowLastColumn="0"/>
            <w:tcW w:w="1196" w:type="dxa"/>
          </w:tcPr>
          <w:p w14:paraId="381A2F3C"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61</w:t>
            </w:r>
          </w:p>
        </w:tc>
        <w:tc>
          <w:tcPr>
            <w:tcW w:w="960" w:type="dxa"/>
          </w:tcPr>
          <w:p w14:paraId="5F92E158"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20DBD0ED"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2BEAD36A"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51</w:t>
            </w:r>
          </w:p>
        </w:tc>
        <w:tc>
          <w:tcPr>
            <w:cnfStyle w:val="000010000000" w:firstRow="0" w:lastRow="0" w:firstColumn="0" w:lastColumn="0" w:oddVBand="1" w:evenVBand="0" w:oddHBand="0" w:evenHBand="0" w:firstRowFirstColumn="0" w:firstRowLastColumn="0" w:lastRowFirstColumn="0" w:lastRowLastColumn="0"/>
            <w:tcW w:w="960" w:type="dxa"/>
          </w:tcPr>
          <w:p w14:paraId="6ABD4FA3"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112</w:t>
            </w:r>
          </w:p>
        </w:tc>
      </w:tr>
      <w:tr w:rsidR="0077375F" w:rsidRPr="0038278D" w14:paraId="77821E8E"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08F07983"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0C724F2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Political belief or activity</w:t>
            </w:r>
          </w:p>
        </w:tc>
        <w:tc>
          <w:tcPr>
            <w:cnfStyle w:val="000010000000" w:firstRow="0" w:lastRow="0" w:firstColumn="0" w:lastColumn="0" w:oddVBand="1" w:evenVBand="0" w:oddHBand="0" w:evenHBand="0" w:firstRowFirstColumn="0" w:firstRowLastColumn="0" w:lastRowFirstColumn="0" w:lastRowLastColumn="0"/>
            <w:tcW w:w="1196" w:type="dxa"/>
          </w:tcPr>
          <w:p w14:paraId="1853B70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w:t>
            </w:r>
          </w:p>
        </w:tc>
        <w:tc>
          <w:tcPr>
            <w:tcW w:w="960" w:type="dxa"/>
          </w:tcPr>
          <w:p w14:paraId="5EA261C9"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168E43B9"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6AC8D2A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c>
          <w:tcPr>
            <w:cnfStyle w:val="000010000000" w:firstRow="0" w:lastRow="0" w:firstColumn="0" w:lastColumn="0" w:oddVBand="1" w:evenVBand="0" w:oddHBand="0" w:evenHBand="0" w:firstRowFirstColumn="0" w:firstRowLastColumn="0" w:lastRowFirstColumn="0" w:lastRowLastColumn="0"/>
            <w:tcW w:w="960" w:type="dxa"/>
          </w:tcPr>
          <w:p w14:paraId="3546C86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10</w:t>
            </w:r>
          </w:p>
        </w:tc>
      </w:tr>
      <w:tr w:rsidR="0077375F" w:rsidRPr="0038278D" w14:paraId="4AA37FBF"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55DB2E50"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548C8F4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Pregnancy</w:t>
            </w:r>
          </w:p>
        </w:tc>
        <w:tc>
          <w:tcPr>
            <w:cnfStyle w:val="000010000000" w:firstRow="0" w:lastRow="0" w:firstColumn="0" w:lastColumn="0" w:oddVBand="1" w:evenVBand="0" w:oddHBand="0" w:evenHBand="0" w:firstRowFirstColumn="0" w:firstRowLastColumn="0" w:lastRowFirstColumn="0" w:lastRowLastColumn="0"/>
            <w:tcW w:w="1196" w:type="dxa"/>
          </w:tcPr>
          <w:p w14:paraId="2F624774"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38</w:t>
            </w:r>
          </w:p>
        </w:tc>
        <w:tc>
          <w:tcPr>
            <w:tcW w:w="960" w:type="dxa"/>
          </w:tcPr>
          <w:p w14:paraId="685BF5BE"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2AEF7A9A"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403F3419"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960" w:type="dxa"/>
          </w:tcPr>
          <w:p w14:paraId="53BE67D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38</w:t>
            </w:r>
          </w:p>
        </w:tc>
      </w:tr>
      <w:tr w:rsidR="0077375F" w:rsidRPr="0038278D" w14:paraId="3394453A"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7D68A2E4"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323E033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Race</w:t>
            </w:r>
          </w:p>
        </w:tc>
        <w:tc>
          <w:tcPr>
            <w:cnfStyle w:val="000010000000" w:firstRow="0" w:lastRow="0" w:firstColumn="0" w:lastColumn="0" w:oddVBand="1" w:evenVBand="0" w:oddHBand="0" w:evenHBand="0" w:firstRowFirstColumn="0" w:firstRowLastColumn="0" w:lastRowFirstColumn="0" w:lastRowLastColumn="0"/>
            <w:tcW w:w="1196" w:type="dxa"/>
          </w:tcPr>
          <w:p w14:paraId="100ED8C3"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86</w:t>
            </w:r>
          </w:p>
        </w:tc>
        <w:tc>
          <w:tcPr>
            <w:tcW w:w="960" w:type="dxa"/>
          </w:tcPr>
          <w:p w14:paraId="249E5AA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w:t>
            </w:r>
          </w:p>
        </w:tc>
        <w:tc>
          <w:tcPr>
            <w:cnfStyle w:val="000010000000" w:firstRow="0" w:lastRow="0" w:firstColumn="0" w:lastColumn="0" w:oddVBand="1" w:evenVBand="0" w:oddHBand="0" w:evenHBand="0" w:firstRowFirstColumn="0" w:firstRowLastColumn="0" w:lastRowFirstColumn="0" w:lastRowLastColumn="0"/>
            <w:tcW w:w="1105" w:type="dxa"/>
          </w:tcPr>
          <w:p w14:paraId="6A0879C7"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6234C193"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108</w:t>
            </w:r>
          </w:p>
        </w:tc>
        <w:tc>
          <w:tcPr>
            <w:cnfStyle w:val="000010000000" w:firstRow="0" w:lastRow="0" w:firstColumn="0" w:lastColumn="0" w:oddVBand="1" w:evenVBand="0" w:oddHBand="0" w:evenHBand="0" w:firstRowFirstColumn="0" w:firstRowLastColumn="0" w:lastRowFirstColumn="0" w:lastRowLastColumn="0"/>
            <w:tcW w:w="960" w:type="dxa"/>
          </w:tcPr>
          <w:p w14:paraId="1CF30F0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196</w:t>
            </w:r>
          </w:p>
        </w:tc>
      </w:tr>
      <w:tr w:rsidR="0077375F" w:rsidRPr="0038278D" w14:paraId="64A8ABE3"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5A309910"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56CD03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Religious belief or activity</w:t>
            </w:r>
          </w:p>
        </w:tc>
        <w:tc>
          <w:tcPr>
            <w:cnfStyle w:val="000010000000" w:firstRow="0" w:lastRow="0" w:firstColumn="0" w:lastColumn="0" w:oddVBand="1" w:evenVBand="0" w:oddHBand="0" w:evenHBand="0" w:firstRowFirstColumn="0" w:firstRowLastColumn="0" w:lastRowFirstColumn="0" w:lastRowLastColumn="0"/>
            <w:tcW w:w="1196" w:type="dxa"/>
          </w:tcPr>
          <w:p w14:paraId="0A7D43F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21</w:t>
            </w:r>
          </w:p>
        </w:tc>
        <w:tc>
          <w:tcPr>
            <w:tcW w:w="960" w:type="dxa"/>
          </w:tcPr>
          <w:p w14:paraId="02A56773"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1E7E5EE7"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710B7944"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33</w:t>
            </w:r>
          </w:p>
        </w:tc>
        <w:tc>
          <w:tcPr>
            <w:cnfStyle w:val="000010000000" w:firstRow="0" w:lastRow="0" w:firstColumn="0" w:lastColumn="0" w:oddVBand="1" w:evenVBand="0" w:oddHBand="0" w:evenHBand="0" w:firstRowFirstColumn="0" w:firstRowLastColumn="0" w:lastRowFirstColumn="0" w:lastRowLastColumn="0"/>
            <w:tcW w:w="960" w:type="dxa"/>
          </w:tcPr>
          <w:p w14:paraId="6038232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54</w:t>
            </w:r>
          </w:p>
        </w:tc>
      </w:tr>
      <w:tr w:rsidR="0077375F" w:rsidRPr="0038278D" w14:paraId="1584A8BF"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35D709D1"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5A0756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Sex</w:t>
            </w:r>
          </w:p>
        </w:tc>
        <w:tc>
          <w:tcPr>
            <w:cnfStyle w:val="000010000000" w:firstRow="0" w:lastRow="0" w:firstColumn="0" w:lastColumn="0" w:oddVBand="1" w:evenVBand="0" w:oddHBand="0" w:evenHBand="0" w:firstRowFirstColumn="0" w:firstRowLastColumn="0" w:lastRowFirstColumn="0" w:lastRowLastColumn="0"/>
            <w:tcW w:w="1196" w:type="dxa"/>
          </w:tcPr>
          <w:p w14:paraId="47C518D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131</w:t>
            </w:r>
          </w:p>
        </w:tc>
        <w:tc>
          <w:tcPr>
            <w:tcW w:w="960" w:type="dxa"/>
          </w:tcPr>
          <w:p w14:paraId="6F576FF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086FFC01"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4B2363B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64</w:t>
            </w:r>
          </w:p>
        </w:tc>
        <w:tc>
          <w:tcPr>
            <w:cnfStyle w:val="000010000000" w:firstRow="0" w:lastRow="0" w:firstColumn="0" w:lastColumn="0" w:oddVBand="1" w:evenVBand="0" w:oddHBand="0" w:evenHBand="0" w:firstRowFirstColumn="0" w:firstRowLastColumn="0" w:lastRowFirstColumn="0" w:lastRowLastColumn="0"/>
            <w:tcW w:w="960" w:type="dxa"/>
          </w:tcPr>
          <w:p w14:paraId="27B63E66"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195</w:t>
            </w:r>
          </w:p>
        </w:tc>
      </w:tr>
      <w:tr w:rsidR="0077375F" w:rsidRPr="0038278D" w14:paraId="26DD68DA"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D4A6B20"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4AFC65E5"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Sexual harassment</w:t>
            </w:r>
          </w:p>
        </w:tc>
        <w:tc>
          <w:tcPr>
            <w:cnfStyle w:val="000010000000" w:firstRow="0" w:lastRow="0" w:firstColumn="0" w:lastColumn="0" w:oddVBand="1" w:evenVBand="0" w:oddHBand="0" w:evenHBand="0" w:firstRowFirstColumn="0" w:firstRowLastColumn="0" w:lastRowFirstColumn="0" w:lastRowLastColumn="0"/>
            <w:tcW w:w="1196" w:type="dxa"/>
          </w:tcPr>
          <w:p w14:paraId="4FDDCFA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137</w:t>
            </w:r>
          </w:p>
        </w:tc>
        <w:tc>
          <w:tcPr>
            <w:tcW w:w="960" w:type="dxa"/>
          </w:tcPr>
          <w:p w14:paraId="0B74A5EC"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150DF733"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53D1164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33</w:t>
            </w:r>
          </w:p>
        </w:tc>
        <w:tc>
          <w:tcPr>
            <w:cnfStyle w:val="000010000000" w:firstRow="0" w:lastRow="0" w:firstColumn="0" w:lastColumn="0" w:oddVBand="1" w:evenVBand="0" w:oddHBand="0" w:evenHBand="0" w:firstRowFirstColumn="0" w:firstRowLastColumn="0" w:lastRowFirstColumn="0" w:lastRowLastColumn="0"/>
            <w:tcW w:w="960" w:type="dxa"/>
          </w:tcPr>
          <w:p w14:paraId="1751595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170</w:t>
            </w:r>
          </w:p>
        </w:tc>
      </w:tr>
      <w:tr w:rsidR="0077375F" w:rsidRPr="0038278D" w14:paraId="6ED955AA"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170C2B8B"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48EF3DC0"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Sexual orientation</w:t>
            </w:r>
          </w:p>
        </w:tc>
        <w:tc>
          <w:tcPr>
            <w:cnfStyle w:val="000010000000" w:firstRow="0" w:lastRow="0" w:firstColumn="0" w:lastColumn="0" w:oddVBand="1" w:evenVBand="0" w:oddHBand="0" w:evenHBand="0" w:firstRowFirstColumn="0" w:firstRowLastColumn="0" w:lastRowFirstColumn="0" w:lastRowLastColumn="0"/>
            <w:tcW w:w="1196" w:type="dxa"/>
          </w:tcPr>
          <w:p w14:paraId="1D20C8D1"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c>
          <w:tcPr>
            <w:tcW w:w="960" w:type="dxa"/>
          </w:tcPr>
          <w:p w14:paraId="0DC4BA25"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4F25C41B"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76E10F28"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36</w:t>
            </w:r>
          </w:p>
        </w:tc>
        <w:tc>
          <w:tcPr>
            <w:cnfStyle w:val="000010000000" w:firstRow="0" w:lastRow="0" w:firstColumn="0" w:lastColumn="0" w:oddVBand="1" w:evenVBand="0" w:oddHBand="0" w:evenHBand="0" w:firstRowFirstColumn="0" w:firstRowLastColumn="0" w:lastRowFirstColumn="0" w:lastRowLastColumn="0"/>
            <w:tcW w:w="960" w:type="dxa"/>
          </w:tcPr>
          <w:p w14:paraId="330F591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41</w:t>
            </w:r>
          </w:p>
        </w:tc>
      </w:tr>
      <w:tr w:rsidR="0077375F" w:rsidRPr="0038278D" w14:paraId="65AE00F7"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22B84F33"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13C3157F"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Victimisation</w:t>
            </w:r>
          </w:p>
        </w:tc>
        <w:tc>
          <w:tcPr>
            <w:cnfStyle w:val="000010000000" w:firstRow="0" w:lastRow="0" w:firstColumn="0" w:lastColumn="0" w:oddVBand="1" w:evenVBand="0" w:oddHBand="0" w:evenHBand="0" w:firstRowFirstColumn="0" w:firstRowLastColumn="0" w:lastRowFirstColumn="0" w:lastRowLastColumn="0"/>
            <w:tcW w:w="1196" w:type="dxa"/>
          </w:tcPr>
          <w:p w14:paraId="3E1C64E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129</w:t>
            </w:r>
          </w:p>
        </w:tc>
        <w:tc>
          <w:tcPr>
            <w:tcW w:w="960" w:type="dxa"/>
          </w:tcPr>
          <w:p w14:paraId="6258D65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05241703"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5493792C"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63</w:t>
            </w:r>
          </w:p>
        </w:tc>
        <w:tc>
          <w:tcPr>
            <w:cnfStyle w:val="000010000000" w:firstRow="0" w:lastRow="0" w:firstColumn="0" w:lastColumn="0" w:oddVBand="1" w:evenVBand="0" w:oddHBand="0" w:evenHBand="0" w:firstRowFirstColumn="0" w:firstRowLastColumn="0" w:lastRowFirstColumn="0" w:lastRowLastColumn="0"/>
            <w:tcW w:w="960" w:type="dxa"/>
          </w:tcPr>
          <w:p w14:paraId="389C77D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192</w:t>
            </w:r>
          </w:p>
        </w:tc>
      </w:tr>
      <w:tr w:rsidR="0077375F" w:rsidRPr="0038278D" w14:paraId="7FC4017D"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5F67F4B9"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322433C0"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EOA Sum</w:t>
            </w:r>
          </w:p>
        </w:tc>
        <w:tc>
          <w:tcPr>
            <w:cnfStyle w:val="000010000000" w:firstRow="0" w:lastRow="0" w:firstColumn="0" w:lastColumn="0" w:oddVBand="1" w:evenVBand="0" w:oddHBand="0" w:evenHBand="0" w:firstRowFirstColumn="0" w:firstRowLastColumn="0" w:lastRowFirstColumn="0" w:lastRowLastColumn="0"/>
            <w:tcW w:w="1196" w:type="dxa"/>
          </w:tcPr>
          <w:p w14:paraId="31E21EB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1264</w:t>
            </w:r>
          </w:p>
        </w:tc>
        <w:tc>
          <w:tcPr>
            <w:tcW w:w="960" w:type="dxa"/>
          </w:tcPr>
          <w:p w14:paraId="4AC16E1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w:t>
            </w:r>
          </w:p>
        </w:tc>
        <w:tc>
          <w:tcPr>
            <w:cnfStyle w:val="000010000000" w:firstRow="0" w:lastRow="0" w:firstColumn="0" w:lastColumn="0" w:oddVBand="1" w:evenVBand="0" w:oddHBand="0" w:evenHBand="0" w:firstRowFirstColumn="0" w:firstRowLastColumn="0" w:lastRowFirstColumn="0" w:lastRowLastColumn="0"/>
            <w:tcW w:w="1105" w:type="dxa"/>
          </w:tcPr>
          <w:p w14:paraId="79A9E5E9"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c>
          <w:tcPr>
            <w:tcW w:w="875" w:type="dxa"/>
          </w:tcPr>
          <w:p w14:paraId="05E60F43"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827</w:t>
            </w:r>
          </w:p>
        </w:tc>
        <w:tc>
          <w:tcPr>
            <w:cnfStyle w:val="000010000000" w:firstRow="0" w:lastRow="0" w:firstColumn="0" w:lastColumn="0" w:oddVBand="1" w:evenVBand="0" w:oddHBand="0" w:evenHBand="0" w:firstRowFirstColumn="0" w:firstRowLastColumn="0" w:lastRowFirstColumn="0" w:lastRowLastColumn="0"/>
            <w:tcW w:w="960" w:type="dxa"/>
          </w:tcPr>
          <w:p w14:paraId="65E43B4E"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2103</w:t>
            </w:r>
          </w:p>
        </w:tc>
      </w:tr>
      <w:tr w:rsidR="0077375F" w:rsidRPr="0038278D" w14:paraId="4189D570" w14:textId="77777777" w:rsidTr="003827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17" w:type="dxa"/>
            <w:vMerge w:val="restart"/>
            <w:textDirection w:val="btLr"/>
          </w:tcPr>
          <w:p w14:paraId="1D7A16AB"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RRTA</w:t>
            </w:r>
          </w:p>
        </w:tc>
        <w:tc>
          <w:tcPr>
            <w:tcW w:w="3827" w:type="dxa"/>
          </w:tcPr>
          <w:p w14:paraId="6FC45424"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Racial vilification</w:t>
            </w:r>
          </w:p>
        </w:tc>
        <w:tc>
          <w:tcPr>
            <w:cnfStyle w:val="000010000000" w:firstRow="0" w:lastRow="0" w:firstColumn="0" w:lastColumn="0" w:oddVBand="1" w:evenVBand="0" w:oddHBand="0" w:evenHBand="0" w:firstRowFirstColumn="0" w:firstRowLastColumn="0" w:lastRowFirstColumn="0" w:lastRowLastColumn="0"/>
            <w:tcW w:w="1196" w:type="dxa"/>
          </w:tcPr>
          <w:p w14:paraId="59DCE7DB"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c>
          <w:tcPr>
            <w:tcW w:w="960" w:type="dxa"/>
          </w:tcPr>
          <w:p w14:paraId="0AB7A34A"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4200027C"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156C1628"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c>
          <w:tcPr>
            <w:cnfStyle w:val="000010000000" w:firstRow="0" w:lastRow="0" w:firstColumn="0" w:lastColumn="0" w:oddVBand="1" w:evenVBand="0" w:oddHBand="0" w:evenHBand="0" w:firstRowFirstColumn="0" w:firstRowLastColumn="0" w:lastRowFirstColumn="0" w:lastRowLastColumn="0"/>
            <w:tcW w:w="960" w:type="dxa"/>
          </w:tcPr>
          <w:p w14:paraId="6E9ABE7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9</w:t>
            </w:r>
          </w:p>
        </w:tc>
      </w:tr>
      <w:tr w:rsidR="0077375F" w:rsidRPr="0038278D" w14:paraId="662338B3" w14:textId="77777777" w:rsidTr="0038278D">
        <w:trPr>
          <w:trHeight w:val="300"/>
        </w:trPr>
        <w:tc>
          <w:tcPr>
            <w:cnfStyle w:val="000010000000" w:firstRow="0" w:lastRow="0" w:firstColumn="0" w:lastColumn="0" w:oddVBand="1" w:evenVBand="0" w:oddHBand="0" w:evenHBand="0" w:firstRowFirstColumn="0" w:firstRowLastColumn="0" w:lastRowFirstColumn="0" w:lastRowLastColumn="0"/>
            <w:tcW w:w="817" w:type="dxa"/>
            <w:vMerge/>
          </w:tcPr>
          <w:p w14:paraId="5FCE0D6A"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7EE592A4"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Religious vilification</w:t>
            </w:r>
          </w:p>
        </w:tc>
        <w:tc>
          <w:tcPr>
            <w:cnfStyle w:val="000010000000" w:firstRow="0" w:lastRow="0" w:firstColumn="0" w:lastColumn="0" w:oddVBand="1" w:evenVBand="0" w:oddHBand="0" w:evenHBand="0" w:firstRowFirstColumn="0" w:firstRowLastColumn="0" w:lastRowFirstColumn="0" w:lastRowLastColumn="0"/>
            <w:tcW w:w="1196" w:type="dxa"/>
          </w:tcPr>
          <w:p w14:paraId="48379670"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960" w:type="dxa"/>
          </w:tcPr>
          <w:p w14:paraId="17932014"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05" w:type="dxa"/>
          </w:tcPr>
          <w:p w14:paraId="02426D7F"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rtl/>
                <w:lang w:val="en-GB" w:eastAsia="en-US" w:bidi="ar-YE"/>
              </w:rPr>
              <w:t> </w:t>
            </w:r>
          </w:p>
        </w:tc>
        <w:tc>
          <w:tcPr>
            <w:tcW w:w="875" w:type="dxa"/>
          </w:tcPr>
          <w:p w14:paraId="496F468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c>
          <w:tcPr>
            <w:cnfStyle w:val="000010000000" w:firstRow="0" w:lastRow="0" w:firstColumn="0" w:lastColumn="0" w:oddVBand="1" w:evenVBand="0" w:oddHBand="0" w:evenHBand="0" w:firstRowFirstColumn="0" w:firstRowLastColumn="0" w:lastRowFirstColumn="0" w:lastRowLastColumn="0"/>
            <w:tcW w:w="960" w:type="dxa"/>
          </w:tcPr>
          <w:p w14:paraId="4CF17506"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4</w:t>
            </w:r>
          </w:p>
        </w:tc>
      </w:tr>
      <w:tr w:rsidR="0077375F" w:rsidRPr="0038278D" w14:paraId="0D9B2CB7" w14:textId="77777777" w:rsidTr="0038278D">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817" w:type="dxa"/>
            <w:vMerge/>
          </w:tcPr>
          <w:p w14:paraId="70431CD7" w14:textId="77777777" w:rsidR="0077375F" w:rsidRPr="0038278D" w:rsidRDefault="0077375F" w:rsidP="0077375F">
            <w:pPr>
              <w:widowControl w:val="0"/>
              <w:autoSpaceDE w:val="0"/>
              <w:autoSpaceDN w:val="0"/>
              <w:adjustRightInd w:val="0"/>
              <w:rPr>
                <w:rFonts w:ascii="Arial" w:hAnsi="Arial" w:cs="Arial"/>
                <w:color w:val="000000" w:themeColor="text1"/>
                <w:sz w:val="20"/>
                <w:szCs w:val="20"/>
                <w:lang w:val="en-US" w:eastAsia="en-US"/>
              </w:rPr>
            </w:pPr>
          </w:p>
        </w:tc>
        <w:tc>
          <w:tcPr>
            <w:tcW w:w="3827" w:type="dxa"/>
          </w:tcPr>
          <w:p w14:paraId="59B660EF" w14:textId="77777777" w:rsidR="0077375F" w:rsidRPr="0038278D" w:rsidRDefault="0077375F" w:rsidP="0077375F">
            <w:pPr>
              <w:widowControl w:val="0"/>
              <w:suppressAutoHyphens/>
              <w:autoSpaceDE w:val="0"/>
              <w:autoSpaceDN w:val="0"/>
              <w:adjustRightInd w:val="0"/>
              <w:spacing w:after="113" w:line="25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RRTA Sum</w:t>
            </w:r>
          </w:p>
        </w:tc>
        <w:tc>
          <w:tcPr>
            <w:cnfStyle w:val="000010000000" w:firstRow="0" w:lastRow="0" w:firstColumn="0" w:lastColumn="0" w:oddVBand="1" w:evenVBand="0" w:oddHBand="0" w:evenHBand="0" w:firstRowFirstColumn="0" w:firstRowLastColumn="0" w:lastRowFirstColumn="0" w:lastRowLastColumn="0"/>
            <w:tcW w:w="1196" w:type="dxa"/>
          </w:tcPr>
          <w:p w14:paraId="44B1A257"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5</w:t>
            </w:r>
          </w:p>
        </w:tc>
        <w:tc>
          <w:tcPr>
            <w:tcW w:w="960" w:type="dxa"/>
          </w:tcPr>
          <w:p w14:paraId="6DADC48F"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0</w:t>
            </w:r>
          </w:p>
        </w:tc>
        <w:tc>
          <w:tcPr>
            <w:cnfStyle w:val="000010000000" w:firstRow="0" w:lastRow="0" w:firstColumn="0" w:lastColumn="0" w:oddVBand="1" w:evenVBand="0" w:oddHBand="0" w:evenHBand="0" w:firstRowFirstColumn="0" w:firstRowLastColumn="0" w:lastRowFirstColumn="0" w:lastRowLastColumn="0"/>
            <w:tcW w:w="1105" w:type="dxa"/>
          </w:tcPr>
          <w:p w14:paraId="3E5AA3C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0</w:t>
            </w:r>
          </w:p>
        </w:tc>
        <w:tc>
          <w:tcPr>
            <w:tcW w:w="875" w:type="dxa"/>
          </w:tcPr>
          <w:p w14:paraId="364AC112"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8</w:t>
            </w:r>
          </w:p>
        </w:tc>
        <w:tc>
          <w:tcPr>
            <w:cnfStyle w:val="000010000000" w:firstRow="0" w:lastRow="0" w:firstColumn="0" w:lastColumn="0" w:oddVBand="1" w:evenVBand="0" w:oddHBand="0" w:evenHBand="0" w:firstRowFirstColumn="0" w:firstRowLastColumn="0" w:lastRowFirstColumn="0" w:lastRowLastColumn="0"/>
            <w:tcW w:w="960" w:type="dxa"/>
          </w:tcPr>
          <w:p w14:paraId="6CDDA1F5"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color w:val="000000" w:themeColor="text1"/>
                <w:sz w:val="20"/>
                <w:szCs w:val="20"/>
                <w:lang w:val="en-GB" w:eastAsia="en-US"/>
              </w:rPr>
            </w:pPr>
            <w:r w:rsidRPr="0038278D">
              <w:rPr>
                <w:rFonts w:ascii="Arial" w:hAnsi="Arial" w:cs="Arial"/>
                <w:color w:val="000000" w:themeColor="text1"/>
                <w:sz w:val="20"/>
                <w:szCs w:val="20"/>
                <w:lang w:eastAsia="en-US"/>
              </w:rPr>
              <w:t>13</w:t>
            </w:r>
          </w:p>
        </w:tc>
      </w:tr>
      <w:tr w:rsidR="0077375F" w:rsidRPr="0038278D" w14:paraId="40887047" w14:textId="77777777" w:rsidTr="0038278D">
        <w:trPr>
          <w:trHeight w:val="313"/>
        </w:trPr>
        <w:tc>
          <w:tcPr>
            <w:cnfStyle w:val="000010000000" w:firstRow="0" w:lastRow="0" w:firstColumn="0" w:lastColumn="0" w:oddVBand="1" w:evenVBand="0" w:oddHBand="0" w:evenHBand="0" w:firstRowFirstColumn="0" w:firstRowLastColumn="0" w:lastRowFirstColumn="0" w:lastRowLastColumn="0"/>
            <w:tcW w:w="817" w:type="dxa"/>
          </w:tcPr>
          <w:p w14:paraId="150F33F0" w14:textId="77777777" w:rsidR="0077375F" w:rsidRPr="0038278D" w:rsidRDefault="0077375F" w:rsidP="0077375F">
            <w:pPr>
              <w:widowControl w:val="0"/>
              <w:suppressAutoHyphens/>
              <w:autoSpaceDE w:val="0"/>
              <w:autoSpaceDN w:val="0"/>
              <w:adjustRightInd w:val="0"/>
              <w:spacing w:after="113" w:line="250" w:lineRule="atLeast"/>
              <w:jc w:val="center"/>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Total</w:t>
            </w:r>
          </w:p>
        </w:tc>
        <w:tc>
          <w:tcPr>
            <w:tcW w:w="3827" w:type="dxa"/>
          </w:tcPr>
          <w:p w14:paraId="03482E4C"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rtl/>
                <w:lang w:val="en-GB" w:eastAsia="en-US" w:bidi="ar-YE"/>
              </w:rPr>
              <w:t> </w:t>
            </w:r>
          </w:p>
        </w:tc>
        <w:tc>
          <w:tcPr>
            <w:cnfStyle w:val="000010000000" w:firstRow="0" w:lastRow="0" w:firstColumn="0" w:lastColumn="0" w:oddVBand="1" w:evenVBand="0" w:oddHBand="0" w:evenHBand="0" w:firstRowFirstColumn="0" w:firstRowLastColumn="0" w:lastRowFirstColumn="0" w:lastRowLastColumn="0"/>
            <w:tcW w:w="1196" w:type="dxa"/>
          </w:tcPr>
          <w:p w14:paraId="0324BE41"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1269</w:t>
            </w:r>
          </w:p>
        </w:tc>
        <w:tc>
          <w:tcPr>
            <w:tcW w:w="960" w:type="dxa"/>
          </w:tcPr>
          <w:p w14:paraId="33A37046"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8</w:t>
            </w:r>
          </w:p>
        </w:tc>
        <w:tc>
          <w:tcPr>
            <w:cnfStyle w:val="000010000000" w:firstRow="0" w:lastRow="0" w:firstColumn="0" w:lastColumn="0" w:oddVBand="1" w:evenVBand="0" w:oddHBand="0" w:evenHBand="0" w:firstRowFirstColumn="0" w:firstRowLastColumn="0" w:lastRowFirstColumn="0" w:lastRowLastColumn="0"/>
            <w:tcW w:w="1105" w:type="dxa"/>
          </w:tcPr>
          <w:p w14:paraId="201701CC"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4</w:t>
            </w:r>
          </w:p>
        </w:tc>
        <w:tc>
          <w:tcPr>
            <w:tcW w:w="875" w:type="dxa"/>
          </w:tcPr>
          <w:p w14:paraId="2DACAF2D"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835</w:t>
            </w:r>
          </w:p>
        </w:tc>
        <w:tc>
          <w:tcPr>
            <w:cnfStyle w:val="000010000000" w:firstRow="0" w:lastRow="0" w:firstColumn="0" w:lastColumn="0" w:oddVBand="1" w:evenVBand="0" w:oddHBand="0" w:evenHBand="0" w:firstRowFirstColumn="0" w:firstRowLastColumn="0" w:lastRowFirstColumn="0" w:lastRowLastColumn="0"/>
            <w:tcW w:w="960" w:type="dxa"/>
          </w:tcPr>
          <w:p w14:paraId="54C91070" w14:textId="77777777" w:rsidR="0077375F" w:rsidRPr="0038278D" w:rsidRDefault="0077375F" w:rsidP="0077375F">
            <w:pPr>
              <w:widowControl w:val="0"/>
              <w:suppressAutoHyphens/>
              <w:autoSpaceDE w:val="0"/>
              <w:autoSpaceDN w:val="0"/>
              <w:adjustRightInd w:val="0"/>
              <w:spacing w:after="113" w:line="250" w:lineRule="atLeast"/>
              <w:jc w:val="right"/>
              <w:textAlignment w:val="center"/>
              <w:rPr>
                <w:rFonts w:ascii="Arial" w:hAnsi="Arial" w:cs="Arial"/>
                <w:b/>
                <w:color w:val="000000" w:themeColor="text1"/>
                <w:sz w:val="20"/>
                <w:szCs w:val="20"/>
                <w:lang w:val="en-GB" w:eastAsia="en-US"/>
              </w:rPr>
            </w:pPr>
            <w:r w:rsidRPr="0038278D">
              <w:rPr>
                <w:rFonts w:ascii="Arial" w:hAnsi="Arial" w:cs="Arial"/>
                <w:b/>
                <w:color w:val="000000" w:themeColor="text1"/>
                <w:sz w:val="20"/>
                <w:szCs w:val="20"/>
                <w:lang w:eastAsia="en-US"/>
              </w:rPr>
              <w:t>2116</w:t>
            </w:r>
          </w:p>
        </w:tc>
      </w:tr>
    </w:tbl>
    <w:p w14:paraId="4D483A98" w14:textId="77777777" w:rsidR="0077375F" w:rsidRPr="0077375F" w:rsidRDefault="0077375F" w:rsidP="0077375F">
      <w:pPr>
        <w:pStyle w:val="VEOHRCBodytext"/>
        <w:rPr>
          <w:lang w:eastAsia="en-US"/>
        </w:rPr>
      </w:pPr>
    </w:p>
    <w:p w14:paraId="66FCBB26" w14:textId="77777777" w:rsidR="0077375F" w:rsidRPr="0077375F" w:rsidRDefault="0077375F" w:rsidP="00CD4C53">
      <w:pPr>
        <w:pStyle w:val="VEOHRCHeading2"/>
        <w:rPr>
          <w:color w:val="00ADEF"/>
          <w:lang w:eastAsia="en-US"/>
        </w:rPr>
      </w:pPr>
      <w:r w:rsidRPr="0077375F">
        <w:rPr>
          <w:lang w:eastAsia="en-US"/>
        </w:rPr>
        <w:t>Respondent demographics</w:t>
      </w:r>
    </w:p>
    <w:p w14:paraId="08A48A28" w14:textId="77777777" w:rsidR="0077375F" w:rsidRPr="0077375F" w:rsidRDefault="0077375F" w:rsidP="0077375F">
      <w:pPr>
        <w:pStyle w:val="VEOHRCBodytext"/>
        <w:rPr>
          <w:lang w:eastAsia="en-US"/>
        </w:rPr>
      </w:pPr>
      <w:r w:rsidRPr="0077375F">
        <w:rPr>
          <w:lang w:eastAsia="en-US"/>
        </w:rPr>
        <w:t>Complaints were made against a number of different types of respondents.</w:t>
      </w:r>
    </w:p>
    <w:p w14:paraId="2B54E2D8" w14:textId="77777777" w:rsidR="0077375F" w:rsidRPr="0077375F" w:rsidRDefault="0077375F" w:rsidP="0077375F">
      <w:pPr>
        <w:pStyle w:val="VEOHRCHeading3"/>
        <w:rPr>
          <w:lang w:eastAsia="en-US"/>
        </w:rPr>
      </w:pPr>
      <w:r w:rsidRPr="0077375F">
        <w:rPr>
          <w:lang w:eastAsia="en-US"/>
        </w:rPr>
        <w:t>Respondent demographics type 2015/16</w:t>
      </w:r>
    </w:p>
    <w:tbl>
      <w:tblPr>
        <w:tblStyle w:val="LightList"/>
        <w:tblW w:w="0" w:type="auto"/>
        <w:tblLayout w:type="fixed"/>
        <w:tblLook w:val="0000" w:firstRow="0" w:lastRow="0" w:firstColumn="0" w:lastColumn="0" w:noHBand="0" w:noVBand="0"/>
      </w:tblPr>
      <w:tblGrid>
        <w:gridCol w:w="5980"/>
        <w:gridCol w:w="1247"/>
        <w:gridCol w:w="1247"/>
        <w:gridCol w:w="1248"/>
      </w:tblGrid>
      <w:tr w:rsidR="0077375F" w:rsidRPr="0038278D" w14:paraId="4F52BC18"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728F48CA" w14:textId="77777777" w:rsidR="0077375F" w:rsidRPr="0038278D" w:rsidRDefault="0077375F" w:rsidP="0077375F">
            <w:pPr>
              <w:widowControl w:val="0"/>
              <w:suppressAutoHyphens/>
              <w:autoSpaceDE w:val="0"/>
              <w:autoSpaceDN w:val="0"/>
              <w:adjustRightInd w:val="0"/>
              <w:spacing w:after="113" w:line="250" w:lineRule="atLeast"/>
              <w:textAlignment w:val="center"/>
              <w:rPr>
                <w:rFonts w:ascii="Arial" w:hAnsi="Arial" w:cs="Arial"/>
                <w:b/>
                <w:color w:val="000000"/>
                <w:sz w:val="20"/>
                <w:szCs w:val="20"/>
                <w:lang w:val="en-GB" w:eastAsia="en-US"/>
              </w:rPr>
            </w:pPr>
            <w:r w:rsidRPr="0038278D">
              <w:rPr>
                <w:rFonts w:ascii="Arial" w:hAnsi="Arial" w:cs="Arial"/>
                <w:b/>
                <w:color w:val="000000"/>
                <w:sz w:val="20"/>
                <w:szCs w:val="20"/>
                <w:lang w:eastAsia="en-US"/>
              </w:rPr>
              <w:t>Respondent Type</w:t>
            </w:r>
          </w:p>
        </w:tc>
        <w:tc>
          <w:tcPr>
            <w:tcW w:w="1247" w:type="dxa"/>
          </w:tcPr>
          <w:p w14:paraId="7DE862CB" w14:textId="77777777" w:rsidR="0077375F" w:rsidRPr="0038278D"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US"/>
              </w:rPr>
            </w:pPr>
            <w:r w:rsidRPr="0038278D">
              <w:rPr>
                <w:rFonts w:ascii="Arial" w:hAnsi="Arial" w:cs="Arial"/>
                <w:b/>
                <w:color w:val="000000"/>
                <w:sz w:val="20"/>
                <w:szCs w:val="20"/>
                <w:lang w:eastAsia="en-US"/>
              </w:rPr>
              <w:t>EOA</w:t>
            </w:r>
          </w:p>
        </w:tc>
        <w:tc>
          <w:tcPr>
            <w:cnfStyle w:val="000010000000" w:firstRow="0" w:lastRow="0" w:firstColumn="0" w:lastColumn="0" w:oddVBand="1" w:evenVBand="0" w:oddHBand="0" w:evenHBand="0" w:firstRowFirstColumn="0" w:firstRowLastColumn="0" w:lastRowFirstColumn="0" w:lastRowLastColumn="0"/>
            <w:tcW w:w="1247" w:type="dxa"/>
          </w:tcPr>
          <w:p w14:paraId="5722F7DC" w14:textId="77777777" w:rsidR="0077375F" w:rsidRPr="0038278D" w:rsidRDefault="0077375F" w:rsidP="0038278D">
            <w:pPr>
              <w:widowControl w:val="0"/>
              <w:suppressAutoHyphens/>
              <w:autoSpaceDE w:val="0"/>
              <w:autoSpaceDN w:val="0"/>
              <w:adjustRightInd w:val="0"/>
              <w:spacing w:after="113" w:line="250" w:lineRule="atLeast"/>
              <w:jc w:val="right"/>
              <w:textAlignment w:val="center"/>
              <w:rPr>
                <w:rFonts w:ascii="Arial" w:hAnsi="Arial" w:cs="Arial"/>
                <w:b/>
                <w:color w:val="000000"/>
                <w:sz w:val="20"/>
                <w:szCs w:val="20"/>
                <w:lang w:val="en-GB" w:eastAsia="en-US"/>
              </w:rPr>
            </w:pPr>
            <w:r w:rsidRPr="0038278D">
              <w:rPr>
                <w:rFonts w:ascii="Arial" w:hAnsi="Arial" w:cs="Arial"/>
                <w:b/>
                <w:color w:val="000000"/>
                <w:sz w:val="20"/>
                <w:szCs w:val="20"/>
                <w:lang w:eastAsia="en-US"/>
              </w:rPr>
              <w:t>RRTA</w:t>
            </w:r>
          </w:p>
        </w:tc>
        <w:tc>
          <w:tcPr>
            <w:tcW w:w="1248" w:type="dxa"/>
          </w:tcPr>
          <w:p w14:paraId="738BA556" w14:textId="77777777" w:rsidR="0077375F" w:rsidRPr="0038278D"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US"/>
              </w:rPr>
            </w:pPr>
            <w:r w:rsidRPr="0038278D">
              <w:rPr>
                <w:rFonts w:ascii="Arial" w:hAnsi="Arial" w:cs="Arial"/>
                <w:b/>
                <w:color w:val="000000"/>
                <w:sz w:val="20"/>
                <w:szCs w:val="20"/>
                <w:lang w:eastAsia="en-US"/>
              </w:rPr>
              <w:t>Total</w:t>
            </w:r>
          </w:p>
        </w:tc>
      </w:tr>
      <w:tr w:rsidR="0077375F" w:rsidRPr="00CD4C53" w14:paraId="1BF92714"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3406B545"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Clubs/incorporated associations</w:t>
            </w:r>
          </w:p>
        </w:tc>
        <w:tc>
          <w:tcPr>
            <w:tcW w:w="1247" w:type="dxa"/>
          </w:tcPr>
          <w:p w14:paraId="0064D5A9"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w:t>
            </w:r>
          </w:p>
        </w:tc>
        <w:tc>
          <w:tcPr>
            <w:cnfStyle w:val="000010000000" w:firstRow="0" w:lastRow="0" w:firstColumn="0" w:lastColumn="0" w:oddVBand="1" w:evenVBand="0" w:oddHBand="0" w:evenHBand="0" w:firstRowFirstColumn="0" w:firstRowLastColumn="0" w:lastRowFirstColumn="0" w:lastRowLastColumn="0"/>
            <w:tcW w:w="1247" w:type="dxa"/>
          </w:tcPr>
          <w:p w14:paraId="376573B6"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4A14D340"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w:t>
            </w:r>
          </w:p>
        </w:tc>
      </w:tr>
      <w:tr w:rsidR="0077375F" w:rsidRPr="00CD4C53" w14:paraId="772E6BA8"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405CE22A"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Commonwealth Government Department</w:t>
            </w:r>
          </w:p>
        </w:tc>
        <w:tc>
          <w:tcPr>
            <w:tcW w:w="1247" w:type="dxa"/>
          </w:tcPr>
          <w:p w14:paraId="465D2C11"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3</w:t>
            </w:r>
          </w:p>
        </w:tc>
        <w:tc>
          <w:tcPr>
            <w:cnfStyle w:val="000010000000" w:firstRow="0" w:lastRow="0" w:firstColumn="0" w:lastColumn="0" w:oddVBand="1" w:evenVBand="0" w:oddHBand="0" w:evenHBand="0" w:firstRowFirstColumn="0" w:firstRowLastColumn="0" w:lastRowFirstColumn="0" w:lastRowLastColumn="0"/>
            <w:tcW w:w="1247" w:type="dxa"/>
          </w:tcPr>
          <w:p w14:paraId="7F705499"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136A7C47"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3</w:t>
            </w:r>
          </w:p>
        </w:tc>
      </w:tr>
      <w:tr w:rsidR="0077375F" w:rsidRPr="00CD4C53" w14:paraId="75706DCF"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4AE51141"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Educational institution</w:t>
            </w:r>
          </w:p>
        </w:tc>
        <w:tc>
          <w:tcPr>
            <w:tcW w:w="1247" w:type="dxa"/>
          </w:tcPr>
          <w:p w14:paraId="50D3C2F4"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55</w:t>
            </w:r>
          </w:p>
        </w:tc>
        <w:tc>
          <w:tcPr>
            <w:cnfStyle w:val="000010000000" w:firstRow="0" w:lastRow="0" w:firstColumn="0" w:lastColumn="0" w:oddVBand="1" w:evenVBand="0" w:oddHBand="0" w:evenHBand="0" w:firstRowFirstColumn="0" w:firstRowLastColumn="0" w:lastRowFirstColumn="0" w:lastRowLastColumn="0"/>
            <w:tcW w:w="1247" w:type="dxa"/>
          </w:tcPr>
          <w:p w14:paraId="66EAEA66"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5D2F2A23"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55</w:t>
            </w:r>
          </w:p>
        </w:tc>
      </w:tr>
      <w:tr w:rsidR="0077375F" w:rsidRPr="00CD4C53" w14:paraId="539FF784"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75318A05"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Government business enterprise</w:t>
            </w:r>
          </w:p>
        </w:tc>
        <w:tc>
          <w:tcPr>
            <w:tcW w:w="1247" w:type="dxa"/>
          </w:tcPr>
          <w:p w14:paraId="0888CA58"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9</w:t>
            </w:r>
          </w:p>
        </w:tc>
        <w:tc>
          <w:tcPr>
            <w:cnfStyle w:val="000010000000" w:firstRow="0" w:lastRow="0" w:firstColumn="0" w:lastColumn="0" w:oddVBand="1" w:evenVBand="0" w:oddHBand="0" w:evenHBand="0" w:firstRowFirstColumn="0" w:firstRowLastColumn="0" w:lastRowFirstColumn="0" w:lastRowLastColumn="0"/>
            <w:tcW w:w="1247" w:type="dxa"/>
          </w:tcPr>
          <w:p w14:paraId="02C7546F"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33FEDE39"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9</w:t>
            </w:r>
          </w:p>
        </w:tc>
      </w:tr>
      <w:tr w:rsidR="0077375F" w:rsidRPr="00CD4C53" w14:paraId="24D86CA9"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3AE76662"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Individual female</w:t>
            </w:r>
          </w:p>
        </w:tc>
        <w:tc>
          <w:tcPr>
            <w:tcW w:w="1247" w:type="dxa"/>
          </w:tcPr>
          <w:p w14:paraId="5A4F98DD"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112</w:t>
            </w:r>
          </w:p>
        </w:tc>
        <w:tc>
          <w:tcPr>
            <w:cnfStyle w:val="000010000000" w:firstRow="0" w:lastRow="0" w:firstColumn="0" w:lastColumn="0" w:oddVBand="1" w:evenVBand="0" w:oddHBand="0" w:evenHBand="0" w:firstRowFirstColumn="0" w:firstRowLastColumn="0" w:lastRowFirstColumn="0" w:lastRowLastColumn="0"/>
            <w:tcW w:w="1247" w:type="dxa"/>
          </w:tcPr>
          <w:p w14:paraId="3AA83944"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62A9BD84"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112</w:t>
            </w:r>
          </w:p>
        </w:tc>
      </w:tr>
      <w:tr w:rsidR="0077375F" w:rsidRPr="00CD4C53" w14:paraId="060E68A7"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1DCD64F7"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Individual male</w:t>
            </w:r>
          </w:p>
        </w:tc>
        <w:tc>
          <w:tcPr>
            <w:tcW w:w="1247" w:type="dxa"/>
          </w:tcPr>
          <w:p w14:paraId="6BA71BD7"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158</w:t>
            </w:r>
          </w:p>
        </w:tc>
        <w:tc>
          <w:tcPr>
            <w:cnfStyle w:val="000010000000" w:firstRow="0" w:lastRow="0" w:firstColumn="0" w:lastColumn="0" w:oddVBand="1" w:evenVBand="0" w:oddHBand="0" w:evenHBand="0" w:firstRowFirstColumn="0" w:firstRowLastColumn="0" w:lastRowFirstColumn="0" w:lastRowLastColumn="0"/>
            <w:tcW w:w="1247" w:type="dxa"/>
          </w:tcPr>
          <w:p w14:paraId="04E3E538"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CD4C53">
              <w:rPr>
                <w:rFonts w:ascii="Arial" w:hAnsi="Arial" w:cs="Arial"/>
                <w:color w:val="000000"/>
                <w:sz w:val="20"/>
                <w:szCs w:val="20"/>
                <w:lang w:eastAsia="en-US"/>
              </w:rPr>
              <w:t>4</w:t>
            </w:r>
          </w:p>
        </w:tc>
        <w:tc>
          <w:tcPr>
            <w:tcW w:w="1248" w:type="dxa"/>
          </w:tcPr>
          <w:p w14:paraId="35DD4E37"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162</w:t>
            </w:r>
          </w:p>
        </w:tc>
      </w:tr>
      <w:tr w:rsidR="0077375F" w:rsidRPr="00CD4C53" w14:paraId="0489CFE1"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71D18BE2"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Local government</w:t>
            </w:r>
          </w:p>
        </w:tc>
        <w:tc>
          <w:tcPr>
            <w:tcW w:w="1247" w:type="dxa"/>
          </w:tcPr>
          <w:p w14:paraId="0EF0464E"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25</w:t>
            </w:r>
          </w:p>
        </w:tc>
        <w:tc>
          <w:tcPr>
            <w:cnfStyle w:val="000010000000" w:firstRow="0" w:lastRow="0" w:firstColumn="0" w:lastColumn="0" w:oddVBand="1" w:evenVBand="0" w:oddHBand="0" w:evenHBand="0" w:firstRowFirstColumn="0" w:firstRowLastColumn="0" w:lastRowFirstColumn="0" w:lastRowLastColumn="0"/>
            <w:tcW w:w="1247" w:type="dxa"/>
          </w:tcPr>
          <w:p w14:paraId="32C5D2B6"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6A3168AE"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25</w:t>
            </w:r>
          </w:p>
        </w:tc>
      </w:tr>
      <w:tr w:rsidR="0077375F" w:rsidRPr="00CD4C53" w14:paraId="4CA5AE9F"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35F89719" w14:textId="77777777" w:rsidR="0077375F" w:rsidRPr="00CD4C53" w:rsidRDefault="0077375F" w:rsidP="0077375F">
            <w:pPr>
              <w:widowControl w:val="0"/>
              <w:suppressAutoHyphens/>
              <w:autoSpaceDE w:val="0"/>
              <w:autoSpaceDN w:val="0"/>
              <w:adjustRightInd w:val="0"/>
              <w:spacing w:after="113" w:line="250" w:lineRule="atLeast"/>
              <w:textAlignment w:val="center"/>
              <w:rPr>
                <w:rFonts w:ascii="Arial" w:hAnsi="Arial" w:cs="Arial"/>
                <w:color w:val="000000"/>
                <w:sz w:val="20"/>
                <w:szCs w:val="20"/>
                <w:lang w:val="en-GB" w:eastAsia="en-US"/>
              </w:rPr>
            </w:pPr>
            <w:r w:rsidRPr="00CD4C53">
              <w:rPr>
                <w:rFonts w:ascii="Arial" w:hAnsi="Arial" w:cs="Arial"/>
                <w:color w:val="000000"/>
                <w:spacing w:val="-1"/>
                <w:sz w:val="20"/>
                <w:szCs w:val="20"/>
                <w:lang w:eastAsia="en-US"/>
              </w:rPr>
              <w:t>Not-for-profit non-</w:t>
            </w:r>
            <w:proofErr w:type="spellStart"/>
            <w:r w:rsidRPr="00CD4C53">
              <w:rPr>
                <w:rFonts w:ascii="Arial" w:hAnsi="Arial" w:cs="Arial"/>
                <w:color w:val="000000"/>
                <w:spacing w:val="-1"/>
                <w:sz w:val="20"/>
                <w:szCs w:val="20"/>
                <w:lang w:eastAsia="en-US"/>
              </w:rPr>
              <w:t>govt</w:t>
            </w:r>
            <w:proofErr w:type="spellEnd"/>
            <w:r w:rsidRPr="00CD4C53">
              <w:rPr>
                <w:rFonts w:ascii="Arial" w:hAnsi="Arial" w:cs="Arial"/>
                <w:color w:val="000000"/>
                <w:spacing w:val="-1"/>
                <w:sz w:val="20"/>
                <w:szCs w:val="20"/>
                <w:lang w:eastAsia="en-US"/>
              </w:rPr>
              <w:t xml:space="preserve"> org./non-educational religious org.</w:t>
            </w:r>
          </w:p>
        </w:tc>
        <w:tc>
          <w:tcPr>
            <w:tcW w:w="1247" w:type="dxa"/>
          </w:tcPr>
          <w:p w14:paraId="1CC961F1"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44</w:t>
            </w:r>
          </w:p>
        </w:tc>
        <w:tc>
          <w:tcPr>
            <w:cnfStyle w:val="000010000000" w:firstRow="0" w:lastRow="0" w:firstColumn="0" w:lastColumn="0" w:oddVBand="1" w:evenVBand="0" w:oddHBand="0" w:evenHBand="0" w:firstRowFirstColumn="0" w:firstRowLastColumn="0" w:lastRowFirstColumn="0" w:lastRowLastColumn="0"/>
            <w:tcW w:w="1247" w:type="dxa"/>
          </w:tcPr>
          <w:p w14:paraId="74BF1571"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CD4C53">
              <w:rPr>
                <w:rFonts w:ascii="Arial" w:hAnsi="Arial" w:cs="Arial"/>
                <w:color w:val="000000"/>
                <w:sz w:val="20"/>
                <w:szCs w:val="20"/>
                <w:lang w:eastAsia="en-US"/>
              </w:rPr>
              <w:t>1</w:t>
            </w:r>
          </w:p>
        </w:tc>
        <w:tc>
          <w:tcPr>
            <w:tcW w:w="1248" w:type="dxa"/>
          </w:tcPr>
          <w:p w14:paraId="61A68769"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45</w:t>
            </w:r>
          </w:p>
        </w:tc>
      </w:tr>
      <w:tr w:rsidR="0077375F" w:rsidRPr="00CD4C53" w14:paraId="54E69F46"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0B28DDAF"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 xml:space="preserve">Other </w:t>
            </w:r>
          </w:p>
        </w:tc>
        <w:tc>
          <w:tcPr>
            <w:tcW w:w="1247" w:type="dxa"/>
          </w:tcPr>
          <w:p w14:paraId="39CD46D6"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12</w:t>
            </w:r>
          </w:p>
        </w:tc>
        <w:tc>
          <w:tcPr>
            <w:cnfStyle w:val="000010000000" w:firstRow="0" w:lastRow="0" w:firstColumn="0" w:lastColumn="0" w:oddVBand="1" w:evenVBand="0" w:oddHBand="0" w:evenHBand="0" w:firstRowFirstColumn="0" w:firstRowLastColumn="0" w:lastRowFirstColumn="0" w:lastRowLastColumn="0"/>
            <w:tcW w:w="1247" w:type="dxa"/>
          </w:tcPr>
          <w:p w14:paraId="1323456E"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4B2B3D97"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12</w:t>
            </w:r>
          </w:p>
        </w:tc>
      </w:tr>
      <w:tr w:rsidR="0077375F" w:rsidRPr="00CD4C53" w14:paraId="1C85AD30"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2E791CF8"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Private enterprise</w:t>
            </w:r>
          </w:p>
        </w:tc>
        <w:tc>
          <w:tcPr>
            <w:tcW w:w="1247" w:type="dxa"/>
          </w:tcPr>
          <w:p w14:paraId="77591614"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577</w:t>
            </w:r>
          </w:p>
        </w:tc>
        <w:tc>
          <w:tcPr>
            <w:cnfStyle w:val="000010000000" w:firstRow="0" w:lastRow="0" w:firstColumn="0" w:lastColumn="0" w:oddVBand="1" w:evenVBand="0" w:oddHBand="0" w:evenHBand="0" w:firstRowFirstColumn="0" w:firstRowLastColumn="0" w:lastRowFirstColumn="0" w:lastRowLastColumn="0"/>
            <w:tcW w:w="1247" w:type="dxa"/>
          </w:tcPr>
          <w:p w14:paraId="2FB1021D"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rPr>
                <w:rFonts w:ascii="Arial" w:hAnsi="Arial" w:cs="Arial"/>
                <w:color w:val="000000"/>
                <w:sz w:val="20"/>
                <w:szCs w:val="20"/>
                <w:lang w:val="en-GB" w:eastAsia="en-US"/>
              </w:rPr>
            </w:pPr>
            <w:r w:rsidRPr="00CD4C53">
              <w:rPr>
                <w:rFonts w:ascii="Arial" w:hAnsi="Arial" w:cs="Arial"/>
                <w:color w:val="000000"/>
                <w:sz w:val="20"/>
                <w:szCs w:val="20"/>
                <w:lang w:eastAsia="en-US"/>
              </w:rPr>
              <w:t>5</w:t>
            </w:r>
          </w:p>
        </w:tc>
        <w:tc>
          <w:tcPr>
            <w:tcW w:w="1248" w:type="dxa"/>
          </w:tcPr>
          <w:p w14:paraId="34AAEE53"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582</w:t>
            </w:r>
          </w:p>
        </w:tc>
      </w:tr>
      <w:tr w:rsidR="0077375F" w:rsidRPr="00CD4C53" w14:paraId="7E8DA1A2"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4F51C568"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State Government Department</w:t>
            </w:r>
          </w:p>
        </w:tc>
        <w:tc>
          <w:tcPr>
            <w:tcW w:w="1247" w:type="dxa"/>
          </w:tcPr>
          <w:p w14:paraId="0F0EFEC0"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105</w:t>
            </w:r>
          </w:p>
        </w:tc>
        <w:tc>
          <w:tcPr>
            <w:cnfStyle w:val="000010000000" w:firstRow="0" w:lastRow="0" w:firstColumn="0" w:lastColumn="0" w:oddVBand="1" w:evenVBand="0" w:oddHBand="0" w:evenHBand="0" w:firstRowFirstColumn="0" w:firstRowLastColumn="0" w:lastRowFirstColumn="0" w:lastRowLastColumn="0"/>
            <w:tcW w:w="1247" w:type="dxa"/>
          </w:tcPr>
          <w:p w14:paraId="4D4FC8AB"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08D21573"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105</w:t>
            </w:r>
          </w:p>
        </w:tc>
      </w:tr>
      <w:tr w:rsidR="0077375F" w:rsidRPr="00CD4C53" w14:paraId="2CCD7FE2" w14:textId="77777777" w:rsidTr="00821C2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980" w:type="dxa"/>
          </w:tcPr>
          <w:p w14:paraId="1A7EC149" w14:textId="77777777" w:rsidR="0077375F" w:rsidRPr="00CD4C53" w:rsidRDefault="0077375F" w:rsidP="0077375F">
            <w:pPr>
              <w:pStyle w:val="VEOHRCBodytext"/>
              <w:rPr>
                <w:rFonts w:cs="Arial"/>
                <w:sz w:val="20"/>
                <w:szCs w:val="20"/>
                <w:lang w:eastAsia="en-US"/>
              </w:rPr>
            </w:pPr>
            <w:r w:rsidRPr="00CD4C53">
              <w:rPr>
                <w:rFonts w:cs="Arial"/>
                <w:sz w:val="20"/>
                <w:szCs w:val="20"/>
                <w:lang w:eastAsia="en-US"/>
              </w:rPr>
              <w:t>State Government Statutory Authority</w:t>
            </w:r>
          </w:p>
        </w:tc>
        <w:tc>
          <w:tcPr>
            <w:tcW w:w="1247" w:type="dxa"/>
          </w:tcPr>
          <w:p w14:paraId="0BC9C3B2"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9</w:t>
            </w:r>
          </w:p>
        </w:tc>
        <w:tc>
          <w:tcPr>
            <w:cnfStyle w:val="000010000000" w:firstRow="0" w:lastRow="0" w:firstColumn="0" w:lastColumn="0" w:oddVBand="1" w:evenVBand="0" w:oddHBand="0" w:evenHBand="0" w:firstRowFirstColumn="0" w:firstRowLastColumn="0" w:lastRowFirstColumn="0" w:lastRowLastColumn="0"/>
            <w:tcW w:w="1247" w:type="dxa"/>
          </w:tcPr>
          <w:p w14:paraId="566543A7" w14:textId="77777777" w:rsidR="0077375F" w:rsidRPr="00CD4C53" w:rsidRDefault="0077375F" w:rsidP="0038278D">
            <w:pPr>
              <w:pStyle w:val="VEOHRCBodytext"/>
              <w:jc w:val="right"/>
              <w:rPr>
                <w:rFonts w:cs="Arial"/>
                <w:sz w:val="20"/>
                <w:szCs w:val="20"/>
                <w:lang w:eastAsia="en-US"/>
              </w:rPr>
            </w:pPr>
            <w:r w:rsidRPr="00CD4C53">
              <w:rPr>
                <w:rFonts w:cs="Arial"/>
                <w:sz w:val="20"/>
                <w:szCs w:val="20"/>
                <w:rtl/>
                <w:lang w:eastAsia="en-US" w:bidi="ar-YE"/>
              </w:rPr>
              <w:t> </w:t>
            </w:r>
          </w:p>
        </w:tc>
        <w:tc>
          <w:tcPr>
            <w:tcW w:w="1248" w:type="dxa"/>
          </w:tcPr>
          <w:p w14:paraId="05E13C28" w14:textId="77777777" w:rsidR="0077375F" w:rsidRPr="00CD4C53" w:rsidRDefault="0077375F" w:rsidP="0038278D">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en-US"/>
              </w:rPr>
            </w:pPr>
            <w:r w:rsidRPr="00CD4C53">
              <w:rPr>
                <w:rFonts w:ascii="Arial" w:hAnsi="Arial" w:cs="Arial"/>
                <w:color w:val="000000"/>
                <w:sz w:val="20"/>
                <w:szCs w:val="20"/>
                <w:lang w:eastAsia="en-US"/>
              </w:rPr>
              <w:t>9</w:t>
            </w:r>
          </w:p>
        </w:tc>
      </w:tr>
      <w:tr w:rsidR="0077375F" w:rsidRPr="00CD4C53" w14:paraId="797B9D84" w14:textId="77777777" w:rsidTr="00821C20">
        <w:trPr>
          <w:trHeight w:val="300"/>
        </w:trPr>
        <w:tc>
          <w:tcPr>
            <w:cnfStyle w:val="000010000000" w:firstRow="0" w:lastRow="0" w:firstColumn="0" w:lastColumn="0" w:oddVBand="1" w:evenVBand="0" w:oddHBand="0" w:evenHBand="0" w:firstRowFirstColumn="0" w:firstRowLastColumn="0" w:lastRowFirstColumn="0" w:lastRowLastColumn="0"/>
            <w:tcW w:w="5980" w:type="dxa"/>
          </w:tcPr>
          <w:p w14:paraId="62AFC12A" w14:textId="77777777" w:rsidR="0077375F" w:rsidRPr="0038278D" w:rsidRDefault="0077375F" w:rsidP="0038278D">
            <w:pPr>
              <w:pStyle w:val="VEOHRCBodytext"/>
              <w:rPr>
                <w:rFonts w:cs="Arial"/>
                <w:b/>
                <w:sz w:val="20"/>
                <w:szCs w:val="20"/>
                <w:lang w:eastAsia="en-US"/>
              </w:rPr>
            </w:pPr>
            <w:r w:rsidRPr="0038278D">
              <w:rPr>
                <w:rFonts w:cs="Arial"/>
                <w:b/>
                <w:sz w:val="20"/>
                <w:szCs w:val="20"/>
                <w:lang w:eastAsia="en-US"/>
              </w:rPr>
              <w:t>Total</w:t>
            </w:r>
          </w:p>
        </w:tc>
        <w:tc>
          <w:tcPr>
            <w:tcW w:w="1247" w:type="dxa"/>
          </w:tcPr>
          <w:p w14:paraId="0B924DB7" w14:textId="77777777" w:rsidR="0077375F" w:rsidRPr="0038278D" w:rsidRDefault="0077375F" w:rsidP="0038278D">
            <w:pPr>
              <w:pStyle w:val="VEOHRCBodytext"/>
              <w:jc w:val="right"/>
              <w:cnfStyle w:val="000000000000" w:firstRow="0" w:lastRow="0" w:firstColumn="0" w:lastColumn="0" w:oddVBand="0" w:evenVBand="0" w:oddHBand="0" w:evenHBand="0" w:firstRowFirstColumn="0" w:firstRowLastColumn="0" w:lastRowFirstColumn="0" w:lastRowLastColumn="0"/>
              <w:rPr>
                <w:rFonts w:cs="Arial"/>
                <w:b/>
                <w:sz w:val="20"/>
                <w:szCs w:val="20"/>
                <w:lang w:eastAsia="en-US"/>
              </w:rPr>
            </w:pPr>
            <w:r w:rsidRPr="0038278D">
              <w:rPr>
                <w:rFonts w:cs="Arial"/>
                <w:b/>
                <w:sz w:val="20"/>
                <w:szCs w:val="20"/>
                <w:lang w:eastAsia="en-US"/>
              </w:rPr>
              <w:t>1114</w:t>
            </w:r>
          </w:p>
        </w:tc>
        <w:tc>
          <w:tcPr>
            <w:cnfStyle w:val="000010000000" w:firstRow="0" w:lastRow="0" w:firstColumn="0" w:lastColumn="0" w:oddVBand="1" w:evenVBand="0" w:oddHBand="0" w:evenHBand="0" w:firstRowFirstColumn="0" w:firstRowLastColumn="0" w:lastRowFirstColumn="0" w:lastRowLastColumn="0"/>
            <w:tcW w:w="1247" w:type="dxa"/>
          </w:tcPr>
          <w:p w14:paraId="06BC16B6" w14:textId="77777777" w:rsidR="0077375F" w:rsidRPr="0038278D" w:rsidRDefault="0077375F" w:rsidP="0038278D">
            <w:pPr>
              <w:pStyle w:val="VEOHRCBodytext"/>
              <w:jc w:val="right"/>
              <w:rPr>
                <w:rFonts w:cs="Arial"/>
                <w:b/>
                <w:sz w:val="20"/>
                <w:szCs w:val="20"/>
                <w:lang w:eastAsia="en-US"/>
              </w:rPr>
            </w:pPr>
            <w:r w:rsidRPr="0038278D">
              <w:rPr>
                <w:rFonts w:cs="Arial"/>
                <w:b/>
                <w:sz w:val="20"/>
                <w:szCs w:val="20"/>
                <w:lang w:eastAsia="en-US"/>
              </w:rPr>
              <w:t>10</w:t>
            </w:r>
          </w:p>
        </w:tc>
        <w:tc>
          <w:tcPr>
            <w:tcW w:w="1248" w:type="dxa"/>
          </w:tcPr>
          <w:p w14:paraId="78C0048D" w14:textId="77777777" w:rsidR="0077375F" w:rsidRPr="0038278D" w:rsidRDefault="0077375F" w:rsidP="0038278D">
            <w:pPr>
              <w:pStyle w:val="VEOHRCBodytext"/>
              <w:jc w:val="right"/>
              <w:cnfStyle w:val="000000000000" w:firstRow="0" w:lastRow="0" w:firstColumn="0" w:lastColumn="0" w:oddVBand="0" w:evenVBand="0" w:oddHBand="0" w:evenHBand="0" w:firstRowFirstColumn="0" w:firstRowLastColumn="0" w:lastRowFirstColumn="0" w:lastRowLastColumn="0"/>
              <w:rPr>
                <w:rFonts w:cs="Arial"/>
                <w:b/>
                <w:sz w:val="20"/>
                <w:szCs w:val="20"/>
                <w:lang w:eastAsia="en-US"/>
              </w:rPr>
            </w:pPr>
            <w:r w:rsidRPr="0038278D">
              <w:rPr>
                <w:rFonts w:cs="Arial"/>
                <w:b/>
                <w:sz w:val="20"/>
                <w:szCs w:val="20"/>
                <w:lang w:eastAsia="en-US"/>
              </w:rPr>
              <w:t>1124</w:t>
            </w:r>
          </w:p>
        </w:tc>
      </w:tr>
    </w:tbl>
    <w:p w14:paraId="1656BA61" w14:textId="77777777" w:rsidR="0077375F" w:rsidRPr="0077375F" w:rsidRDefault="0077375F" w:rsidP="0077375F">
      <w:pPr>
        <w:pStyle w:val="VEOHRCBodytext"/>
        <w:rPr>
          <w:lang w:eastAsia="en-US"/>
        </w:rPr>
      </w:pPr>
    </w:p>
    <w:p w14:paraId="1838E499" w14:textId="77777777" w:rsidR="0077375F" w:rsidRPr="0077375F" w:rsidRDefault="0077375F" w:rsidP="00CD4C53">
      <w:pPr>
        <w:pStyle w:val="VEOHRCHeading1"/>
        <w:rPr>
          <w:lang w:eastAsia="en-US"/>
        </w:rPr>
      </w:pPr>
      <w:r w:rsidRPr="0077375F">
        <w:rPr>
          <w:lang w:eastAsia="en-US"/>
        </w:rPr>
        <w:t>Case studies of matters resolved through conciliation</w:t>
      </w:r>
    </w:p>
    <w:p w14:paraId="59A66E63" w14:textId="0A62A824" w:rsidR="0077375F" w:rsidRPr="0077375F" w:rsidRDefault="0077375F" w:rsidP="0077375F">
      <w:pPr>
        <w:pStyle w:val="VEOHRCHeading2"/>
        <w:rPr>
          <w:lang w:eastAsia="en-US"/>
        </w:rPr>
      </w:pPr>
      <w:r w:rsidRPr="0077375F">
        <w:rPr>
          <w:lang w:eastAsia="en-US"/>
        </w:rPr>
        <w:t>Disability discrimination</w:t>
      </w:r>
      <w:r w:rsidR="001B0C5C">
        <w:rPr>
          <w:lang w:eastAsia="en-US"/>
        </w:rPr>
        <w:t xml:space="preserve"> </w:t>
      </w:r>
      <w:r w:rsidRPr="0077375F">
        <w:rPr>
          <w:lang w:eastAsia="en-US"/>
        </w:rPr>
        <w:t>in employment</w:t>
      </w:r>
    </w:p>
    <w:p w14:paraId="60E5BDA1" w14:textId="77777777" w:rsidR="0077375F" w:rsidRPr="0077375F" w:rsidRDefault="0077375F" w:rsidP="0077375F">
      <w:pPr>
        <w:pStyle w:val="VEOHRCBodytext"/>
        <w:rPr>
          <w:lang w:eastAsia="en-US"/>
        </w:rPr>
      </w:pPr>
      <w:r w:rsidRPr="0077375F">
        <w:rPr>
          <w:lang w:eastAsia="en-US"/>
        </w:rPr>
        <w:t xml:space="preserve">A complainant injured herself outside of work and provided her employer with two medical certificates, one from her own doctor and one from the independent doctor </w:t>
      </w:r>
      <w:proofErr w:type="gramStart"/>
      <w:r w:rsidRPr="0077375F">
        <w:rPr>
          <w:lang w:eastAsia="en-US"/>
        </w:rPr>
        <w:t>she was referred to by her employer</w:t>
      </w:r>
      <w:proofErr w:type="gramEnd"/>
      <w:r w:rsidRPr="0077375F">
        <w:rPr>
          <w:lang w:eastAsia="en-US"/>
        </w:rPr>
        <w:t xml:space="preserve">. The medical certificates stated the complainant could return to work on reduced hours. On her return to work she was taken aside by her manager and told she could not return until she was fit for full-time duties, as they did not want to risk a </w:t>
      </w:r>
      <w:proofErr w:type="spellStart"/>
      <w:r w:rsidRPr="0077375F">
        <w:rPr>
          <w:lang w:eastAsia="en-US"/>
        </w:rPr>
        <w:t>WorkCover</w:t>
      </w:r>
      <w:proofErr w:type="spellEnd"/>
      <w:r w:rsidRPr="0077375F">
        <w:rPr>
          <w:lang w:eastAsia="en-US"/>
        </w:rPr>
        <w:t xml:space="preserve"> claim being made by her. The complainant was told if she did not want to wait the three months to fully heal, she could find other work. </w:t>
      </w:r>
    </w:p>
    <w:p w14:paraId="68A8B861" w14:textId="76413390" w:rsidR="0077375F" w:rsidRPr="0077375F" w:rsidRDefault="0077375F" w:rsidP="0077375F">
      <w:pPr>
        <w:pStyle w:val="VEOHRCBodytext"/>
        <w:rPr>
          <w:lang w:eastAsia="en-US"/>
        </w:rPr>
      </w:pPr>
      <w:r w:rsidRPr="0077375F">
        <w:rPr>
          <w:lang w:eastAsia="en-US"/>
        </w:rPr>
        <w:t>When contacted by the Commission, the respondent denied the allegations but agreed</w:t>
      </w:r>
      <w:r w:rsidR="001B0C5C">
        <w:rPr>
          <w:lang w:eastAsia="en-US"/>
        </w:rPr>
        <w:t xml:space="preserve"> </w:t>
      </w:r>
      <w:r w:rsidRPr="0077375F">
        <w:rPr>
          <w:lang w:eastAsia="en-US"/>
        </w:rPr>
        <w:t xml:space="preserve">to attend a conciliation conference. The complaint was resolved with an agreement to provide the complainant with a statement of service, undertake equal opportunity training for all managers of the organisation and pay $25,000 compensation. </w:t>
      </w:r>
    </w:p>
    <w:p w14:paraId="2BB65AD9" w14:textId="77777777" w:rsidR="0077375F" w:rsidRPr="0077375F" w:rsidRDefault="0077375F" w:rsidP="0077375F">
      <w:pPr>
        <w:pStyle w:val="VEOHRCHeading2"/>
        <w:rPr>
          <w:lang w:eastAsia="en-US"/>
        </w:rPr>
      </w:pPr>
      <w:r w:rsidRPr="0077375F">
        <w:rPr>
          <w:lang w:eastAsia="en-US"/>
        </w:rPr>
        <w:t>Disability discrimination in accommodation ñ assistance dog</w:t>
      </w:r>
    </w:p>
    <w:p w14:paraId="0DC8091B" w14:textId="77777777" w:rsidR="0077375F" w:rsidRPr="0077375F" w:rsidRDefault="0077375F" w:rsidP="0077375F">
      <w:pPr>
        <w:pStyle w:val="VEOHRCBodytext"/>
        <w:rPr>
          <w:lang w:eastAsia="en-US"/>
        </w:rPr>
      </w:pPr>
      <w:r w:rsidRPr="0077375F">
        <w:rPr>
          <w:lang w:eastAsia="en-US"/>
        </w:rPr>
        <w:t xml:space="preserve">A complainant made an appointment at a medical clinic that she had previously attended, and where staff knew she had an assistance dog. When she attended the appointment she was told she would have to </w:t>
      </w:r>
      <w:proofErr w:type="gramStart"/>
      <w:r w:rsidRPr="0077375F">
        <w:rPr>
          <w:lang w:eastAsia="en-US"/>
        </w:rPr>
        <w:t>reschedule</w:t>
      </w:r>
      <w:proofErr w:type="gramEnd"/>
      <w:r w:rsidRPr="0077375F">
        <w:rPr>
          <w:lang w:eastAsia="en-US"/>
        </w:rPr>
        <w:t xml:space="preserve"> as one of the medical staff </w:t>
      </w:r>
      <w:r w:rsidRPr="0077375F">
        <w:rPr>
          <w:lang w:eastAsia="en-US"/>
        </w:rPr>
        <w:lastRenderedPageBreak/>
        <w:t xml:space="preserve">was afraid of dogs. The complainant was upset that she had no opportunity to explain that her dog would not hurt anyone. </w:t>
      </w:r>
    </w:p>
    <w:p w14:paraId="4E121538" w14:textId="77777777" w:rsidR="0077375F" w:rsidRPr="0077375F" w:rsidRDefault="0077375F" w:rsidP="0077375F">
      <w:pPr>
        <w:pStyle w:val="VEOHRCBodytext"/>
        <w:rPr>
          <w:lang w:eastAsia="en-US"/>
        </w:rPr>
      </w:pPr>
      <w:r w:rsidRPr="0077375F">
        <w:rPr>
          <w:lang w:eastAsia="en-US"/>
        </w:rPr>
        <w:t xml:space="preserve">When contacted by the Commission, the respondent confirmed the complainant’s experience and, while a staff member did have a fear of dogs, it appeared there was little exploration into how this may have been managed without inconveniencing the complainant. The respondent expressed concern at what had occurred and the complaint was resolved with the respondent providing a written apology and equal opportunity training to all staff. </w:t>
      </w:r>
    </w:p>
    <w:p w14:paraId="26C4D8F7" w14:textId="77777777" w:rsidR="0077375F" w:rsidRPr="0077375F" w:rsidRDefault="0077375F" w:rsidP="0077375F">
      <w:pPr>
        <w:pStyle w:val="VEOHRCHeading2"/>
        <w:rPr>
          <w:lang w:eastAsia="en-US"/>
        </w:rPr>
      </w:pPr>
      <w:r w:rsidRPr="0077375F">
        <w:rPr>
          <w:lang w:eastAsia="en-US"/>
        </w:rPr>
        <w:t>Age discrimination in employment (recruitment)</w:t>
      </w:r>
    </w:p>
    <w:p w14:paraId="68C44A7A" w14:textId="2301975F" w:rsidR="0077375F" w:rsidRPr="0077375F" w:rsidRDefault="0077375F" w:rsidP="0077375F">
      <w:pPr>
        <w:pStyle w:val="VEOHRCBodytext"/>
        <w:rPr>
          <w:lang w:eastAsia="en-US"/>
        </w:rPr>
      </w:pPr>
      <w:r w:rsidRPr="0077375F">
        <w:rPr>
          <w:lang w:eastAsia="en-US"/>
        </w:rPr>
        <w:t>A 50-year-old complainant sought employment through a recruitment agency. The recruiter told her she was too old for any administration jobs as companies were seeking younger workers. This caused the complainant to be anxious about her job prospects and she changed</w:t>
      </w:r>
      <w:r w:rsidR="001B0C5C">
        <w:rPr>
          <w:lang w:eastAsia="en-US"/>
        </w:rPr>
        <w:t xml:space="preserve"> </w:t>
      </w:r>
      <w:r w:rsidRPr="0077375F">
        <w:rPr>
          <w:lang w:eastAsia="en-US"/>
        </w:rPr>
        <w:t>job providers.</w:t>
      </w:r>
    </w:p>
    <w:p w14:paraId="4D6A26DA" w14:textId="07ED6F17" w:rsidR="0077375F" w:rsidRPr="0077375F" w:rsidRDefault="0077375F" w:rsidP="0077375F">
      <w:pPr>
        <w:pStyle w:val="VEOHRCBodytext"/>
        <w:rPr>
          <w:lang w:eastAsia="en-US"/>
        </w:rPr>
      </w:pPr>
      <w:r w:rsidRPr="0077375F">
        <w:rPr>
          <w:lang w:eastAsia="en-US"/>
        </w:rPr>
        <w:t>When contacted by the Commission the respondent agreed to negotiate a settlement</w:t>
      </w:r>
      <w:r w:rsidR="001B0C5C">
        <w:rPr>
          <w:lang w:eastAsia="en-US"/>
        </w:rPr>
        <w:t xml:space="preserve"> </w:t>
      </w:r>
      <w:r w:rsidRPr="0077375F">
        <w:rPr>
          <w:lang w:eastAsia="en-US"/>
        </w:rPr>
        <w:t>of this matter. The complaint was resolved for</w:t>
      </w:r>
      <w:r w:rsidR="001B0C5C">
        <w:rPr>
          <w:lang w:eastAsia="en-US"/>
        </w:rPr>
        <w:t xml:space="preserve"> </w:t>
      </w:r>
      <w:r w:rsidRPr="0077375F">
        <w:rPr>
          <w:lang w:eastAsia="en-US"/>
        </w:rPr>
        <w:t>a written apology, equal opportunity training</w:t>
      </w:r>
      <w:r w:rsidR="001B0C5C">
        <w:rPr>
          <w:lang w:eastAsia="en-US"/>
        </w:rPr>
        <w:t xml:space="preserve"> </w:t>
      </w:r>
      <w:r w:rsidRPr="0077375F">
        <w:rPr>
          <w:lang w:eastAsia="en-US"/>
        </w:rPr>
        <w:t xml:space="preserve">for all staff and $500 financial compensation. </w:t>
      </w:r>
    </w:p>
    <w:p w14:paraId="7C614EAF" w14:textId="77777777" w:rsidR="0077375F" w:rsidRPr="0077375F" w:rsidRDefault="0077375F" w:rsidP="0077375F">
      <w:pPr>
        <w:pStyle w:val="VEOHRCHeading2"/>
        <w:rPr>
          <w:lang w:eastAsia="en-US"/>
        </w:rPr>
      </w:pPr>
      <w:r w:rsidRPr="0077375F">
        <w:rPr>
          <w:lang w:eastAsia="en-US"/>
        </w:rPr>
        <w:t xml:space="preserve">Sexual harassment in employment </w:t>
      </w:r>
    </w:p>
    <w:p w14:paraId="3C149971" w14:textId="286C11A2" w:rsidR="0077375F" w:rsidRPr="0077375F" w:rsidRDefault="0077375F" w:rsidP="0077375F">
      <w:pPr>
        <w:pStyle w:val="VEOHRCBodytext"/>
        <w:rPr>
          <w:lang w:eastAsia="en-US"/>
        </w:rPr>
      </w:pPr>
      <w:r w:rsidRPr="0077375F">
        <w:rPr>
          <w:lang w:eastAsia="en-US"/>
        </w:rPr>
        <w:t>A complainant, who was employed within the fashion industry, alleged her employer subjected her to unwanted sexual comments and frequently made inappropriate physical contact. The complainant left the job after the respondent allegedly said he would like to get her alone</w:t>
      </w:r>
      <w:r w:rsidR="001B0C5C">
        <w:rPr>
          <w:lang w:eastAsia="en-US"/>
        </w:rPr>
        <w:t xml:space="preserve"> </w:t>
      </w:r>
      <w:r w:rsidRPr="0077375F">
        <w:rPr>
          <w:lang w:eastAsia="en-US"/>
        </w:rPr>
        <w:t xml:space="preserve">and kiss her. </w:t>
      </w:r>
    </w:p>
    <w:p w14:paraId="67CF8886" w14:textId="77777777" w:rsidR="0077375F" w:rsidRDefault="0077375F" w:rsidP="0077375F">
      <w:pPr>
        <w:pStyle w:val="VEOHRCBodytext"/>
        <w:rPr>
          <w:lang w:eastAsia="en-US"/>
        </w:rPr>
      </w:pPr>
      <w:r w:rsidRPr="0077375F">
        <w:rPr>
          <w:lang w:eastAsia="en-US"/>
        </w:rPr>
        <w:t xml:space="preserve">When contacted by the Commission the respondent agreed to attend a conciliation conference. The complaint was resolved with an apology, equal opportunity policies and training for all staff, and $25,000 financial compensation. </w:t>
      </w:r>
    </w:p>
    <w:p w14:paraId="1160ECCC" w14:textId="2D3AC2F3" w:rsidR="0077375F" w:rsidRPr="0077375F" w:rsidRDefault="0077375F" w:rsidP="0077375F">
      <w:pPr>
        <w:pStyle w:val="VEOHRCHeading2"/>
        <w:rPr>
          <w:lang w:eastAsia="en-US"/>
        </w:rPr>
      </w:pPr>
      <w:r w:rsidRPr="0077375F">
        <w:rPr>
          <w:lang w:eastAsia="en-US"/>
        </w:rPr>
        <w:t>Carer status discrimination</w:t>
      </w:r>
      <w:r w:rsidR="001B0C5C">
        <w:rPr>
          <w:lang w:eastAsia="en-US"/>
        </w:rPr>
        <w:t xml:space="preserve"> </w:t>
      </w:r>
      <w:r w:rsidRPr="0077375F">
        <w:rPr>
          <w:lang w:eastAsia="en-US"/>
        </w:rPr>
        <w:t>in employment</w:t>
      </w:r>
    </w:p>
    <w:p w14:paraId="4E690781" w14:textId="77777777" w:rsidR="0077375F" w:rsidRPr="0077375F" w:rsidRDefault="0077375F" w:rsidP="0077375F">
      <w:pPr>
        <w:pStyle w:val="VEOHRCBodytext"/>
        <w:rPr>
          <w:lang w:eastAsia="en-US"/>
        </w:rPr>
      </w:pPr>
      <w:r w:rsidRPr="0077375F">
        <w:rPr>
          <w:lang w:eastAsia="en-US"/>
        </w:rPr>
        <w:t xml:space="preserve">A complainant worked in retail and asked her employer for flexible work arrangements on her return from maternity leave. The complainant alleged she was denied the opportunity to return to her substantive position and that her employer required her to return to a junior role, as her substantive position had been filled. The respondent refused proposals she put forward for her return, so she resigned from her employment. </w:t>
      </w:r>
    </w:p>
    <w:p w14:paraId="2E51BEF3" w14:textId="77777777" w:rsidR="0077375F" w:rsidRPr="0077375F" w:rsidRDefault="0077375F" w:rsidP="0077375F">
      <w:pPr>
        <w:pStyle w:val="VEOHRCBodytext"/>
        <w:rPr>
          <w:lang w:eastAsia="en-US"/>
        </w:rPr>
      </w:pPr>
      <w:r w:rsidRPr="0077375F">
        <w:rPr>
          <w:lang w:eastAsia="en-US"/>
        </w:rPr>
        <w:t xml:space="preserve">When contacted by the Commission the respondent agreed to attend a conciliation conference. The complaint was resolved with $6500 financial compensation. </w:t>
      </w:r>
    </w:p>
    <w:p w14:paraId="11173703" w14:textId="77777777" w:rsidR="0077375F" w:rsidRPr="0077375F" w:rsidRDefault="0077375F" w:rsidP="00CD4C53">
      <w:pPr>
        <w:pStyle w:val="VEOHRCHeading2"/>
        <w:rPr>
          <w:color w:val="00ADEF"/>
          <w:lang w:eastAsia="en-US"/>
        </w:rPr>
      </w:pPr>
      <w:r w:rsidRPr="0077375F">
        <w:rPr>
          <w:lang w:eastAsia="en-US"/>
        </w:rPr>
        <w:t xml:space="preserve">Race discrimination in employment </w:t>
      </w:r>
    </w:p>
    <w:p w14:paraId="42A6338C" w14:textId="77777777" w:rsidR="0077375F" w:rsidRPr="0077375F" w:rsidRDefault="0077375F" w:rsidP="0077375F">
      <w:pPr>
        <w:pStyle w:val="VEOHRCBodytext"/>
        <w:rPr>
          <w:lang w:eastAsia="en-US"/>
        </w:rPr>
      </w:pPr>
      <w:r w:rsidRPr="0077375F">
        <w:rPr>
          <w:lang w:eastAsia="en-US"/>
        </w:rPr>
        <w:t xml:space="preserve">A complainant was employed in a restaurant as a kitchen hand and alleged that </w:t>
      </w:r>
      <w:proofErr w:type="gramStart"/>
      <w:r w:rsidRPr="0077375F">
        <w:rPr>
          <w:lang w:eastAsia="en-US"/>
        </w:rPr>
        <w:t>he was being bullied by co-workers</w:t>
      </w:r>
      <w:proofErr w:type="gramEnd"/>
      <w:r w:rsidRPr="0077375F">
        <w:rPr>
          <w:lang w:eastAsia="en-US"/>
        </w:rPr>
        <w:t xml:space="preserve">. He also alleged he was verbally abused and physically hit, and that reference to his race was regularly made, accompanied by profanity. He left the workplace and lodged a </w:t>
      </w:r>
      <w:proofErr w:type="spellStart"/>
      <w:r w:rsidRPr="0077375F">
        <w:rPr>
          <w:lang w:eastAsia="en-US"/>
        </w:rPr>
        <w:t>WorkCover</w:t>
      </w:r>
      <w:proofErr w:type="spellEnd"/>
      <w:r w:rsidRPr="0077375F">
        <w:rPr>
          <w:lang w:eastAsia="en-US"/>
        </w:rPr>
        <w:t xml:space="preserve"> claim.</w:t>
      </w:r>
    </w:p>
    <w:p w14:paraId="766980BE" w14:textId="77777777" w:rsidR="0077375F" w:rsidRDefault="0077375F" w:rsidP="0077375F">
      <w:pPr>
        <w:pStyle w:val="VEOHRCBodytext"/>
        <w:rPr>
          <w:lang w:eastAsia="en-US"/>
        </w:rPr>
      </w:pPr>
      <w:r w:rsidRPr="0077375F">
        <w:rPr>
          <w:lang w:eastAsia="en-US"/>
        </w:rPr>
        <w:t xml:space="preserve">When contacted by the Commission the respondent agreed to attend a conciliation conference. The complaint was resolved with a statement of regret, equal opportunity training for staff and $2000 financial compensation. </w:t>
      </w:r>
    </w:p>
    <w:p w14:paraId="0C6794AF" w14:textId="6DF57BDF" w:rsidR="0077375F" w:rsidRPr="0077375F" w:rsidRDefault="0077375F" w:rsidP="0077375F">
      <w:pPr>
        <w:pStyle w:val="VEOHRCHeading2"/>
        <w:rPr>
          <w:lang w:eastAsia="en-US"/>
        </w:rPr>
      </w:pPr>
      <w:r w:rsidRPr="0077375F">
        <w:rPr>
          <w:lang w:eastAsia="en-US"/>
        </w:rPr>
        <w:t>Pregnancy discrimination</w:t>
      </w:r>
      <w:r w:rsidR="001B0C5C">
        <w:rPr>
          <w:lang w:eastAsia="en-US"/>
        </w:rPr>
        <w:t xml:space="preserve"> </w:t>
      </w:r>
      <w:r w:rsidRPr="0077375F">
        <w:rPr>
          <w:lang w:eastAsia="en-US"/>
        </w:rPr>
        <w:t>in employment</w:t>
      </w:r>
    </w:p>
    <w:p w14:paraId="7CBFA236" w14:textId="77777777" w:rsidR="0077375F" w:rsidRPr="0077375F" w:rsidRDefault="0077375F" w:rsidP="0077375F">
      <w:pPr>
        <w:pStyle w:val="VEOHRCBodytext"/>
        <w:rPr>
          <w:lang w:eastAsia="en-US"/>
        </w:rPr>
      </w:pPr>
      <w:r w:rsidRPr="0077375F">
        <w:rPr>
          <w:lang w:eastAsia="en-US"/>
        </w:rPr>
        <w:t>A complainant worked on a casual basis in the hotel industry and had worked for the respondent for two years. When she became aware she was pregnant she informed her manager. The complainant alleged that in the following weeks her manager’s demeanour changed and the shifts she was offered were reduced and then ceased.</w:t>
      </w:r>
    </w:p>
    <w:p w14:paraId="5EBEF680" w14:textId="77777777" w:rsidR="0077375F" w:rsidRPr="0077375F" w:rsidRDefault="0077375F" w:rsidP="0077375F">
      <w:pPr>
        <w:pStyle w:val="VEOHRCBodytext"/>
        <w:rPr>
          <w:lang w:eastAsia="en-US"/>
        </w:rPr>
      </w:pPr>
      <w:r w:rsidRPr="0077375F">
        <w:rPr>
          <w:lang w:eastAsia="en-US"/>
        </w:rPr>
        <w:lastRenderedPageBreak/>
        <w:t xml:space="preserve">When contacted by the Commission the respondent agreed to attend a conciliation conference. The complaint was resolved with $2500 financial compensation. </w:t>
      </w:r>
    </w:p>
    <w:p w14:paraId="5F037EEA" w14:textId="77777777" w:rsidR="0077375F" w:rsidRPr="0077375F" w:rsidRDefault="0077375F" w:rsidP="0077375F">
      <w:pPr>
        <w:pStyle w:val="VEOHRCHeading2"/>
        <w:rPr>
          <w:lang w:eastAsia="en-US"/>
        </w:rPr>
      </w:pPr>
      <w:r w:rsidRPr="0077375F">
        <w:rPr>
          <w:lang w:eastAsia="en-US"/>
        </w:rPr>
        <w:t>Disability discrimination in education</w:t>
      </w:r>
    </w:p>
    <w:p w14:paraId="2428BEDC" w14:textId="77777777" w:rsidR="0077375F" w:rsidRPr="0077375F" w:rsidRDefault="0077375F" w:rsidP="0077375F">
      <w:pPr>
        <w:pStyle w:val="VEOHRCBodytext"/>
        <w:rPr>
          <w:lang w:eastAsia="en-US"/>
        </w:rPr>
      </w:pPr>
      <w:r w:rsidRPr="0077375F">
        <w:rPr>
          <w:lang w:eastAsia="en-US"/>
        </w:rPr>
        <w:t xml:space="preserve">A complainant alleged that </w:t>
      </w:r>
      <w:proofErr w:type="gramStart"/>
      <w:r w:rsidRPr="0077375F">
        <w:rPr>
          <w:lang w:eastAsia="en-US"/>
        </w:rPr>
        <w:t>her son, who has Autism Spectrum Disorder, was being bullied by classmates</w:t>
      </w:r>
      <w:proofErr w:type="gramEnd"/>
      <w:r w:rsidRPr="0077375F">
        <w:rPr>
          <w:lang w:eastAsia="en-US"/>
        </w:rPr>
        <w:t xml:space="preserve">. While the complainant acknowledged that her son’s reactions to the bullying were often inappropriate, it was contended that he was the one being punished and little was done to prevent the bullying. </w:t>
      </w:r>
    </w:p>
    <w:p w14:paraId="4A2ECE52" w14:textId="31E289E0" w:rsidR="0077375F" w:rsidRPr="0077375F" w:rsidRDefault="0077375F" w:rsidP="0077375F">
      <w:pPr>
        <w:pStyle w:val="VEOHRCBodytext"/>
        <w:rPr>
          <w:lang w:eastAsia="en-US"/>
        </w:rPr>
      </w:pPr>
      <w:r w:rsidRPr="0077375F">
        <w:rPr>
          <w:lang w:eastAsia="en-US"/>
        </w:rPr>
        <w:t>The complainant claimed the school did not understand her son’s disability and that his individual learning plan, which was created when he commenced at the school, was not modified over the years. Her son was expelled from the school and had since enrolled at a</w:t>
      </w:r>
      <w:r w:rsidR="001B0C5C">
        <w:rPr>
          <w:lang w:eastAsia="en-US"/>
        </w:rPr>
        <w:t xml:space="preserve"> </w:t>
      </w:r>
      <w:r w:rsidRPr="0077375F">
        <w:rPr>
          <w:lang w:eastAsia="en-US"/>
        </w:rPr>
        <w:t>new school.</w:t>
      </w:r>
    </w:p>
    <w:p w14:paraId="1BAA8F3C" w14:textId="7C61277B" w:rsidR="0077375F" w:rsidRDefault="0077375F" w:rsidP="0077375F">
      <w:pPr>
        <w:pStyle w:val="VEOHRCBodytext"/>
        <w:rPr>
          <w:lang w:eastAsia="en-US"/>
        </w:rPr>
      </w:pPr>
      <w:r w:rsidRPr="0077375F">
        <w:rPr>
          <w:lang w:eastAsia="en-US"/>
        </w:rPr>
        <w:t>When contacted by the Commission the respondent denied the allegations of discrimination but agreed to attend a</w:t>
      </w:r>
      <w:r w:rsidR="001B0C5C">
        <w:rPr>
          <w:lang w:eastAsia="en-US"/>
        </w:rPr>
        <w:t xml:space="preserve"> </w:t>
      </w:r>
      <w:r w:rsidRPr="0077375F">
        <w:rPr>
          <w:lang w:eastAsia="en-US"/>
        </w:rPr>
        <w:t xml:space="preserve">conciliation conference. The complaint was resolved with a statement of regret and $7000 financial compensation. </w:t>
      </w:r>
    </w:p>
    <w:p w14:paraId="6817F4E7" w14:textId="043C62E5" w:rsidR="0077375F" w:rsidRPr="0077375F" w:rsidRDefault="0077375F" w:rsidP="0077375F">
      <w:pPr>
        <w:pStyle w:val="VEOHRCChapterTitle"/>
        <w:rPr>
          <w:lang w:eastAsia="en-US"/>
        </w:rPr>
      </w:pPr>
      <w:r w:rsidRPr="0077375F">
        <w:rPr>
          <w:lang w:eastAsia="en-US"/>
        </w:rPr>
        <w:lastRenderedPageBreak/>
        <w:t>Systemic discrimination</w:t>
      </w:r>
    </w:p>
    <w:p w14:paraId="7A1B3681" w14:textId="77777777" w:rsidR="0077375F" w:rsidRPr="0077375F" w:rsidRDefault="0077375F" w:rsidP="0077375F">
      <w:pPr>
        <w:pStyle w:val="VEOHRCBodytext"/>
        <w:rPr>
          <w:lang w:eastAsia="en-US"/>
        </w:rPr>
      </w:pPr>
      <w:r w:rsidRPr="0077375F">
        <w:rPr>
          <w:lang w:eastAsia="en-US"/>
        </w:rPr>
        <w:t xml:space="preserve">The Commission uses its research and information powers to identify systemic and institutional practices that create the environment in which discrimination occurs. We focus on areas of work where we can bring a particular human rights and equal opportunity focus to issues affecting members of our community. </w:t>
      </w:r>
    </w:p>
    <w:p w14:paraId="0106E4FC" w14:textId="77777777" w:rsidR="0077375F" w:rsidRPr="0077375F" w:rsidRDefault="0077375F" w:rsidP="0077375F">
      <w:pPr>
        <w:pStyle w:val="VEOHRCBodytext"/>
        <w:rPr>
          <w:lang w:eastAsia="en-US"/>
        </w:rPr>
      </w:pPr>
      <w:r w:rsidRPr="0077375F">
        <w:rPr>
          <w:lang w:eastAsia="en-US"/>
        </w:rPr>
        <w:t xml:space="preserve">To ensure our work is relevant and practical we involve a broad range of community members and stakeholders to contribute to improved outcomes for the Victorian community. </w:t>
      </w:r>
    </w:p>
    <w:p w14:paraId="008B3D3D" w14:textId="77777777" w:rsidR="0077375F" w:rsidRPr="0077375F" w:rsidRDefault="0077375F" w:rsidP="0077375F">
      <w:pPr>
        <w:pStyle w:val="VEOHRCHeading2"/>
        <w:rPr>
          <w:lang w:eastAsia="en-US"/>
        </w:rPr>
      </w:pPr>
      <w:r w:rsidRPr="0077375F">
        <w:rPr>
          <w:lang w:eastAsia="en-US"/>
        </w:rPr>
        <w:t>Disability Access Bench Book</w:t>
      </w:r>
    </w:p>
    <w:p w14:paraId="78B90EA5" w14:textId="1B6DA64D" w:rsidR="0077375F" w:rsidRPr="0077375F" w:rsidRDefault="0077375F" w:rsidP="0077375F">
      <w:pPr>
        <w:pStyle w:val="VEOHRCBodytext"/>
        <w:rPr>
          <w:lang w:eastAsia="en-US"/>
        </w:rPr>
      </w:pPr>
      <w:r w:rsidRPr="0077375F">
        <w:t xml:space="preserve">The Commission is developing a </w:t>
      </w:r>
      <w:r w:rsidRPr="0077375F">
        <w:rPr>
          <w:rStyle w:val="VEOHRCBodytextChar"/>
          <w:i/>
          <w:lang w:eastAsia="en-US"/>
        </w:rPr>
        <w:t>Disability Access Bench Book</w:t>
      </w:r>
      <w:r w:rsidRPr="0077375F">
        <w:t xml:space="preserve"> with the Judicial College of Victoria (JCV). This follows a recommendation to the JCV from the Commission’s report </w:t>
      </w:r>
      <w:proofErr w:type="gramStart"/>
      <w:r w:rsidRPr="0077375F">
        <w:rPr>
          <w:rStyle w:val="VEOHRCBodytextChar"/>
          <w:i/>
          <w:lang w:eastAsia="en-US"/>
        </w:rPr>
        <w:t>Beyond</w:t>
      </w:r>
      <w:proofErr w:type="gramEnd"/>
      <w:r w:rsidRPr="0077375F">
        <w:rPr>
          <w:rStyle w:val="VEOHRCBodytextChar"/>
          <w:i/>
          <w:lang w:eastAsia="en-US"/>
        </w:rPr>
        <w:t xml:space="preserve"> doubt: the experiences of people with disabilities</w:t>
      </w:r>
      <w:r w:rsidR="001B0C5C">
        <w:rPr>
          <w:rStyle w:val="VEOHRCBodytextChar"/>
          <w:i/>
          <w:lang w:eastAsia="en-US"/>
        </w:rPr>
        <w:t xml:space="preserve"> </w:t>
      </w:r>
      <w:r w:rsidRPr="0077375F">
        <w:rPr>
          <w:rStyle w:val="VEOHRCBodytextChar"/>
          <w:i/>
          <w:lang w:eastAsia="en-US"/>
        </w:rPr>
        <w:t xml:space="preserve">reporting crime. </w:t>
      </w:r>
    </w:p>
    <w:p w14:paraId="6E73D233" w14:textId="77777777" w:rsidR="0077375F" w:rsidRPr="0077375F" w:rsidRDefault="0077375F" w:rsidP="0077375F">
      <w:pPr>
        <w:pStyle w:val="VEOHRCBodytext"/>
        <w:rPr>
          <w:lang w:eastAsia="en-US"/>
        </w:rPr>
      </w:pPr>
      <w:r w:rsidRPr="0077375F">
        <w:rPr>
          <w:lang w:eastAsia="en-US"/>
        </w:rPr>
        <w:t xml:space="preserve">The first of its kind in Victoria, the </w:t>
      </w:r>
      <w:r w:rsidRPr="0077375F">
        <w:rPr>
          <w:rStyle w:val="VEOHRCBodytextChar"/>
          <w:i/>
          <w:lang w:eastAsia="en-US"/>
        </w:rPr>
        <w:t xml:space="preserve">Disability Access Bench Book </w:t>
      </w:r>
      <w:r w:rsidRPr="0077375F">
        <w:rPr>
          <w:lang w:eastAsia="en-US"/>
        </w:rPr>
        <w:t xml:space="preserve">provides detailed guidance for judges, magistrates and tribunal members on making adjustments for people with disabilities in courts and tribunals, to ensure they can participate on an equal basis with others. </w:t>
      </w:r>
    </w:p>
    <w:p w14:paraId="6C53E297" w14:textId="77777777" w:rsidR="0077375F" w:rsidRPr="0077375F" w:rsidRDefault="0077375F" w:rsidP="0077375F">
      <w:pPr>
        <w:pStyle w:val="VEOHRCBodytext"/>
        <w:rPr>
          <w:rStyle w:val="VEOHRCBodytextChar"/>
          <w:lang w:eastAsia="en-US"/>
        </w:rPr>
      </w:pPr>
      <w:proofErr w:type="gramStart"/>
      <w:r w:rsidRPr="0077375F">
        <w:rPr>
          <w:lang w:eastAsia="en-US"/>
        </w:rPr>
        <w:t>Set to be launched</w:t>
      </w:r>
      <w:proofErr w:type="gramEnd"/>
      <w:r w:rsidRPr="0077375F">
        <w:rPr>
          <w:lang w:eastAsia="en-US"/>
        </w:rPr>
        <w:t xml:space="preserve"> in 2016, the </w:t>
      </w:r>
      <w:r w:rsidRPr="0077375F">
        <w:rPr>
          <w:rStyle w:val="VEOHRCBodytextChar"/>
          <w:i/>
          <w:lang w:eastAsia="en-US"/>
        </w:rPr>
        <w:t>Disability Access Bench Book</w:t>
      </w:r>
      <w:r w:rsidRPr="0077375F">
        <w:rPr>
          <w:rStyle w:val="VEOHRCBodytextChar"/>
          <w:lang w:eastAsia="en-US"/>
        </w:rPr>
        <w:t xml:space="preserve"> is informed by consultations with a range of stakeholders including people with disabilities, disability organisations, government and legal organisations. </w:t>
      </w:r>
    </w:p>
    <w:p w14:paraId="1EB092A6" w14:textId="77777777" w:rsidR="0077375F" w:rsidRDefault="0077375F" w:rsidP="0077375F">
      <w:pPr>
        <w:pStyle w:val="VEOHRCBodytext"/>
        <w:rPr>
          <w:lang w:eastAsia="en-US"/>
        </w:rPr>
      </w:pPr>
      <w:r w:rsidRPr="0077375F">
        <w:rPr>
          <w:lang w:eastAsia="en-US"/>
        </w:rPr>
        <w:t xml:space="preserve">A Steering Committee established at the Judicial College oversees the project, and comprises Judge Elizabeth Gaynor of the County Court, Magistrate Ann Collins, VCAT Deputy President Genevieve </w:t>
      </w:r>
      <w:proofErr w:type="spellStart"/>
      <w:r w:rsidRPr="0077375F">
        <w:rPr>
          <w:lang w:eastAsia="en-US"/>
        </w:rPr>
        <w:t>Nihill</w:t>
      </w:r>
      <w:proofErr w:type="spellEnd"/>
      <w:r w:rsidRPr="0077375F">
        <w:rPr>
          <w:lang w:eastAsia="en-US"/>
        </w:rPr>
        <w:t xml:space="preserve">, Charlene </w:t>
      </w:r>
      <w:proofErr w:type="spellStart"/>
      <w:r w:rsidRPr="0077375F">
        <w:rPr>
          <w:lang w:eastAsia="en-US"/>
        </w:rPr>
        <w:t>Micallef</w:t>
      </w:r>
      <w:proofErr w:type="spellEnd"/>
      <w:r w:rsidRPr="0077375F">
        <w:rPr>
          <w:lang w:eastAsia="en-US"/>
        </w:rPr>
        <w:t xml:space="preserve">, Office of Public Prosecutions and Phil </w:t>
      </w:r>
      <w:proofErr w:type="spellStart"/>
      <w:r w:rsidRPr="0077375F">
        <w:rPr>
          <w:lang w:eastAsia="en-US"/>
        </w:rPr>
        <w:t>Grano</w:t>
      </w:r>
      <w:proofErr w:type="spellEnd"/>
      <w:r w:rsidRPr="0077375F">
        <w:rPr>
          <w:lang w:eastAsia="en-US"/>
        </w:rPr>
        <w:t xml:space="preserve"> from the Office of the Public Advocate. </w:t>
      </w:r>
    </w:p>
    <w:p w14:paraId="6672862A" w14:textId="5D6FA241" w:rsidR="0077375F" w:rsidRPr="0077375F" w:rsidRDefault="0077375F" w:rsidP="0077375F">
      <w:pPr>
        <w:pStyle w:val="VEOHRCHeading2"/>
        <w:rPr>
          <w:lang w:eastAsia="en-US"/>
        </w:rPr>
      </w:pPr>
      <w:r w:rsidRPr="0077375F">
        <w:rPr>
          <w:lang w:eastAsia="en-US"/>
        </w:rPr>
        <w:t>Male Champions of Change Victoria</w:t>
      </w:r>
    </w:p>
    <w:p w14:paraId="5291E2AE" w14:textId="6320E6A1" w:rsidR="0077375F" w:rsidRPr="0077375F" w:rsidRDefault="0077375F" w:rsidP="0077375F">
      <w:pPr>
        <w:pStyle w:val="VEOHRCBodytext"/>
        <w:rPr>
          <w:lang w:eastAsia="en-US"/>
        </w:rPr>
      </w:pPr>
      <w:r w:rsidRPr="0077375F">
        <w:rPr>
          <w:lang w:eastAsia="en-US"/>
        </w:rPr>
        <w:t>Established in April 2015, Male Champions of Change Victoria is focused on a strategy of engaging influential men to step up beside women to take action to advance gender equality. In 2015/16 the group led conversations with both male and female employees in their organisations to identify the barriers that need</w:t>
      </w:r>
      <w:r w:rsidR="001B0C5C">
        <w:rPr>
          <w:lang w:eastAsia="en-US"/>
        </w:rPr>
        <w:t xml:space="preserve"> </w:t>
      </w:r>
      <w:r w:rsidRPr="0077375F">
        <w:rPr>
          <w:lang w:eastAsia="en-US"/>
        </w:rPr>
        <w:t>to be tackled to advance women into positions of leadership.</w:t>
      </w:r>
    </w:p>
    <w:p w14:paraId="41B21CDB" w14:textId="77777777" w:rsidR="0077375F" w:rsidRPr="0077375F" w:rsidRDefault="0077375F" w:rsidP="0077375F">
      <w:pPr>
        <w:pStyle w:val="VEOHRCBodytext"/>
        <w:rPr>
          <w:lang w:eastAsia="en-US"/>
        </w:rPr>
      </w:pPr>
      <w:r w:rsidRPr="0077375F">
        <w:rPr>
          <w:lang w:eastAsia="en-US"/>
        </w:rPr>
        <w:t>The members are drawn from a wide range of fields including business, government, industry, the media, law enforcement, health and education. Together, they head organisations that make major economic, social and cultural contributions to our state, across Australia and internationally.</w:t>
      </w:r>
    </w:p>
    <w:p w14:paraId="6909C9C2" w14:textId="77777777" w:rsidR="0077375F" w:rsidRPr="0077375F" w:rsidRDefault="0077375F" w:rsidP="0077375F">
      <w:pPr>
        <w:pStyle w:val="VEOHRCBodytext"/>
        <w:rPr>
          <w:lang w:eastAsia="en-US"/>
        </w:rPr>
      </w:pPr>
      <w:r w:rsidRPr="0077375F">
        <w:rPr>
          <w:lang w:eastAsia="en-US"/>
        </w:rPr>
        <w:t xml:space="preserve">The Commission is proud to have been involved in the establishment of Male Champions of Change Victoria. Convened by Federal Sex Discrimination Commissioner Kate Jenkins, the group joined the newly incorporated national Male Champions of Change Institute in July 2016. </w:t>
      </w:r>
    </w:p>
    <w:p w14:paraId="6F858283" w14:textId="77777777" w:rsid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For more information visit </w:t>
      </w:r>
      <w:r w:rsidRPr="0077375F">
        <w:rPr>
          <w:rStyle w:val="VEOHRCURLChar"/>
          <w:lang w:val="en-GB" w:eastAsia="en-US"/>
        </w:rPr>
        <w:t>malechampionsofchange.com</w:t>
      </w:r>
    </w:p>
    <w:p w14:paraId="0C771BB1" w14:textId="76F6A785" w:rsidR="0077375F" w:rsidRPr="0077375F" w:rsidRDefault="0077375F" w:rsidP="0077375F">
      <w:pPr>
        <w:pStyle w:val="VEOHRCHeading2"/>
        <w:rPr>
          <w:lang w:eastAsia="en-US"/>
        </w:rPr>
      </w:pPr>
      <w:r w:rsidRPr="0077375F">
        <w:rPr>
          <w:lang w:eastAsia="en-US"/>
        </w:rPr>
        <w:t>Report Racism</w:t>
      </w:r>
    </w:p>
    <w:p w14:paraId="506E15D0" w14:textId="77777777" w:rsidR="0077375F" w:rsidRPr="0077375F" w:rsidRDefault="0077375F" w:rsidP="0077375F">
      <w:pPr>
        <w:pStyle w:val="VEOHRCBodytext"/>
        <w:rPr>
          <w:lang w:eastAsia="en-US"/>
        </w:rPr>
      </w:pPr>
      <w:r w:rsidRPr="0077375F">
        <w:rPr>
          <w:lang w:eastAsia="en-US"/>
        </w:rPr>
        <w:t>Report Racism is a third party reporting initiative from the Commission in partnership with Victoria Police and the Victorian Aboriginal Legal Service and was launched in August 2014. Third party reporting allows an individual to report racism to a designated community organisation, known as a Reporting Place, as well as directly to the Commission or police.</w:t>
      </w:r>
    </w:p>
    <w:p w14:paraId="2A47B577" w14:textId="77777777" w:rsidR="0077375F" w:rsidRPr="0077375F" w:rsidRDefault="0077375F" w:rsidP="0077375F">
      <w:pPr>
        <w:pStyle w:val="VEOHRCBodytext"/>
        <w:rPr>
          <w:lang w:eastAsia="en-US"/>
        </w:rPr>
      </w:pPr>
      <w:r w:rsidRPr="0077375F">
        <w:rPr>
          <w:lang w:eastAsia="en-US"/>
        </w:rPr>
        <w:lastRenderedPageBreak/>
        <w:t>The trial has focused on the Aboriginal community because research shows that this group experiences high levels of racism, which is very unlikely to be reported. Although Report Racism was primarily promoted to the Aboriginal community, the initiative accepted and responded to reports about racism toward any person in Victoria.</w:t>
      </w:r>
    </w:p>
    <w:p w14:paraId="1C095519" w14:textId="77777777" w:rsidR="0077375F" w:rsidRPr="0077375F" w:rsidRDefault="0077375F" w:rsidP="0077375F">
      <w:pPr>
        <w:pStyle w:val="VEOHRCBodytext"/>
        <w:rPr>
          <w:lang w:eastAsia="en-US"/>
        </w:rPr>
      </w:pPr>
      <w:r w:rsidRPr="0077375F">
        <w:rPr>
          <w:lang w:eastAsia="en-US"/>
        </w:rPr>
        <w:t xml:space="preserve">The Commission worked with the Regional Aboriginal Justice Advisory Committees to select Northern Melbourne (Cities of </w:t>
      </w:r>
      <w:proofErr w:type="spellStart"/>
      <w:r w:rsidRPr="0077375F">
        <w:rPr>
          <w:lang w:eastAsia="en-US"/>
        </w:rPr>
        <w:t>Yarra</w:t>
      </w:r>
      <w:proofErr w:type="spellEnd"/>
      <w:r w:rsidRPr="0077375F">
        <w:rPr>
          <w:lang w:eastAsia="en-US"/>
        </w:rPr>
        <w:t xml:space="preserve">, </w:t>
      </w:r>
      <w:proofErr w:type="spellStart"/>
      <w:r w:rsidRPr="0077375F">
        <w:rPr>
          <w:lang w:eastAsia="en-US"/>
        </w:rPr>
        <w:t>Darebin</w:t>
      </w:r>
      <w:proofErr w:type="spellEnd"/>
      <w:r w:rsidRPr="0077375F">
        <w:rPr>
          <w:lang w:eastAsia="en-US"/>
        </w:rPr>
        <w:t xml:space="preserve"> and </w:t>
      </w:r>
      <w:proofErr w:type="spellStart"/>
      <w:r w:rsidRPr="0077375F">
        <w:rPr>
          <w:lang w:eastAsia="en-US"/>
        </w:rPr>
        <w:t>Whittlesea</w:t>
      </w:r>
      <w:proofErr w:type="spellEnd"/>
      <w:r w:rsidRPr="0077375F">
        <w:rPr>
          <w:lang w:eastAsia="en-US"/>
        </w:rPr>
        <w:t xml:space="preserve">) and </w:t>
      </w:r>
      <w:proofErr w:type="spellStart"/>
      <w:r w:rsidRPr="0077375F">
        <w:rPr>
          <w:lang w:eastAsia="en-US"/>
        </w:rPr>
        <w:t>Shepparton</w:t>
      </w:r>
      <w:proofErr w:type="spellEnd"/>
      <w:r w:rsidRPr="0077375F">
        <w:rPr>
          <w:lang w:eastAsia="en-US"/>
        </w:rPr>
        <w:t xml:space="preserve"> (including </w:t>
      </w:r>
      <w:proofErr w:type="spellStart"/>
      <w:r w:rsidRPr="0077375F">
        <w:rPr>
          <w:lang w:eastAsia="en-US"/>
        </w:rPr>
        <w:t>Mooroopna</w:t>
      </w:r>
      <w:proofErr w:type="spellEnd"/>
      <w:r w:rsidRPr="0077375F">
        <w:rPr>
          <w:lang w:eastAsia="en-US"/>
        </w:rPr>
        <w:t xml:space="preserve">) as the two trial sites. Report Racism was launched in Northern Melbourne in August 2014 and in </w:t>
      </w:r>
      <w:proofErr w:type="spellStart"/>
      <w:r w:rsidRPr="0077375F">
        <w:rPr>
          <w:lang w:eastAsia="en-US"/>
        </w:rPr>
        <w:t>Shepparton</w:t>
      </w:r>
      <w:proofErr w:type="spellEnd"/>
      <w:r w:rsidRPr="0077375F">
        <w:rPr>
          <w:lang w:eastAsia="en-US"/>
        </w:rPr>
        <w:t xml:space="preserve"> in February 2015.</w:t>
      </w:r>
    </w:p>
    <w:p w14:paraId="2D1262C5" w14:textId="77777777" w:rsidR="0077375F" w:rsidRPr="0077375F" w:rsidRDefault="0077375F" w:rsidP="0077375F">
      <w:pPr>
        <w:pStyle w:val="VEOHRCBodytext"/>
        <w:rPr>
          <w:lang w:eastAsia="en-US"/>
        </w:rPr>
      </w:pPr>
      <w:r w:rsidRPr="0077375F">
        <w:rPr>
          <w:lang w:eastAsia="en-US"/>
        </w:rPr>
        <w:t>Report Racism received 54 reports during the trial. Of these, 15 were from the trial regions, and the rest were from other parts of Victoria. Twenty-five of the reports were regarding racism toward Aboriginal people, and the remaining 29 reports were about racism toward non-Aboriginal people. Three of the reports resulted in charges being laid.</w:t>
      </w:r>
    </w:p>
    <w:p w14:paraId="3563EC5E" w14:textId="77777777" w:rsidR="0077375F" w:rsidRPr="0077375F" w:rsidRDefault="0077375F" w:rsidP="0077375F">
      <w:pPr>
        <w:pStyle w:val="VEOHRCBodytext"/>
        <w:rPr>
          <w:lang w:eastAsia="en-US"/>
        </w:rPr>
      </w:pPr>
      <w:r w:rsidRPr="0077375F">
        <w:rPr>
          <w:lang w:eastAsia="en-US"/>
        </w:rPr>
        <w:t xml:space="preserve">The Commission contracted an independent consultant, PricewaterhouseCoopers Indigenous Consulting, to evaluate Report Racism. Their findings show that, while the initiative has been well received by community members, significant barriers continue to prevent the Aboriginal community from reporting racism. </w:t>
      </w:r>
    </w:p>
    <w:p w14:paraId="556FB2F4" w14:textId="77777777" w:rsidR="0077375F" w:rsidRPr="0077375F" w:rsidRDefault="0077375F" w:rsidP="0077375F">
      <w:pPr>
        <w:pStyle w:val="VEOHRCBodytext"/>
        <w:rPr>
          <w:lang w:eastAsia="en-US"/>
        </w:rPr>
      </w:pPr>
      <w:r w:rsidRPr="0077375F">
        <w:rPr>
          <w:lang w:eastAsia="en-US"/>
        </w:rPr>
        <w:t xml:space="preserve">The trial phase of the project was completed on 31 December 2015, and the project remains active while the Commission continues to evaluate and consult with stakeholders to inform a sustainable model for Report Racism. </w:t>
      </w:r>
    </w:p>
    <w:p w14:paraId="39312E8E" w14:textId="77777777" w:rsidR="0077375F" w:rsidRPr="0077375F" w:rsidRDefault="0077375F" w:rsidP="0077375F">
      <w:pPr>
        <w:pStyle w:val="VEOHRCHeading2"/>
        <w:rPr>
          <w:lang w:eastAsia="en-US"/>
        </w:rPr>
      </w:pPr>
      <w:proofErr w:type="gramStart"/>
      <w:r w:rsidRPr="0077375F">
        <w:rPr>
          <w:lang w:eastAsia="en-US"/>
        </w:rPr>
        <w:t>Fair go</w:t>
      </w:r>
      <w:proofErr w:type="gramEnd"/>
      <w:r w:rsidRPr="0077375F">
        <w:rPr>
          <w:lang w:eastAsia="en-US"/>
        </w:rPr>
        <w:t xml:space="preserve">, </w:t>
      </w:r>
      <w:proofErr w:type="gramStart"/>
      <w:r w:rsidRPr="0077375F">
        <w:rPr>
          <w:lang w:eastAsia="en-US"/>
        </w:rPr>
        <w:t>sport</w:t>
      </w:r>
      <w:proofErr w:type="gramEnd"/>
      <w:r w:rsidRPr="0077375F">
        <w:rPr>
          <w:lang w:eastAsia="en-US"/>
        </w:rPr>
        <w:t xml:space="preserve">! </w:t>
      </w:r>
      <w:proofErr w:type="gramStart"/>
      <w:r w:rsidRPr="0077375F">
        <w:rPr>
          <w:lang w:eastAsia="en-US"/>
        </w:rPr>
        <w:t>in</w:t>
      </w:r>
      <w:proofErr w:type="gramEnd"/>
      <w:r w:rsidRPr="0077375F">
        <w:rPr>
          <w:lang w:eastAsia="en-US"/>
        </w:rPr>
        <w:t xml:space="preserve"> schools</w:t>
      </w:r>
    </w:p>
    <w:p w14:paraId="2ED3D75A" w14:textId="77777777" w:rsidR="0077375F" w:rsidRPr="0077375F" w:rsidRDefault="0077375F" w:rsidP="0077375F">
      <w:pPr>
        <w:pStyle w:val="VEOHRCBodytext"/>
        <w:rPr>
          <w:lang w:eastAsia="en-US"/>
        </w:rPr>
      </w:pPr>
      <w:proofErr w:type="gramStart"/>
      <w:r w:rsidRPr="0077375F">
        <w:rPr>
          <w:lang w:eastAsia="en-US"/>
        </w:rPr>
        <w:t>Fair go</w:t>
      </w:r>
      <w:proofErr w:type="gramEnd"/>
      <w:r w:rsidRPr="0077375F">
        <w:rPr>
          <w:lang w:eastAsia="en-US"/>
        </w:rPr>
        <w:t xml:space="preserve">, </w:t>
      </w:r>
      <w:proofErr w:type="gramStart"/>
      <w:r w:rsidRPr="0077375F">
        <w:rPr>
          <w:lang w:eastAsia="en-US"/>
        </w:rPr>
        <w:t>sport</w:t>
      </w:r>
      <w:proofErr w:type="gramEnd"/>
      <w:r w:rsidRPr="0077375F">
        <w:rPr>
          <w:lang w:eastAsia="en-US"/>
        </w:rPr>
        <w:t xml:space="preserve">! </w:t>
      </w:r>
      <w:proofErr w:type="gramStart"/>
      <w:r w:rsidRPr="0077375F">
        <w:rPr>
          <w:lang w:eastAsia="en-US"/>
        </w:rPr>
        <w:t>works</w:t>
      </w:r>
      <w:proofErr w:type="gramEnd"/>
      <w:r w:rsidRPr="0077375F">
        <w:rPr>
          <w:lang w:eastAsia="en-US"/>
        </w:rPr>
        <w:t xml:space="preserve"> to tackle the issue of homophobic and </w:t>
      </w:r>
      <w:proofErr w:type="spellStart"/>
      <w:r w:rsidRPr="0077375F">
        <w:rPr>
          <w:lang w:eastAsia="en-US"/>
        </w:rPr>
        <w:t>transphobic</w:t>
      </w:r>
      <w:proofErr w:type="spellEnd"/>
      <w:r w:rsidRPr="0077375F">
        <w:rPr>
          <w:lang w:eastAsia="en-US"/>
        </w:rPr>
        <w:t xml:space="preserve"> harassment, discrimination and exclusion in sport. In 2015/16 the Commission worked with three schools – Manor Lakes College, Buckley Park College and </w:t>
      </w:r>
      <w:proofErr w:type="spellStart"/>
      <w:r w:rsidRPr="0077375F">
        <w:rPr>
          <w:lang w:eastAsia="en-US"/>
        </w:rPr>
        <w:t>Overnewton</w:t>
      </w:r>
      <w:proofErr w:type="spellEnd"/>
      <w:r w:rsidRPr="0077375F">
        <w:rPr>
          <w:lang w:eastAsia="en-US"/>
        </w:rPr>
        <w:t xml:space="preserve"> Anglican Community College – to make them safer and more inclusive for same-sex attracted and sex and gender diverse students, primarily through sport and physical education.</w:t>
      </w:r>
    </w:p>
    <w:p w14:paraId="0FF96267" w14:textId="73A653A5" w:rsidR="0077375F" w:rsidRP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0000"/>
          <w:sz w:val="16"/>
          <w:szCs w:val="16"/>
          <w:lang w:val="en-GB" w:eastAsia="en-US"/>
        </w:rPr>
      </w:pPr>
      <w:r w:rsidRPr="0077375F">
        <w:rPr>
          <w:rStyle w:val="VEOHRCBodytextChar"/>
          <w:lang w:eastAsia="en-US"/>
        </w:rPr>
        <w:t xml:space="preserve">The project was created as a response to research reports such as, </w:t>
      </w:r>
      <w:r w:rsidRPr="0077375F">
        <w:rPr>
          <w:rStyle w:val="VEOHRCBodytextChar"/>
          <w:i/>
          <w:lang w:eastAsia="en-US"/>
        </w:rPr>
        <w:t>Come out to play:</w:t>
      </w:r>
      <w:r w:rsidR="001B0C5C">
        <w:rPr>
          <w:rStyle w:val="VEOHRCBodytextChar"/>
          <w:i/>
          <w:lang w:eastAsia="en-US"/>
        </w:rPr>
        <w:t xml:space="preserve"> </w:t>
      </w:r>
      <w:r w:rsidRPr="0077375F">
        <w:rPr>
          <w:rStyle w:val="VEOHRCBodytextChar"/>
          <w:i/>
          <w:lang w:eastAsia="en-US"/>
        </w:rPr>
        <w:t>the sport experiences of LBGT communities</w:t>
      </w:r>
      <w:r w:rsidR="001B0C5C">
        <w:rPr>
          <w:rStyle w:val="VEOHRCBodytextChar"/>
          <w:i/>
          <w:lang w:eastAsia="en-US"/>
        </w:rPr>
        <w:t xml:space="preserve"> </w:t>
      </w:r>
      <w:r w:rsidRPr="0077375F">
        <w:rPr>
          <w:rStyle w:val="VEOHRCBodytextChar"/>
          <w:i/>
          <w:lang w:eastAsia="en-US"/>
        </w:rPr>
        <w:t>in Victoria, Writing Themselves In 3</w:t>
      </w:r>
      <w:r w:rsidRPr="0077375F">
        <w:rPr>
          <w:rStyle w:val="VEOHRCBodytextChar"/>
          <w:lang w:eastAsia="en-US"/>
        </w:rPr>
        <w:t>, the</w:t>
      </w:r>
      <w:r w:rsidRPr="0077375F">
        <w:rPr>
          <w:rStyle w:val="VEOHRCBodytextChar"/>
          <w:i/>
          <w:lang w:eastAsia="en-US"/>
        </w:rPr>
        <w:t xml:space="preserve"> </w:t>
      </w:r>
      <w:r w:rsidRPr="0077375F">
        <w:rPr>
          <w:rStyle w:val="VEOHRCBodytextChar"/>
          <w:lang w:eastAsia="en-US"/>
        </w:rPr>
        <w:t>Equal Play</w:t>
      </w:r>
      <w:r w:rsidRPr="0077375F">
        <w:rPr>
          <w:rStyle w:val="VEOHRCBodytextChar"/>
          <w:i/>
          <w:lang w:eastAsia="en-US"/>
        </w:rPr>
        <w:t xml:space="preserve"> </w:t>
      </w:r>
      <w:r w:rsidRPr="0077375F">
        <w:rPr>
          <w:rStyle w:val="VEOHRCBodytextChar"/>
          <w:lang w:eastAsia="en-US"/>
        </w:rPr>
        <w:t>study and the</w:t>
      </w:r>
      <w:r w:rsidRPr="0077375F">
        <w:rPr>
          <w:rStyle w:val="VEOHRCBodytextChar"/>
          <w:i/>
          <w:lang w:eastAsia="en-US"/>
        </w:rPr>
        <w:t xml:space="preserve"> </w:t>
      </w:r>
      <w:r w:rsidRPr="0077375F">
        <w:rPr>
          <w:rStyle w:val="VEOHRCBodytextChar"/>
          <w:lang w:eastAsia="en-US"/>
        </w:rPr>
        <w:t>Inclusive Sport survey, which found that:</w:t>
      </w:r>
    </w:p>
    <w:p w14:paraId="6D40C090" w14:textId="77777777" w:rsidR="0077375F" w:rsidRPr="0077375F" w:rsidRDefault="0077375F" w:rsidP="0077375F">
      <w:pPr>
        <w:pStyle w:val="VEOHRCListBullet"/>
        <w:rPr>
          <w:lang w:eastAsia="en-US"/>
        </w:rPr>
      </w:pPr>
      <w:r w:rsidRPr="0077375F">
        <w:rPr>
          <w:lang w:eastAsia="en-US"/>
        </w:rPr>
        <w:t>80 per cent of young people surveyed named their own school as the most common location for the abuse</w:t>
      </w:r>
    </w:p>
    <w:p w14:paraId="68284886" w14:textId="77777777" w:rsidR="0077375F" w:rsidRPr="0077375F" w:rsidRDefault="0077375F" w:rsidP="0077375F">
      <w:pPr>
        <w:pStyle w:val="VEOHRCListBullet"/>
        <w:rPr>
          <w:lang w:eastAsia="en-US"/>
        </w:rPr>
      </w:pPr>
      <w:proofErr w:type="gramStart"/>
      <w:r w:rsidRPr="0077375F">
        <w:rPr>
          <w:lang w:eastAsia="en-US"/>
        </w:rPr>
        <w:t>almost</w:t>
      </w:r>
      <w:proofErr w:type="gramEnd"/>
      <w:r w:rsidRPr="0077375F">
        <w:rPr>
          <w:lang w:eastAsia="en-US"/>
        </w:rPr>
        <w:t xml:space="preserve"> a third (32.3 per cent) of students experienced verbal harassment, with just under 30 per cent experiencing verbal abuse, in school-based sport.</w:t>
      </w:r>
    </w:p>
    <w:p w14:paraId="6C733264" w14:textId="77777777" w:rsidR="0077375F" w:rsidRPr="0077375F" w:rsidRDefault="0077375F" w:rsidP="0077375F">
      <w:pPr>
        <w:pStyle w:val="VEOHRCBodytext"/>
        <w:rPr>
          <w:lang w:eastAsia="en-US"/>
        </w:rPr>
      </w:pPr>
      <w:r w:rsidRPr="0077375F">
        <w:rPr>
          <w:lang w:eastAsia="en-US"/>
        </w:rPr>
        <w:t xml:space="preserve">To date seven schools in Victoria – Reservoir High School, </w:t>
      </w:r>
      <w:proofErr w:type="spellStart"/>
      <w:r w:rsidRPr="0077375F">
        <w:rPr>
          <w:lang w:eastAsia="en-US"/>
        </w:rPr>
        <w:t>Keilor</w:t>
      </w:r>
      <w:proofErr w:type="spellEnd"/>
      <w:r w:rsidRPr="0077375F">
        <w:rPr>
          <w:lang w:eastAsia="en-US"/>
        </w:rPr>
        <w:t xml:space="preserve"> Downs College, </w:t>
      </w:r>
      <w:proofErr w:type="spellStart"/>
      <w:r w:rsidRPr="0077375F">
        <w:rPr>
          <w:lang w:eastAsia="en-US"/>
        </w:rPr>
        <w:t>Whittlesea</w:t>
      </w:r>
      <w:proofErr w:type="spellEnd"/>
      <w:r w:rsidRPr="0077375F">
        <w:rPr>
          <w:lang w:eastAsia="en-US"/>
        </w:rPr>
        <w:t xml:space="preserve"> College, </w:t>
      </w:r>
      <w:proofErr w:type="spellStart"/>
      <w:r w:rsidRPr="0077375F">
        <w:rPr>
          <w:lang w:eastAsia="en-US"/>
        </w:rPr>
        <w:t>Castlemaine</w:t>
      </w:r>
      <w:proofErr w:type="spellEnd"/>
      <w:r w:rsidRPr="0077375F">
        <w:rPr>
          <w:lang w:eastAsia="en-US"/>
        </w:rPr>
        <w:t xml:space="preserve"> Secondary College, Buckley Park College, Manor Lakes College and </w:t>
      </w:r>
      <w:proofErr w:type="spellStart"/>
      <w:r w:rsidRPr="0077375F">
        <w:rPr>
          <w:lang w:eastAsia="en-US"/>
        </w:rPr>
        <w:t>Overnewton</w:t>
      </w:r>
      <w:proofErr w:type="spellEnd"/>
      <w:r w:rsidRPr="0077375F">
        <w:rPr>
          <w:lang w:eastAsia="en-US"/>
        </w:rPr>
        <w:t xml:space="preserve"> Anglican Community College – have used the Fair go, sport! </w:t>
      </w:r>
      <w:proofErr w:type="gramStart"/>
      <w:r w:rsidRPr="0077375F">
        <w:rPr>
          <w:lang w:eastAsia="en-US"/>
        </w:rPr>
        <w:t>approach</w:t>
      </w:r>
      <w:proofErr w:type="gramEnd"/>
      <w:r w:rsidRPr="0077375F">
        <w:rPr>
          <w:lang w:eastAsia="en-US"/>
        </w:rPr>
        <w:t xml:space="preserve"> of ‘five key principles’ to create safe and more inclusive school environments.</w:t>
      </w:r>
    </w:p>
    <w:p w14:paraId="1A610DE2" w14:textId="12F9EB8A" w:rsidR="0077375F" w:rsidRPr="0077375F" w:rsidRDefault="0077375F" w:rsidP="0077375F">
      <w:pPr>
        <w:pStyle w:val="VEOHRCBodytext"/>
        <w:rPr>
          <w:lang w:eastAsia="en-US"/>
        </w:rPr>
      </w:pPr>
      <w:r w:rsidRPr="0077375F">
        <w:rPr>
          <w:lang w:eastAsia="en-US"/>
        </w:rPr>
        <w:t xml:space="preserve">An independent evaluation of the program by La Trobe University found there was high level of engagement from schools and revealed a decrease in homophobic and </w:t>
      </w:r>
      <w:proofErr w:type="spellStart"/>
      <w:r w:rsidRPr="0077375F">
        <w:rPr>
          <w:lang w:eastAsia="en-US"/>
        </w:rPr>
        <w:t>transphobic</w:t>
      </w:r>
      <w:proofErr w:type="spellEnd"/>
      <w:r w:rsidRPr="0077375F">
        <w:rPr>
          <w:lang w:eastAsia="en-US"/>
        </w:rPr>
        <w:t xml:space="preserve"> language, increased respect of gender and diversity, and increased confidence in</w:t>
      </w:r>
      <w:r w:rsidR="001B0C5C">
        <w:rPr>
          <w:lang w:eastAsia="en-US"/>
        </w:rPr>
        <w:t xml:space="preserve"> </w:t>
      </w:r>
      <w:r w:rsidRPr="0077375F">
        <w:rPr>
          <w:lang w:eastAsia="en-US"/>
        </w:rPr>
        <w:t xml:space="preserve">challenging homophobic and </w:t>
      </w:r>
      <w:proofErr w:type="spellStart"/>
      <w:r w:rsidRPr="0077375F">
        <w:rPr>
          <w:lang w:eastAsia="en-US"/>
        </w:rPr>
        <w:t>transphobic</w:t>
      </w:r>
      <w:proofErr w:type="spellEnd"/>
      <w:r w:rsidRPr="0077375F">
        <w:rPr>
          <w:lang w:eastAsia="en-US"/>
        </w:rPr>
        <w:t xml:space="preserve"> behaviour and language. </w:t>
      </w:r>
    </w:p>
    <w:p w14:paraId="185E4BC7" w14:textId="77777777" w:rsidR="0077375F" w:rsidRPr="0077375F" w:rsidRDefault="0077375F" w:rsidP="0077375F">
      <w:pPr>
        <w:pStyle w:val="VEOHRCHeading2"/>
        <w:rPr>
          <w:lang w:eastAsia="en-US"/>
        </w:rPr>
      </w:pPr>
      <w:r w:rsidRPr="0077375F">
        <w:rPr>
          <w:lang w:eastAsia="en-US"/>
        </w:rPr>
        <w:t xml:space="preserve">Signs for Health: Improving </w:t>
      </w:r>
      <w:proofErr w:type="spellStart"/>
      <w:r w:rsidRPr="0077375F">
        <w:rPr>
          <w:lang w:eastAsia="en-US"/>
        </w:rPr>
        <w:t>Auslan</w:t>
      </w:r>
      <w:proofErr w:type="spellEnd"/>
      <w:r w:rsidRPr="0077375F">
        <w:rPr>
          <w:lang w:eastAsia="en-US"/>
        </w:rPr>
        <w:t xml:space="preserve"> and communication access in hospitals</w:t>
      </w:r>
    </w:p>
    <w:p w14:paraId="748DDF5E"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Signs for Health</w:t>
      </w:r>
      <w:r w:rsidRPr="0077375F">
        <w:rPr>
          <w:rStyle w:val="VEOHRCBodytextChar"/>
          <w:lang w:eastAsia="en-US"/>
        </w:rPr>
        <w:t xml:space="preserve"> aims to improve the use of </w:t>
      </w:r>
      <w:proofErr w:type="spellStart"/>
      <w:r w:rsidRPr="0077375F">
        <w:rPr>
          <w:rStyle w:val="VEOHRCBodytextChar"/>
          <w:lang w:eastAsia="en-US"/>
        </w:rPr>
        <w:t>Auslan</w:t>
      </w:r>
      <w:proofErr w:type="spellEnd"/>
      <w:r w:rsidRPr="0077375F">
        <w:rPr>
          <w:rStyle w:val="VEOHRCBodytextChar"/>
          <w:lang w:eastAsia="en-US"/>
        </w:rPr>
        <w:t xml:space="preserve"> in Victorian hospitals, in response to concerns raised by the Commission’s Disability Reference Group and other </w:t>
      </w:r>
      <w:r w:rsidRPr="0077375F">
        <w:rPr>
          <w:rStyle w:val="VEOHRCBodytextChar"/>
          <w:lang w:eastAsia="en-US"/>
        </w:rPr>
        <w:lastRenderedPageBreak/>
        <w:t xml:space="preserve">stakeholders. </w:t>
      </w:r>
    </w:p>
    <w:p w14:paraId="01BEFD55" w14:textId="77777777" w:rsidR="0077375F" w:rsidRPr="0077375F" w:rsidRDefault="0077375F" w:rsidP="0077375F">
      <w:pPr>
        <w:pStyle w:val="VEOHRCBodytext"/>
        <w:rPr>
          <w:lang w:eastAsia="en-US"/>
        </w:rPr>
      </w:pPr>
      <w:r w:rsidRPr="0077375F">
        <w:rPr>
          <w:lang w:eastAsia="en-US"/>
        </w:rPr>
        <w:t xml:space="preserve">Consultations conducted in hospitals in metropolitan Melbourne and regional Victoria showed varying levels of awareness among hospital staff about their legal obligations to provide </w:t>
      </w:r>
      <w:proofErr w:type="spellStart"/>
      <w:r w:rsidRPr="0077375F">
        <w:rPr>
          <w:lang w:eastAsia="en-US"/>
        </w:rPr>
        <w:t>Auslan</w:t>
      </w:r>
      <w:proofErr w:type="spellEnd"/>
      <w:r w:rsidRPr="0077375F">
        <w:rPr>
          <w:lang w:eastAsia="en-US"/>
        </w:rPr>
        <w:t xml:space="preserve"> interpreters and the technologies available to assist communication with people who are deaf, hard of hearing or </w:t>
      </w:r>
      <w:proofErr w:type="spellStart"/>
      <w:r w:rsidRPr="0077375F">
        <w:rPr>
          <w:lang w:eastAsia="en-US"/>
        </w:rPr>
        <w:t>deafblind</w:t>
      </w:r>
      <w:proofErr w:type="spellEnd"/>
      <w:r w:rsidRPr="0077375F">
        <w:rPr>
          <w:lang w:eastAsia="en-US"/>
        </w:rPr>
        <w:t xml:space="preserve">. The project recommendations included developing online resources for hospital staff and patients, as well as promoting training for hospital staff and amending the Department of Health and Human Services Language Services Policy to provide more information on communication methods for patients who are deaf, hard of hearing and </w:t>
      </w:r>
      <w:proofErr w:type="spellStart"/>
      <w:r w:rsidRPr="0077375F">
        <w:rPr>
          <w:lang w:eastAsia="en-US"/>
        </w:rPr>
        <w:t>deafblind</w:t>
      </w:r>
      <w:proofErr w:type="spellEnd"/>
      <w:r w:rsidRPr="0077375F">
        <w:rPr>
          <w:lang w:eastAsia="en-US"/>
        </w:rPr>
        <w:t xml:space="preserve">. </w:t>
      </w:r>
    </w:p>
    <w:p w14:paraId="170953D0"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As part of the implementation phase of this project, the Commission is developing the </w:t>
      </w:r>
      <w:r w:rsidRPr="0077375F">
        <w:rPr>
          <w:rStyle w:val="VEOHRCBodytextChar"/>
          <w:i/>
          <w:lang w:eastAsia="en-US"/>
        </w:rPr>
        <w:t>Signs for Health</w:t>
      </w:r>
      <w:r w:rsidRPr="0077375F">
        <w:rPr>
          <w:rStyle w:val="VEOHRCBodytextChar"/>
          <w:lang w:eastAsia="en-US"/>
        </w:rPr>
        <w:t xml:space="preserve"> website. The website will be launched in 2016 and provides:</w:t>
      </w:r>
    </w:p>
    <w:p w14:paraId="5BE1134D" w14:textId="77777777" w:rsidR="0077375F" w:rsidRPr="0077375F" w:rsidRDefault="0077375F" w:rsidP="0077375F">
      <w:pPr>
        <w:pStyle w:val="VEOHRCListBullet"/>
        <w:rPr>
          <w:lang w:eastAsia="en-US"/>
        </w:rPr>
      </w:pPr>
      <w:proofErr w:type="gramStart"/>
      <w:r w:rsidRPr="0077375F">
        <w:rPr>
          <w:lang w:eastAsia="en-US"/>
        </w:rPr>
        <w:t>information</w:t>
      </w:r>
      <w:proofErr w:type="gramEnd"/>
      <w:r w:rsidRPr="0077375F">
        <w:rPr>
          <w:lang w:eastAsia="en-US"/>
        </w:rPr>
        <w:t xml:space="preserve"> for staff in Victorian public hospitals about their responsibilities under the Victorian Equal Opportunity Act and the Charter as well as general information about working with patients who are deaf, hard of hearing or </w:t>
      </w:r>
      <w:proofErr w:type="spellStart"/>
      <w:r w:rsidRPr="0077375F">
        <w:rPr>
          <w:lang w:eastAsia="en-US"/>
        </w:rPr>
        <w:t>deafblind</w:t>
      </w:r>
      <w:proofErr w:type="spellEnd"/>
    </w:p>
    <w:p w14:paraId="64AE5F6A" w14:textId="77777777" w:rsidR="0077375F" w:rsidRPr="0077375F" w:rsidRDefault="0077375F" w:rsidP="0077375F">
      <w:pPr>
        <w:pStyle w:val="VEOHRCListBullet"/>
        <w:rPr>
          <w:lang w:eastAsia="en-US"/>
        </w:rPr>
      </w:pPr>
      <w:proofErr w:type="gramStart"/>
      <w:r w:rsidRPr="0077375F">
        <w:rPr>
          <w:lang w:eastAsia="en-US"/>
        </w:rPr>
        <w:t>information</w:t>
      </w:r>
      <w:proofErr w:type="gramEnd"/>
      <w:r w:rsidRPr="0077375F">
        <w:rPr>
          <w:lang w:eastAsia="en-US"/>
        </w:rPr>
        <w:t xml:space="preserve"> for patients who are deaf, hard of hearing or </w:t>
      </w:r>
      <w:proofErr w:type="spellStart"/>
      <w:r w:rsidRPr="0077375F">
        <w:rPr>
          <w:lang w:eastAsia="en-US"/>
        </w:rPr>
        <w:t>deafblind</w:t>
      </w:r>
      <w:proofErr w:type="spellEnd"/>
      <w:r w:rsidRPr="0077375F">
        <w:rPr>
          <w:lang w:eastAsia="en-US"/>
        </w:rPr>
        <w:t xml:space="preserve"> about their rights to </w:t>
      </w:r>
      <w:proofErr w:type="spellStart"/>
      <w:r w:rsidRPr="0077375F">
        <w:rPr>
          <w:lang w:eastAsia="en-US"/>
        </w:rPr>
        <w:t>Auslan</w:t>
      </w:r>
      <w:proofErr w:type="spellEnd"/>
      <w:r w:rsidRPr="0077375F">
        <w:rPr>
          <w:lang w:eastAsia="en-US"/>
        </w:rPr>
        <w:t xml:space="preserve"> interpreters and other communication access when they go to hospital. </w:t>
      </w:r>
    </w:p>
    <w:p w14:paraId="108F5BAC" w14:textId="77777777" w:rsidR="0077375F" w:rsidRPr="0077375F" w:rsidRDefault="0077375F" w:rsidP="0077375F">
      <w:pPr>
        <w:pStyle w:val="VEOHRCBodytext"/>
        <w:rPr>
          <w:lang w:eastAsia="en-US"/>
        </w:rPr>
      </w:pPr>
      <w:r w:rsidRPr="0077375F">
        <w:rPr>
          <w:lang w:eastAsia="en-US"/>
        </w:rPr>
        <w:t xml:space="preserve">The materials on the website will be available in </w:t>
      </w:r>
      <w:proofErr w:type="spellStart"/>
      <w:r w:rsidRPr="0077375F">
        <w:rPr>
          <w:lang w:eastAsia="en-US"/>
        </w:rPr>
        <w:t>Auslan</w:t>
      </w:r>
      <w:proofErr w:type="spellEnd"/>
      <w:r w:rsidRPr="0077375F">
        <w:rPr>
          <w:lang w:eastAsia="en-US"/>
        </w:rPr>
        <w:t xml:space="preserve"> and there will also be an Easy English resource for patients. </w:t>
      </w:r>
    </w:p>
    <w:p w14:paraId="6CDB4AF0" w14:textId="77777777" w:rsidR="0077375F" w:rsidRDefault="0077375F" w:rsidP="0077375F">
      <w:pPr>
        <w:pStyle w:val="VEOHRCBodytext"/>
        <w:rPr>
          <w:lang w:eastAsia="en-US"/>
        </w:rPr>
      </w:pPr>
      <w:proofErr w:type="gramStart"/>
      <w:r w:rsidRPr="0077375F">
        <w:rPr>
          <w:lang w:eastAsia="en-US"/>
        </w:rPr>
        <w:t xml:space="preserve">This project is supported by a Project Reference Group, including representatives from the Department of Health and Human Services, </w:t>
      </w:r>
      <w:proofErr w:type="spellStart"/>
      <w:r w:rsidRPr="0077375F">
        <w:rPr>
          <w:lang w:eastAsia="en-US"/>
        </w:rPr>
        <w:t>Vicdeaf</w:t>
      </w:r>
      <w:proofErr w:type="spellEnd"/>
      <w:r w:rsidRPr="0077375F">
        <w:rPr>
          <w:lang w:eastAsia="en-US"/>
        </w:rPr>
        <w:t xml:space="preserve">, Deaf Victoria, </w:t>
      </w:r>
      <w:proofErr w:type="spellStart"/>
      <w:r w:rsidRPr="0077375F">
        <w:rPr>
          <w:lang w:eastAsia="en-US"/>
        </w:rPr>
        <w:t>Bendigo</w:t>
      </w:r>
      <w:proofErr w:type="spellEnd"/>
      <w:r w:rsidRPr="0077375F">
        <w:rPr>
          <w:lang w:eastAsia="en-US"/>
        </w:rPr>
        <w:t xml:space="preserve"> Health and the Royal Women’s Hospital</w:t>
      </w:r>
      <w:proofErr w:type="gramEnd"/>
      <w:r w:rsidRPr="0077375F">
        <w:rPr>
          <w:lang w:eastAsia="en-US"/>
        </w:rPr>
        <w:t xml:space="preserve">. </w:t>
      </w:r>
    </w:p>
    <w:p w14:paraId="53806CFC" w14:textId="6FECDCB0" w:rsidR="0077375F" w:rsidRPr="0077375F" w:rsidRDefault="0077375F" w:rsidP="0077375F">
      <w:pPr>
        <w:pStyle w:val="VEOHRCChapterTitle"/>
        <w:rPr>
          <w:lang w:eastAsia="en-US"/>
        </w:rPr>
      </w:pPr>
      <w:r w:rsidRPr="0077375F">
        <w:rPr>
          <w:lang w:eastAsia="en-US"/>
        </w:rPr>
        <w:lastRenderedPageBreak/>
        <w:t>Increasing compliance and building good practice</w:t>
      </w:r>
    </w:p>
    <w:p w14:paraId="00E1D6FE" w14:textId="78E0ABA4" w:rsidR="0077375F" w:rsidRPr="0077375F" w:rsidRDefault="0077375F" w:rsidP="00821C20">
      <w:pPr>
        <w:pStyle w:val="VEOHRCHeading3"/>
        <w:rPr>
          <w:lang w:eastAsia="en-US"/>
        </w:rPr>
      </w:pPr>
      <w:r w:rsidRPr="0077375F">
        <w:rPr>
          <w:lang w:eastAsia="en-US"/>
        </w:rPr>
        <w:t>We work with duty holders such as employers, service providers and government to equip them to meet their obligations, improve their practice</w:t>
      </w:r>
      <w:r w:rsidR="001B0C5C">
        <w:rPr>
          <w:lang w:eastAsia="en-US"/>
        </w:rPr>
        <w:t xml:space="preserve"> </w:t>
      </w:r>
      <w:r w:rsidRPr="0077375F">
        <w:rPr>
          <w:lang w:eastAsia="en-US"/>
        </w:rPr>
        <w:t>and drive systemic change to</w:t>
      </w:r>
      <w:r w:rsidR="001B0C5C">
        <w:rPr>
          <w:lang w:eastAsia="en-US"/>
        </w:rPr>
        <w:t xml:space="preserve"> </w:t>
      </w:r>
      <w:r w:rsidRPr="0077375F">
        <w:rPr>
          <w:lang w:eastAsia="en-US"/>
        </w:rPr>
        <w:t>eliminate discrimination.</w:t>
      </w:r>
    </w:p>
    <w:p w14:paraId="730180C6" w14:textId="64713532" w:rsidR="0077375F" w:rsidRPr="0077375F" w:rsidRDefault="0077375F" w:rsidP="0038278D">
      <w:pPr>
        <w:pStyle w:val="VEOHRCHeading1"/>
        <w:rPr>
          <w:lang w:eastAsia="en-US"/>
        </w:rPr>
      </w:pPr>
      <w:r w:rsidRPr="0077375F">
        <w:rPr>
          <w:lang w:eastAsia="en-US"/>
        </w:rPr>
        <w:lastRenderedPageBreak/>
        <w:t>Education and</w:t>
      </w:r>
      <w:r w:rsidR="001B0C5C">
        <w:rPr>
          <w:lang w:eastAsia="en-US"/>
        </w:rPr>
        <w:t xml:space="preserve"> </w:t>
      </w:r>
      <w:r w:rsidRPr="0077375F">
        <w:rPr>
          <w:lang w:eastAsia="en-US"/>
        </w:rPr>
        <w:t>consultancy services</w:t>
      </w:r>
    </w:p>
    <w:p w14:paraId="1BB6161B" w14:textId="01AEE793" w:rsidR="0077375F" w:rsidRPr="0077375F" w:rsidRDefault="0077375F" w:rsidP="0077375F">
      <w:pPr>
        <w:pStyle w:val="VEOHRCBodytext"/>
        <w:rPr>
          <w:lang w:eastAsia="en-US"/>
        </w:rPr>
      </w:pPr>
      <w:r w:rsidRPr="0077375F">
        <w:rPr>
          <w:lang w:eastAsia="en-US"/>
        </w:rPr>
        <w:t>The Education and Consultancy Services unit delivers the Commission’s human rights and equal opportunity education and training through open enrolment programs, tailored workshops and organisational consultancy.</w:t>
      </w:r>
      <w:r w:rsidR="001B0C5C">
        <w:rPr>
          <w:lang w:eastAsia="en-US"/>
        </w:rPr>
        <w:t xml:space="preserve"> </w:t>
      </w:r>
      <w:r w:rsidRPr="0077375F">
        <w:rPr>
          <w:lang w:eastAsia="en-US"/>
        </w:rPr>
        <w:t>We work extensively with community, corporate and government stakeholders to develop practical approaches to good human rights</w:t>
      </w:r>
      <w:r w:rsidR="001B0C5C">
        <w:rPr>
          <w:lang w:eastAsia="en-US"/>
        </w:rPr>
        <w:t xml:space="preserve"> </w:t>
      </w:r>
      <w:r w:rsidRPr="0077375F">
        <w:rPr>
          <w:lang w:eastAsia="en-US"/>
        </w:rPr>
        <w:t xml:space="preserve">and equal opportunity practice. </w:t>
      </w:r>
    </w:p>
    <w:p w14:paraId="337AD7A9" w14:textId="77777777" w:rsidR="0077375F" w:rsidRPr="0077375F" w:rsidRDefault="0077375F" w:rsidP="0077375F">
      <w:pPr>
        <w:pStyle w:val="VEOHRCBodytext"/>
        <w:rPr>
          <w:lang w:eastAsia="en-US"/>
        </w:rPr>
      </w:pPr>
      <w:r w:rsidRPr="0077375F">
        <w:rPr>
          <w:lang w:eastAsia="en-US"/>
        </w:rPr>
        <w:t>In 2015/16 the Commission delivered 355 education and training sessions to 5131 participants. This included 28 calendar sessions, and more than 300 tailored sessions and speaking engagements delivered to a range of organisations including private sector (30 per cent), government (47 per cent) and community (22 per cent).</w:t>
      </w:r>
    </w:p>
    <w:p w14:paraId="01DB2AAA" w14:textId="77777777" w:rsid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More information, including online resources and a link to the training calendar, can be found at </w:t>
      </w:r>
      <w:r w:rsidRPr="0077375F">
        <w:rPr>
          <w:rStyle w:val="VEOHRCURLChar"/>
          <w:lang w:val="en-GB" w:eastAsia="en-US"/>
        </w:rPr>
        <w:t>humanrightscommission.vic.gov.au/training</w:t>
      </w:r>
      <w:r w:rsidRPr="0077375F">
        <w:rPr>
          <w:rStyle w:val="VEOHRCBodytextChar"/>
          <w:lang w:eastAsia="en-US"/>
        </w:rPr>
        <w:t xml:space="preserve">. , </w:t>
      </w:r>
      <w:proofErr w:type="gramStart"/>
      <w:r w:rsidRPr="0077375F">
        <w:rPr>
          <w:rStyle w:val="VEOHRCBodytextChar"/>
          <w:lang w:eastAsia="en-US"/>
        </w:rPr>
        <w:t>or</w:t>
      </w:r>
      <w:proofErr w:type="gramEnd"/>
      <w:r w:rsidRPr="0077375F">
        <w:rPr>
          <w:rStyle w:val="VEOHRCBodytextChar"/>
          <w:lang w:eastAsia="en-US"/>
        </w:rPr>
        <w:t xml:space="preserve"> to join our mailing list for calendar and training updates, please call us on (03) 9032 3415 or email </w:t>
      </w:r>
      <w:r w:rsidRPr="0077375F">
        <w:rPr>
          <w:rStyle w:val="VEOHRCURLChar"/>
          <w:lang w:val="en-GB" w:eastAsia="en-US"/>
        </w:rPr>
        <w:t>education@veohrc.vic.gov.au</w:t>
      </w:r>
      <w:r w:rsidRPr="0077375F">
        <w:rPr>
          <w:rStyle w:val="VEOHRCBodytextChar"/>
          <w:lang w:eastAsia="en-US"/>
        </w:rPr>
        <w:t>.</w:t>
      </w:r>
    </w:p>
    <w:p w14:paraId="4C79582E" w14:textId="7945B26E" w:rsidR="0077375F" w:rsidRPr="0077375F" w:rsidRDefault="0077375F" w:rsidP="0038278D">
      <w:pPr>
        <w:pStyle w:val="VEOHRCHeading2"/>
        <w:rPr>
          <w:lang w:eastAsia="en-US"/>
        </w:rPr>
      </w:pPr>
      <w:r w:rsidRPr="0077375F">
        <w:rPr>
          <w:lang w:eastAsia="en-US"/>
        </w:rPr>
        <w:t>Empowering the community</w:t>
      </w:r>
    </w:p>
    <w:p w14:paraId="6638CCA7" w14:textId="68DF2A93" w:rsidR="0077375F" w:rsidRPr="0077375F" w:rsidRDefault="0077375F" w:rsidP="0077375F">
      <w:pPr>
        <w:pStyle w:val="VEOHRCBodytext"/>
        <w:rPr>
          <w:lang w:eastAsia="en-US"/>
        </w:rPr>
      </w:pPr>
      <w:r w:rsidRPr="0077375F">
        <w:rPr>
          <w:lang w:eastAsia="en-US"/>
        </w:rPr>
        <w:t>The Commission has worked with community leaders and community educators to develop content and resources that meet the specific needs of the vulnerable communities they aim to engage. Training sessions about human rights were delivered to these community leaders.</w:t>
      </w:r>
      <w:r w:rsidR="001B0C5C">
        <w:rPr>
          <w:lang w:eastAsia="en-US"/>
        </w:rPr>
        <w:t xml:space="preserve"> </w:t>
      </w:r>
      <w:r w:rsidRPr="0077375F">
        <w:rPr>
          <w:lang w:eastAsia="en-US"/>
        </w:rPr>
        <w:t>The leaders are now equipped to deliver human rights education to their communities on a consistent and long-term basis.</w:t>
      </w:r>
    </w:p>
    <w:p w14:paraId="2C100ABF" w14:textId="19388FF3" w:rsidR="0077375F" w:rsidRPr="0077375F" w:rsidRDefault="0077375F" w:rsidP="0077375F">
      <w:pPr>
        <w:pStyle w:val="VEOHRCBodytext"/>
        <w:rPr>
          <w:lang w:eastAsia="en-US"/>
        </w:rPr>
      </w:pPr>
      <w:r w:rsidRPr="0077375F">
        <w:rPr>
          <w:lang w:eastAsia="en-US"/>
        </w:rPr>
        <w:t>Our work with rights holders extends to</w:t>
      </w:r>
      <w:r w:rsidR="001B0C5C">
        <w:rPr>
          <w:lang w:eastAsia="en-US"/>
        </w:rPr>
        <w:t xml:space="preserve"> </w:t>
      </w:r>
      <w:r w:rsidRPr="0077375F">
        <w:rPr>
          <w:lang w:eastAsia="en-US"/>
        </w:rPr>
        <w:t xml:space="preserve">working with disability advocates, CALD communities including refugee and migrant women, community health advocates, and student unions. </w:t>
      </w:r>
    </w:p>
    <w:p w14:paraId="7E790053" w14:textId="77777777" w:rsidR="0077375F" w:rsidRPr="0077375F" w:rsidRDefault="0077375F" w:rsidP="0038278D">
      <w:pPr>
        <w:pStyle w:val="VEOHRCHeading2"/>
        <w:rPr>
          <w:lang w:eastAsia="en-US"/>
        </w:rPr>
      </w:pPr>
      <w:r w:rsidRPr="0077375F">
        <w:rPr>
          <w:lang w:eastAsia="en-US"/>
        </w:rPr>
        <w:t>Organisational Design</w:t>
      </w:r>
    </w:p>
    <w:p w14:paraId="030E602D" w14:textId="77777777" w:rsidR="0077375F" w:rsidRPr="0077375F" w:rsidRDefault="0077375F" w:rsidP="0077375F">
      <w:pPr>
        <w:pStyle w:val="VEOHRCBodytext"/>
        <w:rPr>
          <w:lang w:eastAsia="en-US"/>
        </w:rPr>
      </w:pPr>
      <w:r w:rsidRPr="0077375F">
        <w:rPr>
          <w:lang w:eastAsia="en-US"/>
        </w:rPr>
        <w:t>Through our project work with organisations, we facilitate behaviour shifts and changes in practice. This approach incorporates whole-of-organisation or systems-based approaches through planned, systemic, long-range efforts that concentrate on developing and embedding diverse and inclusive organisational processes and culture.</w:t>
      </w:r>
    </w:p>
    <w:p w14:paraId="598C40BD" w14:textId="77777777" w:rsidR="0077375F" w:rsidRPr="0077375F" w:rsidRDefault="0077375F" w:rsidP="0038278D">
      <w:pPr>
        <w:pStyle w:val="VEOHRCHeading2"/>
        <w:rPr>
          <w:lang w:eastAsia="en-US"/>
        </w:rPr>
      </w:pPr>
      <w:r w:rsidRPr="0077375F">
        <w:rPr>
          <w:lang w:eastAsia="en-US"/>
        </w:rPr>
        <w:t xml:space="preserve">Working with government organisations </w:t>
      </w:r>
    </w:p>
    <w:p w14:paraId="749C7ACF" w14:textId="77777777" w:rsidR="0077375F" w:rsidRPr="0077375F" w:rsidRDefault="0077375F" w:rsidP="0077375F">
      <w:pPr>
        <w:pStyle w:val="VEOHRCBodytext"/>
        <w:rPr>
          <w:lang w:eastAsia="en-US"/>
        </w:rPr>
      </w:pPr>
      <w:r w:rsidRPr="0077375F">
        <w:rPr>
          <w:lang w:eastAsia="en-US"/>
        </w:rPr>
        <w:t>The Commission continues to lead Victoria in the provision of human rights and equal opportunity education and training to both duty holders and rights holders in numerous settings.</w:t>
      </w:r>
    </w:p>
    <w:p w14:paraId="39053847" w14:textId="07084541" w:rsidR="0077375F" w:rsidRDefault="0077375F" w:rsidP="0077375F">
      <w:pPr>
        <w:pStyle w:val="VEOHRCBodytext"/>
        <w:rPr>
          <w:lang w:eastAsia="en-US"/>
        </w:rPr>
      </w:pPr>
      <w:r w:rsidRPr="0077375F">
        <w:rPr>
          <w:lang w:eastAsia="en-US"/>
        </w:rPr>
        <w:t>This year we worked with state government departments providing public housing, youth justice, policing, identity and relationship registration and key complaints handling bodies. We have worked with a range of local governments, from councillors to local laws officers. We provided regular induction programs, introduction and refresher sessions and leadership workshops for senior leaders</w:t>
      </w:r>
      <w:r w:rsidR="001B0C5C">
        <w:rPr>
          <w:lang w:eastAsia="en-US"/>
        </w:rPr>
        <w:t xml:space="preserve"> </w:t>
      </w:r>
      <w:r w:rsidRPr="0077375F">
        <w:rPr>
          <w:lang w:eastAsia="en-US"/>
        </w:rPr>
        <w:t>in council.</w:t>
      </w:r>
    </w:p>
    <w:p w14:paraId="73E02D42" w14:textId="75221ED1" w:rsidR="0077375F" w:rsidRPr="0077375F" w:rsidRDefault="0077375F" w:rsidP="0038278D">
      <w:pPr>
        <w:pStyle w:val="VEOHRCHeading1"/>
        <w:rPr>
          <w:lang w:eastAsia="en-US"/>
        </w:rPr>
      </w:pPr>
      <w:r w:rsidRPr="0077375F">
        <w:rPr>
          <w:lang w:eastAsia="en-US"/>
        </w:rPr>
        <w:lastRenderedPageBreak/>
        <w:t>Partnerships</w:t>
      </w:r>
    </w:p>
    <w:p w14:paraId="7A3540EC" w14:textId="77777777" w:rsidR="0077375F" w:rsidRPr="0077375F" w:rsidRDefault="0077375F" w:rsidP="0038278D">
      <w:pPr>
        <w:pStyle w:val="VEOHRCHeading2"/>
        <w:rPr>
          <w:lang w:eastAsia="en-US"/>
        </w:rPr>
      </w:pPr>
      <w:r w:rsidRPr="0077375F">
        <w:rPr>
          <w:lang w:eastAsia="en-US"/>
        </w:rPr>
        <w:t>Beyond Doubt implementation</w:t>
      </w:r>
    </w:p>
    <w:p w14:paraId="680898FD" w14:textId="77777777" w:rsidR="0077375F" w:rsidRPr="0077375F" w:rsidRDefault="0077375F" w:rsidP="0077375F">
      <w:pPr>
        <w:pStyle w:val="VEOHRCBodytext"/>
        <w:rPr>
          <w:lang w:eastAsia="en-US"/>
        </w:rPr>
      </w:pPr>
      <w:r w:rsidRPr="0077375F">
        <w:t xml:space="preserve">The Commission is continuing its work with relevant organisations to implement recommendations from </w:t>
      </w:r>
      <w:r w:rsidRPr="0077375F">
        <w:rPr>
          <w:rStyle w:val="VEOHRCBodytextChar"/>
          <w:i/>
          <w:lang w:eastAsia="en-US"/>
        </w:rPr>
        <w:t>Beyond doubt: the experiences of people with disabilities reporting crime</w:t>
      </w:r>
      <w:r w:rsidRPr="0077375F">
        <w:rPr>
          <w:lang w:eastAsia="en-US"/>
        </w:rPr>
        <w:t>. Key activities and projects have included:</w:t>
      </w:r>
    </w:p>
    <w:p w14:paraId="2CE21A79" w14:textId="77777777" w:rsidR="0077375F" w:rsidRPr="0077375F" w:rsidRDefault="0077375F" w:rsidP="0077375F">
      <w:pPr>
        <w:pStyle w:val="VEOHRCBodytext"/>
        <w:rPr>
          <w:rStyle w:val="VEOHRCBodytextChar"/>
          <w:lang w:eastAsia="en-US"/>
        </w:rPr>
      </w:pPr>
      <w:proofErr w:type="gramStart"/>
      <w:r w:rsidRPr="0077375F">
        <w:rPr>
          <w:lang w:eastAsia="en-US"/>
        </w:rPr>
        <w:t>participation</w:t>
      </w:r>
      <w:proofErr w:type="gramEnd"/>
      <w:r w:rsidRPr="0077375F">
        <w:rPr>
          <w:lang w:eastAsia="en-US"/>
        </w:rPr>
        <w:t xml:space="preserve"> in the Victoria Police Disability Portfolio Reference Group, where implementation from </w:t>
      </w:r>
      <w:r w:rsidRPr="0077375F">
        <w:rPr>
          <w:rStyle w:val="VEOHRCBodytextChar"/>
          <w:i/>
          <w:lang w:eastAsia="en-US"/>
        </w:rPr>
        <w:t xml:space="preserve">Beyond doubt </w:t>
      </w:r>
      <w:r w:rsidRPr="0077375F">
        <w:rPr>
          <w:rStyle w:val="VEOHRCBodytextChar"/>
          <w:lang w:eastAsia="en-US"/>
        </w:rPr>
        <w:t xml:space="preserve">report is a core standing agenda item. Victoria Police also continue to progress a range of initiatives under </w:t>
      </w:r>
      <w:proofErr w:type="gramStart"/>
      <w:r w:rsidRPr="0077375F">
        <w:rPr>
          <w:rStyle w:val="VEOHRCBodytextChar"/>
          <w:lang w:eastAsia="en-US"/>
        </w:rPr>
        <w:t>their</w:t>
      </w:r>
      <w:proofErr w:type="gramEnd"/>
      <w:r w:rsidRPr="0077375F">
        <w:rPr>
          <w:rStyle w:val="VEOHRCBodytextChar"/>
          <w:lang w:eastAsia="en-US"/>
        </w:rPr>
        <w:t xml:space="preserve"> Accessibility Action Plan, which incorporates the recommendations from </w:t>
      </w:r>
      <w:r w:rsidRPr="0077375F">
        <w:rPr>
          <w:rStyle w:val="VEOHRCBodytextChar"/>
          <w:i/>
          <w:lang w:eastAsia="en-US"/>
        </w:rPr>
        <w:t>Beyond doubt</w:t>
      </w:r>
    </w:p>
    <w:p w14:paraId="791E5165" w14:textId="77777777" w:rsidR="0077375F" w:rsidRPr="0077375F" w:rsidRDefault="0077375F" w:rsidP="0077375F">
      <w:pPr>
        <w:pStyle w:val="VEOHRCListBullet"/>
        <w:rPr>
          <w:lang w:eastAsia="en-US"/>
        </w:rPr>
      </w:pPr>
      <w:proofErr w:type="gramStart"/>
      <w:r w:rsidRPr="0077375F">
        <w:rPr>
          <w:lang w:eastAsia="en-US"/>
        </w:rPr>
        <w:t>submissions</w:t>
      </w:r>
      <w:proofErr w:type="gramEnd"/>
      <w:r w:rsidRPr="0077375F">
        <w:rPr>
          <w:lang w:eastAsia="en-US"/>
        </w:rPr>
        <w:t xml:space="preserve"> to the Victorian Parliamentary Inquiry into Abuse in Disability Services, the Victorian Law Reform Commission review of the role of victims in the criminal trial process and to the National Disability Insurance Scheme (NDIS) quality and safeguarding framework </w:t>
      </w:r>
    </w:p>
    <w:p w14:paraId="1B258DCC" w14:textId="77777777" w:rsidR="0077375F" w:rsidRPr="0077375F" w:rsidRDefault="0077375F" w:rsidP="0077375F">
      <w:pPr>
        <w:pStyle w:val="VEOHRCListBullet"/>
        <w:rPr>
          <w:lang w:eastAsia="en-US"/>
        </w:rPr>
      </w:pPr>
      <w:proofErr w:type="gramStart"/>
      <w:r w:rsidRPr="0077375F">
        <w:rPr>
          <w:lang w:eastAsia="en-US"/>
        </w:rPr>
        <w:t>participation</w:t>
      </w:r>
      <w:proofErr w:type="gramEnd"/>
      <w:r w:rsidRPr="0077375F">
        <w:rPr>
          <w:lang w:eastAsia="en-US"/>
        </w:rPr>
        <w:t xml:space="preserve"> in the advisory group for the Department of Health and Human Services funded project with Scope, ‘Speak up to be safe from abuse’, involving the development of training and communication tools to strengthen safeguards and protect people with limited communication from abuse in residential and service settings</w:t>
      </w:r>
    </w:p>
    <w:p w14:paraId="0ABD9990"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lang w:eastAsia="en-US"/>
        </w:rPr>
      </w:pPr>
      <w:proofErr w:type="gramStart"/>
      <w:r w:rsidRPr="0077375F">
        <w:rPr>
          <w:rStyle w:val="VEOHRCBodytextChar"/>
          <w:lang w:eastAsia="en-US"/>
        </w:rPr>
        <w:t>work</w:t>
      </w:r>
      <w:proofErr w:type="gramEnd"/>
      <w:r w:rsidRPr="0077375F">
        <w:rPr>
          <w:rStyle w:val="VEOHRCBodytextChar"/>
          <w:lang w:eastAsia="en-US"/>
        </w:rPr>
        <w:t xml:space="preserve"> with Victoria Police and the Judicial College of Victoria to produce the Easy English resource </w:t>
      </w:r>
      <w:r w:rsidRPr="0077375F">
        <w:rPr>
          <w:rStyle w:val="VEOHRCBodytextChar"/>
          <w:i/>
          <w:lang w:eastAsia="en-US"/>
        </w:rPr>
        <w:t xml:space="preserve">Reporting crime: your rights </w:t>
      </w:r>
      <w:r w:rsidRPr="0077375F">
        <w:rPr>
          <w:rStyle w:val="VEOHRCBodytextChar"/>
          <w:lang w:eastAsia="en-US"/>
        </w:rPr>
        <w:t xml:space="preserve">and a </w:t>
      </w:r>
      <w:r w:rsidRPr="0077375F">
        <w:rPr>
          <w:rStyle w:val="VEOHRCBodytextChar"/>
          <w:i/>
          <w:lang w:eastAsia="en-US"/>
        </w:rPr>
        <w:t xml:space="preserve">Disability Access Bench Book </w:t>
      </w:r>
      <w:r w:rsidRPr="0077375F">
        <w:rPr>
          <w:rStyle w:val="VEOHRCBodytextChar"/>
          <w:lang w:eastAsia="en-US"/>
        </w:rPr>
        <w:t>for judicial officers.</w:t>
      </w:r>
    </w:p>
    <w:p w14:paraId="26B8E39C" w14:textId="61D704C0" w:rsidR="0077375F" w:rsidRPr="0077375F" w:rsidRDefault="0077375F" w:rsidP="0038278D">
      <w:pPr>
        <w:pStyle w:val="VEOHRCHeading2"/>
        <w:rPr>
          <w:lang w:eastAsia="en-US"/>
        </w:rPr>
      </w:pPr>
      <w:r w:rsidRPr="0077375F">
        <w:rPr>
          <w:lang w:eastAsia="en-US"/>
        </w:rPr>
        <w:t>Equitable briefing initiative:</w:t>
      </w:r>
      <w:r w:rsidR="001B0C5C">
        <w:rPr>
          <w:lang w:eastAsia="en-US"/>
        </w:rPr>
        <w:t xml:space="preserve"> </w:t>
      </w:r>
      <w:r w:rsidRPr="0077375F">
        <w:rPr>
          <w:lang w:eastAsia="en-US"/>
        </w:rPr>
        <w:t>achieving equitable representation of Victorian women barristers in commercial litigation</w:t>
      </w:r>
    </w:p>
    <w:p w14:paraId="1E00974A" w14:textId="35EF7382" w:rsidR="0077375F" w:rsidRPr="0077375F" w:rsidRDefault="0077375F" w:rsidP="0077375F">
      <w:pPr>
        <w:pStyle w:val="VEOHRCBodytext"/>
        <w:rPr>
          <w:lang w:eastAsia="en-US"/>
        </w:rPr>
      </w:pPr>
      <w:r w:rsidRPr="0077375F">
        <w:rPr>
          <w:lang w:eastAsia="en-US"/>
        </w:rPr>
        <w:t xml:space="preserve">In 2015/16, the Commercial Bar Association of Victoria, the Federal Court of Australia, the Supreme Court of Victoria and the Commission worked with leading law firms, government bodies and private companies to create a </w:t>
      </w:r>
      <w:proofErr w:type="spellStart"/>
      <w:r w:rsidRPr="0077375F">
        <w:rPr>
          <w:lang w:eastAsia="en-US"/>
        </w:rPr>
        <w:t>groundbreaking</w:t>
      </w:r>
      <w:proofErr w:type="spellEnd"/>
      <w:r w:rsidRPr="0077375F">
        <w:rPr>
          <w:lang w:eastAsia="en-US"/>
        </w:rPr>
        <w:t xml:space="preserve"> initiative aimed at more equitable briefing of commercial barristers</w:t>
      </w:r>
      <w:r w:rsidR="001B0C5C">
        <w:rPr>
          <w:lang w:eastAsia="en-US"/>
        </w:rPr>
        <w:t xml:space="preserve"> </w:t>
      </w:r>
      <w:r w:rsidRPr="0077375F">
        <w:rPr>
          <w:lang w:eastAsia="en-US"/>
        </w:rPr>
        <w:t>in Victoria.</w:t>
      </w:r>
    </w:p>
    <w:p w14:paraId="17B8AD87" w14:textId="77777777" w:rsidR="0077375F" w:rsidRPr="0077375F" w:rsidRDefault="0077375F" w:rsidP="0077375F">
      <w:pPr>
        <w:pStyle w:val="VEOHRCBodytext"/>
        <w:rPr>
          <w:lang w:eastAsia="en-US"/>
        </w:rPr>
      </w:pPr>
      <w:r w:rsidRPr="0077375F">
        <w:rPr>
          <w:lang w:eastAsia="en-US"/>
        </w:rPr>
        <w:t>Leading law firms and organisations have signed up to a three-year Charter of Commitment (2016–19) in a collective attempt to achieve gender equitable briefing practices in commercial litigation. The Charter of Commitment has six key actions, which aim to address some of the key barriers to achieving gender equitable briefing practices.</w:t>
      </w:r>
    </w:p>
    <w:p w14:paraId="578CAF6F" w14:textId="77777777" w:rsidR="0077375F" w:rsidRDefault="0077375F" w:rsidP="0077375F">
      <w:pPr>
        <w:pStyle w:val="VEOHRCBodytext"/>
        <w:rPr>
          <w:lang w:eastAsia="en-US"/>
        </w:rPr>
      </w:pPr>
      <w:r w:rsidRPr="0077375F">
        <w:rPr>
          <w:lang w:eastAsia="en-US"/>
        </w:rPr>
        <w:t>It is anticipated that as more firms and organisations become aware of the initiative, additional signatories will sign up to the Charter of Commitment. The initiative remains open to additional signatories.</w:t>
      </w:r>
    </w:p>
    <w:p w14:paraId="104A7C80" w14:textId="184CDB7B" w:rsidR="0077375F" w:rsidRPr="0077375F" w:rsidRDefault="0077375F" w:rsidP="0038278D">
      <w:pPr>
        <w:pStyle w:val="VEOHRCHeading2"/>
        <w:rPr>
          <w:lang w:eastAsia="en-US"/>
        </w:rPr>
      </w:pPr>
      <w:r w:rsidRPr="0077375F">
        <w:rPr>
          <w:lang w:eastAsia="en-US"/>
        </w:rPr>
        <w:t>Disability Reference Group</w:t>
      </w:r>
    </w:p>
    <w:p w14:paraId="14970608" w14:textId="77777777" w:rsidR="0077375F" w:rsidRPr="0077375F" w:rsidRDefault="0077375F" w:rsidP="0077375F">
      <w:pPr>
        <w:pStyle w:val="VEOHRCBodytext"/>
        <w:rPr>
          <w:lang w:eastAsia="en-US"/>
        </w:rPr>
      </w:pPr>
      <w:r w:rsidRPr="0077375F">
        <w:rPr>
          <w:lang w:eastAsia="en-US"/>
        </w:rPr>
        <w:t xml:space="preserve">Since 2004 the Disability Reference Group (DRG) has provided guidance to the Commission on systemic discrimination and human rights issues for people with disabilities in Victoria. Co-chaired by the Commissioner and community </w:t>
      </w:r>
      <w:proofErr w:type="gramStart"/>
      <w:r w:rsidRPr="0077375F">
        <w:rPr>
          <w:lang w:eastAsia="en-US"/>
        </w:rPr>
        <w:t>advocate</w:t>
      </w:r>
      <w:proofErr w:type="gramEnd"/>
      <w:r w:rsidRPr="0077375F">
        <w:rPr>
          <w:lang w:eastAsia="en-US"/>
        </w:rPr>
        <w:t xml:space="preserve"> Liz Wright, the group includes members who have direct experience of disability, parents of children with disabilities, service providers and advocates. The DRG (pictured above at their final meeting) met three times in 2015/16.</w:t>
      </w:r>
    </w:p>
    <w:p w14:paraId="00CF17FC" w14:textId="77777777" w:rsidR="0077375F" w:rsidRPr="0077375F" w:rsidRDefault="0077375F" w:rsidP="0077375F">
      <w:pPr>
        <w:pStyle w:val="VEOHRCBodytext"/>
        <w:rPr>
          <w:lang w:eastAsia="en-US"/>
        </w:rPr>
      </w:pPr>
      <w:r w:rsidRPr="0077375F">
        <w:rPr>
          <w:lang w:eastAsia="en-US"/>
        </w:rPr>
        <w:t xml:space="preserve">The DRG identified travel and employment as priority areas to focus on, noting that access to health </w:t>
      </w:r>
      <w:proofErr w:type="gramStart"/>
      <w:r w:rsidRPr="0077375F">
        <w:rPr>
          <w:lang w:eastAsia="en-US"/>
        </w:rPr>
        <w:t>services,</w:t>
      </w:r>
      <w:proofErr w:type="gramEnd"/>
      <w:r w:rsidRPr="0077375F">
        <w:rPr>
          <w:lang w:eastAsia="en-US"/>
        </w:rPr>
        <w:t xml:space="preserve"> premises and education were also identified as key issues for people with disabilities in Victoria.</w:t>
      </w:r>
    </w:p>
    <w:p w14:paraId="23D7BF11" w14:textId="77777777" w:rsidR="0077375F" w:rsidRPr="0077375F" w:rsidRDefault="0077375F" w:rsidP="0077375F">
      <w:pPr>
        <w:pStyle w:val="VEOHRCBodytext"/>
        <w:rPr>
          <w:lang w:eastAsia="en-US"/>
        </w:rPr>
      </w:pPr>
      <w:r w:rsidRPr="0077375F">
        <w:lastRenderedPageBreak/>
        <w:t xml:space="preserve">In the area of travel, DRG members provided advice to inform the Commission’s submission to the Taxi Services Commission on the </w:t>
      </w:r>
      <w:r w:rsidRPr="0077375F">
        <w:rPr>
          <w:rStyle w:val="VEOHRCBodytextChar"/>
          <w:i/>
          <w:lang w:eastAsia="en-US"/>
        </w:rPr>
        <w:t xml:space="preserve">Better Multi-Purpose Taxi Program </w:t>
      </w:r>
      <w:r w:rsidRPr="0077375F">
        <w:t>(MPTP)</w:t>
      </w:r>
      <w:r w:rsidRPr="0077375F">
        <w:rPr>
          <w:rStyle w:val="VEOHRCBodytextChar"/>
          <w:i/>
          <w:lang w:eastAsia="en-US"/>
        </w:rPr>
        <w:t xml:space="preserve"> Discussion Paper: Improving Transport for Victorians with Limited Mobility </w:t>
      </w:r>
      <w:r w:rsidRPr="0077375F">
        <w:rPr>
          <w:lang w:eastAsia="en-US"/>
        </w:rPr>
        <w:t>(December 2015). In this submission, the Commission called for the MPTP eligibility criteria to be expanded to include people with a diverse range of accessibility needs, welcomed a review of incentives for licence holders of wheelchair accessible taxis, and recommended the introduction of a universal access pass that would enable people with disabilities access to taxis, public transport and disability parking permits.</w:t>
      </w:r>
    </w:p>
    <w:p w14:paraId="26C9C293" w14:textId="77777777" w:rsidR="0077375F" w:rsidRPr="0077375F" w:rsidRDefault="0077375F" w:rsidP="0077375F">
      <w:pPr>
        <w:pStyle w:val="VEOHRCBodytext"/>
        <w:rPr>
          <w:rStyle w:val="VEOHRCBodytextChar"/>
          <w:lang w:eastAsia="en-US"/>
        </w:rPr>
      </w:pPr>
      <w:r w:rsidRPr="0077375F">
        <w:rPr>
          <w:lang w:eastAsia="en-US"/>
        </w:rPr>
        <w:t xml:space="preserve">Under the area of employment, DRG members also provided advice to inform a submission to the Australian Human Rights Commission </w:t>
      </w:r>
      <w:r w:rsidRPr="0077375F">
        <w:rPr>
          <w:rStyle w:val="VEOHRCBodytextChar"/>
          <w:i/>
          <w:lang w:eastAsia="en-US"/>
        </w:rPr>
        <w:t xml:space="preserve">Willing to Work Inquiry </w:t>
      </w:r>
      <w:r w:rsidRPr="0077375F">
        <w:rPr>
          <w:rStyle w:val="VEOHRCBodytextChar"/>
          <w:lang w:eastAsia="en-US"/>
        </w:rPr>
        <w:t xml:space="preserve">focused on the employment of people with disabilities. The DRG identified barriers to employment and policies and programs to address these. Based on consultations with the DRG, the Commission made a number of recommendations to the inquiry, including: </w:t>
      </w:r>
    </w:p>
    <w:p w14:paraId="253A46C0" w14:textId="77777777" w:rsidR="0077375F" w:rsidRPr="0077375F" w:rsidRDefault="0077375F" w:rsidP="0077375F">
      <w:pPr>
        <w:pStyle w:val="VEOHRCListBullet"/>
        <w:rPr>
          <w:lang w:eastAsia="en-US"/>
        </w:rPr>
      </w:pPr>
      <w:proofErr w:type="gramStart"/>
      <w:r w:rsidRPr="0077375F">
        <w:rPr>
          <w:lang w:eastAsia="en-US"/>
        </w:rPr>
        <w:t>all</w:t>
      </w:r>
      <w:proofErr w:type="gramEnd"/>
      <w:r w:rsidRPr="0077375F">
        <w:rPr>
          <w:lang w:eastAsia="en-US"/>
        </w:rPr>
        <w:t xml:space="preserve"> employers should develop recruitment policies and practices that accommodate the needs of people with disabilities, including reasonable adjustments</w:t>
      </w:r>
    </w:p>
    <w:p w14:paraId="47B8FE91" w14:textId="2CEAB12A" w:rsidR="0077375F" w:rsidRPr="0077375F" w:rsidRDefault="0077375F" w:rsidP="0077375F">
      <w:pPr>
        <w:pStyle w:val="VEOHRCListBullet"/>
        <w:rPr>
          <w:lang w:eastAsia="en-US"/>
        </w:rPr>
      </w:pPr>
      <w:proofErr w:type="gramStart"/>
      <w:r w:rsidRPr="0077375F">
        <w:rPr>
          <w:lang w:eastAsia="en-US"/>
        </w:rPr>
        <w:t>governments</w:t>
      </w:r>
      <w:proofErr w:type="gramEnd"/>
      <w:r w:rsidRPr="0077375F">
        <w:rPr>
          <w:lang w:eastAsia="en-US"/>
        </w:rPr>
        <w:t xml:space="preserve"> and peak industry bodies should deliver education programs for employers in government, private and community sectors regarding their legal obligations under anti-discrimination legislation and government initiatives</w:t>
      </w:r>
      <w:r w:rsidR="001B0C5C">
        <w:rPr>
          <w:lang w:eastAsia="en-US"/>
        </w:rPr>
        <w:t xml:space="preserve"> </w:t>
      </w:r>
      <w:r w:rsidRPr="0077375F">
        <w:rPr>
          <w:lang w:eastAsia="en-US"/>
        </w:rPr>
        <w:t>available to support employment of people with disabilities</w:t>
      </w:r>
    </w:p>
    <w:p w14:paraId="1F0AD576" w14:textId="77777777" w:rsidR="0077375F" w:rsidRPr="0077375F" w:rsidRDefault="0077375F" w:rsidP="0077375F">
      <w:pPr>
        <w:pStyle w:val="VEOHRCListBullet"/>
        <w:rPr>
          <w:lang w:eastAsia="en-US"/>
        </w:rPr>
      </w:pPr>
      <w:proofErr w:type="gramStart"/>
      <w:r w:rsidRPr="0077375F">
        <w:rPr>
          <w:lang w:eastAsia="en-US"/>
        </w:rPr>
        <w:t>both</w:t>
      </w:r>
      <w:proofErr w:type="gramEnd"/>
      <w:r w:rsidRPr="0077375F">
        <w:rPr>
          <w:lang w:eastAsia="en-US"/>
        </w:rPr>
        <w:t xml:space="preserve"> Australian and state governments should show stronger leadership by actively employing people with disabilities within the public service.</w:t>
      </w:r>
    </w:p>
    <w:p w14:paraId="7DABC450" w14:textId="77777777" w:rsidR="0077375F" w:rsidRPr="0077375F" w:rsidRDefault="0077375F" w:rsidP="0077375F">
      <w:pPr>
        <w:pStyle w:val="VEOHRCBodytext"/>
        <w:rPr>
          <w:lang w:eastAsia="en-US"/>
        </w:rPr>
      </w:pPr>
      <w:r w:rsidRPr="0077375F">
        <w:rPr>
          <w:lang w:eastAsia="en-US"/>
        </w:rPr>
        <w:t xml:space="preserve">DRG members for the 2014–16 term were: Liz Wright (co-Chair), Peter Adams, Denise Allen, Thomas Banks, John Baxter, Trevor Carroll, Julie </w:t>
      </w:r>
      <w:proofErr w:type="spellStart"/>
      <w:r w:rsidRPr="0077375F">
        <w:rPr>
          <w:lang w:eastAsia="en-US"/>
        </w:rPr>
        <w:t>Debeljak</w:t>
      </w:r>
      <w:proofErr w:type="spellEnd"/>
      <w:r w:rsidRPr="0077375F">
        <w:rPr>
          <w:lang w:eastAsia="en-US"/>
        </w:rPr>
        <w:t>, Dorothy Docherty, Frank Hall-</w:t>
      </w:r>
      <w:proofErr w:type="spellStart"/>
      <w:r w:rsidRPr="0077375F">
        <w:rPr>
          <w:lang w:eastAsia="en-US"/>
        </w:rPr>
        <w:t>Bentick</w:t>
      </w:r>
      <w:proofErr w:type="spellEnd"/>
      <w:r w:rsidRPr="0077375F">
        <w:rPr>
          <w:lang w:eastAsia="en-US"/>
        </w:rPr>
        <w:t xml:space="preserve">, </w:t>
      </w:r>
      <w:proofErr w:type="spellStart"/>
      <w:r w:rsidRPr="0077375F">
        <w:rPr>
          <w:lang w:eastAsia="en-US"/>
        </w:rPr>
        <w:t>Kirrily</w:t>
      </w:r>
      <w:proofErr w:type="spellEnd"/>
      <w:r w:rsidRPr="0077375F">
        <w:rPr>
          <w:lang w:eastAsia="en-US"/>
        </w:rPr>
        <w:t xml:space="preserve"> Hayward, Tyrell </w:t>
      </w:r>
      <w:proofErr w:type="spellStart"/>
      <w:r w:rsidRPr="0077375F">
        <w:rPr>
          <w:lang w:eastAsia="en-US"/>
        </w:rPr>
        <w:t>Heathcote</w:t>
      </w:r>
      <w:proofErr w:type="spellEnd"/>
      <w:r w:rsidRPr="0077375F">
        <w:rPr>
          <w:lang w:eastAsia="en-US"/>
        </w:rPr>
        <w:t xml:space="preserve">, </w:t>
      </w:r>
      <w:proofErr w:type="spellStart"/>
      <w:r w:rsidRPr="0077375F">
        <w:rPr>
          <w:lang w:eastAsia="en-US"/>
        </w:rPr>
        <w:t>Pradeep</w:t>
      </w:r>
      <w:proofErr w:type="spellEnd"/>
      <w:r w:rsidRPr="0077375F">
        <w:rPr>
          <w:lang w:eastAsia="en-US"/>
        </w:rPr>
        <w:t xml:space="preserve"> </w:t>
      </w:r>
      <w:proofErr w:type="spellStart"/>
      <w:r w:rsidRPr="0077375F">
        <w:rPr>
          <w:lang w:eastAsia="en-US"/>
        </w:rPr>
        <w:t>Hewavitharana</w:t>
      </w:r>
      <w:proofErr w:type="spellEnd"/>
      <w:r w:rsidRPr="0077375F">
        <w:rPr>
          <w:lang w:eastAsia="en-US"/>
        </w:rPr>
        <w:t xml:space="preserve">, Sam Jackson, Liz Kelly, Suzanne Lau-Gooey, </w:t>
      </w:r>
      <w:proofErr w:type="spellStart"/>
      <w:r w:rsidRPr="0077375F">
        <w:rPr>
          <w:lang w:eastAsia="en-US"/>
        </w:rPr>
        <w:t>Dennisse</w:t>
      </w:r>
      <w:proofErr w:type="spellEnd"/>
      <w:r w:rsidRPr="0077375F">
        <w:rPr>
          <w:lang w:eastAsia="en-US"/>
        </w:rPr>
        <w:t xml:space="preserve"> Luna, Susan Stork-Finlay and Trudy </w:t>
      </w:r>
      <w:proofErr w:type="spellStart"/>
      <w:r w:rsidRPr="0077375F">
        <w:rPr>
          <w:lang w:eastAsia="en-US"/>
        </w:rPr>
        <w:t>Ryall</w:t>
      </w:r>
      <w:proofErr w:type="spellEnd"/>
      <w:r w:rsidRPr="0077375F">
        <w:rPr>
          <w:lang w:eastAsia="en-US"/>
        </w:rPr>
        <w:t>.</w:t>
      </w:r>
    </w:p>
    <w:p w14:paraId="39EC372A" w14:textId="5E69D24A" w:rsidR="0077375F" w:rsidRDefault="0077375F" w:rsidP="0077375F">
      <w:pPr>
        <w:pStyle w:val="VEOHRCBodytext"/>
        <w:rPr>
          <w:lang w:eastAsia="en-US"/>
        </w:rPr>
      </w:pPr>
      <w:r w:rsidRPr="0077375F">
        <w:rPr>
          <w:lang w:eastAsia="en-US"/>
        </w:rPr>
        <w:t xml:space="preserve">The 2014–16 </w:t>
      </w:r>
      <w:proofErr w:type="gramStart"/>
      <w:r w:rsidRPr="0077375F">
        <w:rPr>
          <w:lang w:eastAsia="en-US"/>
        </w:rPr>
        <w:t>term</w:t>
      </w:r>
      <w:proofErr w:type="gramEnd"/>
      <w:r w:rsidRPr="0077375F">
        <w:rPr>
          <w:lang w:eastAsia="en-US"/>
        </w:rPr>
        <w:t xml:space="preserve"> concluded in June 2016,</w:t>
      </w:r>
      <w:r w:rsidR="001B0C5C">
        <w:rPr>
          <w:lang w:eastAsia="en-US"/>
        </w:rPr>
        <w:t xml:space="preserve"> </w:t>
      </w:r>
      <w:r w:rsidRPr="0077375F">
        <w:rPr>
          <w:lang w:eastAsia="en-US"/>
        </w:rPr>
        <w:t>and recruitment is currently under way for the next group.</w:t>
      </w:r>
    </w:p>
    <w:p w14:paraId="70988B3A" w14:textId="5000633F" w:rsidR="0077375F" w:rsidRPr="0077375F" w:rsidRDefault="0077375F" w:rsidP="0077375F">
      <w:pPr>
        <w:pStyle w:val="VEOHRCChapterTitle"/>
        <w:rPr>
          <w:lang w:eastAsia="en-US"/>
        </w:rPr>
      </w:pPr>
      <w:r w:rsidRPr="0077375F">
        <w:rPr>
          <w:lang w:eastAsia="en-US"/>
        </w:rPr>
        <w:lastRenderedPageBreak/>
        <w:t>Consultation across government and community</w:t>
      </w:r>
    </w:p>
    <w:p w14:paraId="27222376" w14:textId="77777777" w:rsidR="0077375F" w:rsidRPr="0077375F" w:rsidRDefault="0077375F" w:rsidP="0077375F">
      <w:pPr>
        <w:pStyle w:val="VEOHRCBodytext"/>
        <w:rPr>
          <w:lang w:eastAsia="en-US"/>
        </w:rPr>
      </w:pPr>
      <w:r w:rsidRPr="0077375F">
        <w:rPr>
          <w:lang w:eastAsia="en-US"/>
        </w:rPr>
        <w:t xml:space="preserve">The Commission participates in a range of consultative committees across government and community services. </w:t>
      </w:r>
    </w:p>
    <w:p w14:paraId="63B73537" w14:textId="77777777" w:rsidR="0077375F" w:rsidRPr="0077375F" w:rsidRDefault="0077375F" w:rsidP="0077375F">
      <w:pPr>
        <w:pStyle w:val="VEOHRCBodytext"/>
        <w:rPr>
          <w:lang w:eastAsia="en-US"/>
        </w:rPr>
      </w:pPr>
      <w:r w:rsidRPr="0077375F">
        <w:rPr>
          <w:lang w:eastAsia="en-US"/>
        </w:rPr>
        <w:t xml:space="preserve">There are a number of formal consultation mechanisms with key government departments and agencies. These forums progress action on systemic issues as well as collaborating on guidance, education and complaint handling improvements. </w:t>
      </w:r>
    </w:p>
    <w:p w14:paraId="06816689" w14:textId="77777777" w:rsidR="0077375F" w:rsidRPr="0077375F" w:rsidRDefault="0077375F" w:rsidP="0077375F">
      <w:pPr>
        <w:pStyle w:val="VEOHRCBodytext"/>
        <w:rPr>
          <w:lang w:eastAsia="en-US"/>
        </w:rPr>
      </w:pPr>
      <w:r w:rsidRPr="0077375F">
        <w:rPr>
          <w:lang w:eastAsia="en-US"/>
        </w:rPr>
        <w:t xml:space="preserve">Some of these government and community consultative committees include: </w:t>
      </w:r>
    </w:p>
    <w:p w14:paraId="2D474A4C" w14:textId="77777777" w:rsidR="0077375F" w:rsidRPr="0077375F" w:rsidRDefault="0077375F" w:rsidP="0077375F">
      <w:pPr>
        <w:pStyle w:val="VEOHRCListBullet"/>
        <w:rPr>
          <w:lang w:eastAsia="en-US"/>
        </w:rPr>
      </w:pPr>
      <w:r w:rsidRPr="0077375F">
        <w:rPr>
          <w:lang w:eastAsia="en-US"/>
        </w:rPr>
        <w:t xml:space="preserve">Aboriginal Justice Forum </w:t>
      </w:r>
    </w:p>
    <w:p w14:paraId="22FA05C0" w14:textId="77777777" w:rsidR="0077375F" w:rsidRPr="0077375F" w:rsidRDefault="0077375F" w:rsidP="0077375F">
      <w:pPr>
        <w:pStyle w:val="VEOHRCListBullet"/>
        <w:rPr>
          <w:lang w:eastAsia="en-US"/>
        </w:rPr>
      </w:pPr>
      <w:r w:rsidRPr="0077375F">
        <w:rPr>
          <w:lang w:eastAsia="en-US"/>
        </w:rPr>
        <w:t>Australian Council of Human Rights Agencies</w:t>
      </w:r>
    </w:p>
    <w:p w14:paraId="6CBB5CCE" w14:textId="77777777" w:rsidR="0077375F" w:rsidRPr="0077375F" w:rsidRDefault="0077375F" w:rsidP="0077375F">
      <w:pPr>
        <w:pStyle w:val="VEOHRCListBullet"/>
        <w:rPr>
          <w:lang w:eastAsia="en-US"/>
        </w:rPr>
      </w:pPr>
      <w:r w:rsidRPr="0077375F">
        <w:rPr>
          <w:lang w:eastAsia="en-US"/>
        </w:rPr>
        <w:t>Department of Education and Training and Victorian Equal Opportunity and Human Rights Commission Consultative Committee</w:t>
      </w:r>
    </w:p>
    <w:p w14:paraId="6AE444AB" w14:textId="77777777" w:rsidR="0077375F" w:rsidRPr="0077375F" w:rsidRDefault="0077375F" w:rsidP="0077375F">
      <w:pPr>
        <w:pStyle w:val="VEOHRCListBullet"/>
        <w:rPr>
          <w:lang w:eastAsia="en-US"/>
        </w:rPr>
      </w:pPr>
      <w:r w:rsidRPr="0077375F">
        <w:rPr>
          <w:lang w:eastAsia="en-US"/>
        </w:rPr>
        <w:t xml:space="preserve">Federation of Community Legal Centres, Human Rights Working Group </w:t>
      </w:r>
    </w:p>
    <w:p w14:paraId="522B3B72" w14:textId="72B3F92F" w:rsidR="0077375F" w:rsidRPr="0077375F" w:rsidRDefault="0077375F" w:rsidP="0077375F">
      <w:pPr>
        <w:pStyle w:val="VEOHRCListBullet"/>
        <w:rPr>
          <w:lang w:eastAsia="en-US"/>
        </w:rPr>
      </w:pPr>
      <w:r w:rsidRPr="0077375F">
        <w:rPr>
          <w:lang w:eastAsia="en-US"/>
        </w:rPr>
        <w:t>Gender and Disability Workforce Development Advisory Group (Women with Disabilities Victoria) – oversees the development of</w:t>
      </w:r>
      <w:r w:rsidR="001B0C5C">
        <w:rPr>
          <w:lang w:eastAsia="en-US"/>
        </w:rPr>
        <w:t xml:space="preserve"> </w:t>
      </w:r>
      <w:r w:rsidRPr="0077375F">
        <w:rPr>
          <w:lang w:eastAsia="en-US"/>
        </w:rPr>
        <w:t xml:space="preserve">the gender and disability workforce development project </w:t>
      </w:r>
    </w:p>
    <w:p w14:paraId="5F9470D5" w14:textId="77777777" w:rsidR="0077375F" w:rsidRPr="0077375F" w:rsidRDefault="0077375F" w:rsidP="0077375F">
      <w:pPr>
        <w:pStyle w:val="VEOHRCListBullet"/>
        <w:rPr>
          <w:lang w:eastAsia="en-US"/>
        </w:rPr>
      </w:pPr>
      <w:r w:rsidRPr="0077375F">
        <w:rPr>
          <w:lang w:eastAsia="en-US"/>
        </w:rPr>
        <w:t xml:space="preserve">Koori Women’s Diversion Project </w:t>
      </w:r>
    </w:p>
    <w:p w14:paraId="5CB99536" w14:textId="77777777" w:rsidR="0077375F" w:rsidRPr="0077375F" w:rsidRDefault="0077375F" w:rsidP="0077375F">
      <w:pPr>
        <w:pStyle w:val="VEOHRCListBullet"/>
        <w:rPr>
          <w:lang w:eastAsia="en-US"/>
        </w:rPr>
      </w:pPr>
      <w:r w:rsidRPr="0077375F">
        <w:rPr>
          <w:lang w:eastAsia="en-US"/>
        </w:rPr>
        <w:t xml:space="preserve">Migrant Workers Campaign Steering Group </w:t>
      </w:r>
    </w:p>
    <w:p w14:paraId="569E1FCB" w14:textId="1C596141" w:rsidR="0077375F" w:rsidRPr="0077375F" w:rsidRDefault="0077375F" w:rsidP="0077375F">
      <w:pPr>
        <w:pStyle w:val="VEOHRCListBullet"/>
        <w:rPr>
          <w:lang w:eastAsia="en-US"/>
        </w:rPr>
      </w:pPr>
      <w:r w:rsidRPr="0077375F">
        <w:rPr>
          <w:lang w:eastAsia="en-US"/>
        </w:rPr>
        <w:t>Play by the Rules – a partnership with the Australian Sports Commission and other human rights commissions providing free online resources, training programs and campaigns promoting fair, safe and</w:t>
      </w:r>
      <w:r w:rsidR="001B0C5C">
        <w:rPr>
          <w:lang w:eastAsia="en-US"/>
        </w:rPr>
        <w:t xml:space="preserve"> </w:t>
      </w:r>
      <w:r w:rsidRPr="0077375F">
        <w:rPr>
          <w:lang w:eastAsia="en-US"/>
        </w:rPr>
        <w:t xml:space="preserve">inclusive sport </w:t>
      </w:r>
    </w:p>
    <w:p w14:paraId="0B368D29" w14:textId="77777777" w:rsidR="0077375F" w:rsidRPr="0077375F" w:rsidRDefault="0077375F" w:rsidP="0077375F">
      <w:pPr>
        <w:pStyle w:val="VEOHRCListBullet"/>
        <w:rPr>
          <w:lang w:eastAsia="en-US"/>
        </w:rPr>
      </w:pPr>
      <w:r w:rsidRPr="0077375F">
        <w:rPr>
          <w:lang w:eastAsia="en-US"/>
        </w:rPr>
        <w:t>Public Transport Victoria and Victorian Equal Opportunity and Human Rights Commission Consultative Committee</w:t>
      </w:r>
    </w:p>
    <w:p w14:paraId="46D20C46" w14:textId="77777777" w:rsidR="0077375F" w:rsidRPr="0077375F" w:rsidRDefault="0077375F" w:rsidP="0077375F">
      <w:pPr>
        <w:pStyle w:val="VEOHRCListBullet"/>
        <w:rPr>
          <w:lang w:eastAsia="en-US"/>
        </w:rPr>
      </w:pPr>
      <w:r w:rsidRPr="0077375F">
        <w:rPr>
          <w:lang w:eastAsia="en-US"/>
        </w:rPr>
        <w:t>Safeguarding children in Victorian sport (</w:t>
      </w:r>
      <w:proofErr w:type="spellStart"/>
      <w:r w:rsidRPr="0077375F">
        <w:rPr>
          <w:lang w:eastAsia="en-US"/>
        </w:rPr>
        <w:t>VicSport</w:t>
      </w:r>
      <w:proofErr w:type="spellEnd"/>
      <w:r w:rsidRPr="0077375F">
        <w:rPr>
          <w:lang w:eastAsia="en-US"/>
        </w:rPr>
        <w:t xml:space="preserve">) – Advisory Committee for Child Protection Issues In Sport </w:t>
      </w:r>
    </w:p>
    <w:p w14:paraId="032DC3FB" w14:textId="1640ABEF" w:rsidR="0077375F" w:rsidRPr="0077375F" w:rsidRDefault="0077375F" w:rsidP="0077375F">
      <w:pPr>
        <w:pStyle w:val="VEOHRCListBullet"/>
        <w:rPr>
          <w:lang w:eastAsia="en-US"/>
        </w:rPr>
      </w:pPr>
      <w:r w:rsidRPr="0077375F">
        <w:rPr>
          <w:lang w:eastAsia="en-US"/>
        </w:rPr>
        <w:t>Taskforce 1000 Steering Committee</w:t>
      </w:r>
      <w:r w:rsidR="001B0C5C">
        <w:rPr>
          <w:lang w:eastAsia="en-US"/>
        </w:rPr>
        <w:t xml:space="preserve"> </w:t>
      </w:r>
      <w:r w:rsidRPr="0077375F">
        <w:rPr>
          <w:lang w:eastAsia="en-US"/>
        </w:rPr>
        <w:t>– a collaborative committee seeking to improve outcomes for Aboriginal children</w:t>
      </w:r>
      <w:r w:rsidR="001B0C5C">
        <w:rPr>
          <w:lang w:eastAsia="en-US"/>
        </w:rPr>
        <w:t xml:space="preserve"> </w:t>
      </w:r>
      <w:r w:rsidRPr="0077375F">
        <w:rPr>
          <w:lang w:eastAsia="en-US"/>
        </w:rPr>
        <w:t>and young people.</w:t>
      </w:r>
    </w:p>
    <w:p w14:paraId="0DC432E7" w14:textId="77777777" w:rsidR="0077375F" w:rsidRPr="0077375F" w:rsidRDefault="0077375F" w:rsidP="0077375F">
      <w:pPr>
        <w:pStyle w:val="VEOHRCListBullet"/>
        <w:rPr>
          <w:lang w:eastAsia="en-US"/>
        </w:rPr>
      </w:pPr>
      <w:r w:rsidRPr="0077375F">
        <w:rPr>
          <w:lang w:eastAsia="en-US"/>
        </w:rPr>
        <w:t xml:space="preserve">Taxi Services Commission Consultative Committee </w:t>
      </w:r>
    </w:p>
    <w:p w14:paraId="3AE17CAC" w14:textId="77777777" w:rsidR="0077375F" w:rsidRPr="0077375F" w:rsidRDefault="0077375F" w:rsidP="0077375F">
      <w:pPr>
        <w:pStyle w:val="VEOHRCListBullet"/>
        <w:rPr>
          <w:lang w:eastAsia="en-US"/>
        </w:rPr>
      </w:pPr>
      <w:r w:rsidRPr="0077375F">
        <w:rPr>
          <w:lang w:eastAsia="en-US"/>
        </w:rPr>
        <w:t>Victoria Police and Victorian Equal Opportunity and Human Rights Commission Consultative Committee</w:t>
      </w:r>
    </w:p>
    <w:p w14:paraId="7778982A" w14:textId="7BA04F47" w:rsidR="0077375F" w:rsidRPr="0077375F" w:rsidRDefault="0077375F" w:rsidP="0077375F">
      <w:pPr>
        <w:pStyle w:val="VEOHRCListBullet"/>
        <w:rPr>
          <w:lang w:eastAsia="en-US"/>
        </w:rPr>
      </w:pPr>
      <w:r w:rsidRPr="0077375F">
        <w:rPr>
          <w:lang w:eastAsia="en-US"/>
        </w:rPr>
        <w:t>Victoria Police External Education</w:t>
      </w:r>
      <w:r w:rsidR="001B0C5C">
        <w:rPr>
          <w:lang w:eastAsia="en-US"/>
        </w:rPr>
        <w:t xml:space="preserve"> </w:t>
      </w:r>
      <w:r w:rsidRPr="0077375F">
        <w:rPr>
          <w:lang w:eastAsia="en-US"/>
        </w:rPr>
        <w:t xml:space="preserve">Advisory Group </w:t>
      </w:r>
    </w:p>
    <w:p w14:paraId="6872809C" w14:textId="77777777" w:rsidR="0077375F" w:rsidRPr="0077375F" w:rsidRDefault="0077375F" w:rsidP="0077375F">
      <w:pPr>
        <w:pStyle w:val="VEOHRCListBullet"/>
        <w:rPr>
          <w:lang w:eastAsia="en-US"/>
        </w:rPr>
      </w:pPr>
      <w:r w:rsidRPr="0077375F">
        <w:rPr>
          <w:lang w:eastAsia="en-US"/>
        </w:rPr>
        <w:t xml:space="preserve">Victorian Public Sector Network on Disability </w:t>
      </w:r>
    </w:p>
    <w:p w14:paraId="0BBCDC88" w14:textId="77777777" w:rsidR="0077375F" w:rsidRPr="0077375F" w:rsidRDefault="0077375F" w:rsidP="0077375F">
      <w:pPr>
        <w:pStyle w:val="VEOHRCListBullet"/>
        <w:rPr>
          <w:lang w:eastAsia="en-US"/>
        </w:rPr>
      </w:pPr>
      <w:r w:rsidRPr="0077375F">
        <w:rPr>
          <w:lang w:eastAsia="en-US"/>
        </w:rPr>
        <w:t>Y Respect Gender (YMCA) – exploring workplace-based pilot interventions to promote equal and respectful relationships between men and women.</w:t>
      </w:r>
    </w:p>
    <w:p w14:paraId="67650A8C" w14:textId="524BB973" w:rsidR="0077375F" w:rsidRPr="0077375F" w:rsidRDefault="0077375F" w:rsidP="0038278D">
      <w:pPr>
        <w:pStyle w:val="VEOHRCHeading2"/>
        <w:rPr>
          <w:lang w:eastAsia="en-US"/>
        </w:rPr>
      </w:pPr>
      <w:r w:rsidRPr="0077375F">
        <w:rPr>
          <w:lang w:eastAsia="en-US"/>
        </w:rPr>
        <w:t>Victorian Public Sector</w:t>
      </w:r>
      <w:r w:rsidR="001B0C5C">
        <w:rPr>
          <w:lang w:eastAsia="en-US"/>
        </w:rPr>
        <w:t xml:space="preserve"> </w:t>
      </w:r>
      <w:r w:rsidRPr="0077375F">
        <w:rPr>
          <w:lang w:eastAsia="en-US"/>
        </w:rPr>
        <w:t xml:space="preserve">Human Rights Network </w:t>
      </w:r>
    </w:p>
    <w:p w14:paraId="2EA516AF" w14:textId="77777777" w:rsidR="0077375F" w:rsidRDefault="0077375F" w:rsidP="0077375F">
      <w:pPr>
        <w:pStyle w:val="VEOHRCBodytext"/>
        <w:rPr>
          <w:lang w:eastAsia="en-US"/>
        </w:rPr>
      </w:pPr>
      <w:r w:rsidRPr="0077375F">
        <w:rPr>
          <w:lang w:eastAsia="en-US"/>
        </w:rPr>
        <w:t xml:space="preserve">The Victorian Public Sector (VPS) Human Rights Network aims to provide information, ideas and networking opportunities to public sector employees who are interested in applying human rights in their work. Membership is targeted at public sector workers with an interest in human rights – state government, statutory agencies, local government – or other organisations delivering public services that have obligations under the Charter. The VPS Human Rights Network currently has more than 500 members. The Commission distributes a regular VPS Human Rights Network update by email to members. </w:t>
      </w:r>
    </w:p>
    <w:p w14:paraId="3F913A2C" w14:textId="7AAEE4BF" w:rsidR="0077375F" w:rsidRPr="0077375F" w:rsidRDefault="0077375F" w:rsidP="0077375F">
      <w:pPr>
        <w:pStyle w:val="VEOHRCChapterTitle"/>
        <w:rPr>
          <w:lang w:eastAsia="en-US"/>
        </w:rPr>
      </w:pPr>
      <w:r w:rsidRPr="0077375F">
        <w:rPr>
          <w:lang w:eastAsia="en-US"/>
        </w:rPr>
        <w:lastRenderedPageBreak/>
        <w:t>Independent</w:t>
      </w:r>
      <w:r w:rsidR="001B0C5C">
        <w:rPr>
          <w:lang w:eastAsia="en-US"/>
        </w:rPr>
        <w:t xml:space="preserve"> </w:t>
      </w:r>
      <w:r w:rsidRPr="0077375F">
        <w:rPr>
          <w:lang w:eastAsia="en-US"/>
        </w:rPr>
        <w:t>Reviews</w:t>
      </w:r>
    </w:p>
    <w:p w14:paraId="41717BCE" w14:textId="77777777" w:rsidR="0077375F" w:rsidRPr="0077375F" w:rsidRDefault="0077375F" w:rsidP="0077375F">
      <w:pPr>
        <w:pStyle w:val="VEOHRCBodytext"/>
        <w:rPr>
          <w:lang w:eastAsia="en-US"/>
        </w:rPr>
      </w:pPr>
      <w:r w:rsidRPr="0077375F">
        <w:rPr>
          <w:lang w:eastAsia="en-US"/>
        </w:rPr>
        <w:t>Under section 151 of the Equal Opportunity Act and section 41(c) of the Charter, the Commission is empowered to conduct compliance reviews of policies and procedures. The Commission conducts reviews on the request of an organisation or public authority, and can agree on the terms and conditions of the review with them as appropriate to their situation. Under both Acts, the compliance review function allows the Commission to determine compliance with the law and to work with organisations to help them understand their obligations, provide guidance and improve their policy and practice accordingly.</w:t>
      </w:r>
    </w:p>
    <w:p w14:paraId="39A7752A" w14:textId="7BAA4DC9" w:rsidR="0077375F" w:rsidRP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Any organisation or public authority wishing to undergo an Equal Opportunity Act and/or Charter review can contact the Commission</w:t>
      </w:r>
      <w:r w:rsidR="001B0C5C">
        <w:rPr>
          <w:rStyle w:val="VEOHRCBodytextChar"/>
          <w:lang w:eastAsia="en-US"/>
        </w:rPr>
        <w:t xml:space="preserve"> </w:t>
      </w:r>
      <w:r w:rsidRPr="0077375F">
        <w:rPr>
          <w:rStyle w:val="VEOHRCBodytextChar"/>
          <w:lang w:eastAsia="en-US"/>
        </w:rPr>
        <w:t>via email at</w:t>
      </w:r>
      <w:r w:rsidR="001B0C5C">
        <w:rPr>
          <w:rStyle w:val="VEOHRCBodytextChar"/>
          <w:lang w:eastAsia="en-US"/>
        </w:rPr>
        <w:t xml:space="preserve"> </w:t>
      </w:r>
      <w:r w:rsidRPr="0077375F">
        <w:rPr>
          <w:rStyle w:val="VEOHRCURLChar"/>
          <w:lang w:val="en-GB" w:eastAsia="en-US"/>
        </w:rPr>
        <w:t>information@veohrc.vic.gov.au.</w:t>
      </w:r>
    </w:p>
    <w:p w14:paraId="6846923D" w14:textId="77777777" w:rsidR="0077375F" w:rsidRPr="0077375F" w:rsidRDefault="0077375F" w:rsidP="0038278D">
      <w:pPr>
        <w:pStyle w:val="VEOHRCHeading2"/>
        <w:rPr>
          <w:lang w:eastAsia="en-US"/>
        </w:rPr>
      </w:pPr>
      <w:r w:rsidRPr="0077375F">
        <w:rPr>
          <w:lang w:eastAsia="en-US"/>
        </w:rPr>
        <w:t>Independent Review into sex discrimination and sexual harassment, including predatory behaviour, in Victoria Police</w:t>
      </w:r>
    </w:p>
    <w:p w14:paraId="76652106"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At the request of the Chief Commissioner of Victoria Police, the Commission conducted an </w:t>
      </w:r>
      <w:r w:rsidRPr="0077375F">
        <w:rPr>
          <w:rStyle w:val="VEOHRCBodytextChar"/>
          <w:i/>
          <w:lang w:eastAsia="en-US"/>
        </w:rPr>
        <w:t>Independent Review into sex discrimination and sexual harassment, including predatory behaviour, in Victoria Police</w:t>
      </w:r>
      <w:r w:rsidRPr="0077375F">
        <w:rPr>
          <w:rStyle w:val="VEOHRCBodytextChar"/>
          <w:lang w:eastAsia="en-US"/>
        </w:rPr>
        <w:t xml:space="preserve">. The Phase One Report was released in December 2015. </w:t>
      </w:r>
    </w:p>
    <w:p w14:paraId="20B0CE7B" w14:textId="2633FC87" w:rsidR="0077375F" w:rsidRPr="0077375F" w:rsidRDefault="0077375F" w:rsidP="0077375F">
      <w:pPr>
        <w:pStyle w:val="VEOHRCBodytext"/>
        <w:rPr>
          <w:lang w:eastAsia="en-US"/>
        </w:rPr>
      </w:pPr>
      <w:r w:rsidRPr="0077375F">
        <w:rPr>
          <w:lang w:eastAsia="en-US"/>
        </w:rPr>
        <w:t>The Review heard from more than a third of Victoria Police employees, and the survey was undertaken by more than 5000 people, making it one of the largest surveys of workplace sexual harassment ever conducted in the world. The information gathered through the data, including interviews, site visits, workforce and complaints data, written submissions and the survey, informed the development of evidence-based recommendations and an action plan for</w:t>
      </w:r>
      <w:r w:rsidR="001B0C5C">
        <w:rPr>
          <w:lang w:eastAsia="en-US"/>
        </w:rPr>
        <w:t xml:space="preserve"> </w:t>
      </w:r>
      <w:r w:rsidRPr="0077375F">
        <w:rPr>
          <w:lang w:eastAsia="en-US"/>
        </w:rPr>
        <w:t xml:space="preserve">Victoria Police. </w:t>
      </w:r>
    </w:p>
    <w:p w14:paraId="39EDFC5B" w14:textId="77777777" w:rsidR="0077375F" w:rsidRPr="0077375F" w:rsidRDefault="0077375F" w:rsidP="0077375F">
      <w:pPr>
        <w:pStyle w:val="VEOHRCBodytext"/>
        <w:rPr>
          <w:lang w:eastAsia="en-US"/>
        </w:rPr>
      </w:pPr>
      <w:r w:rsidRPr="0077375F">
        <w:rPr>
          <w:lang w:eastAsia="en-US"/>
        </w:rPr>
        <w:t xml:space="preserve">The Review found that both sexual harassment and sex discrimination are widespread and significant across Victoria Police. It also found an entrenched culture of ‘everyday sexism’ and a high tolerance for sexual harassment and sex discrimination. The lifetime prevalence of sexual harassment for female survey participants was 40 per cent and one in five reported that their sexual harassment started in Victoria Police in the past five years. The Review also found a heightened risk of harassment and discrimination of gay men and lesbian women. </w:t>
      </w:r>
    </w:p>
    <w:p w14:paraId="79F70752" w14:textId="77777777" w:rsidR="0077375F" w:rsidRPr="0077375F" w:rsidRDefault="0077375F" w:rsidP="0077375F">
      <w:pPr>
        <w:pStyle w:val="VEOHRCBodytext"/>
        <w:rPr>
          <w:lang w:eastAsia="en-US"/>
        </w:rPr>
      </w:pPr>
      <w:r w:rsidRPr="0077375F">
        <w:rPr>
          <w:lang w:eastAsia="en-US"/>
        </w:rPr>
        <w:t xml:space="preserve">The recommendations focus on improving safety and equality in Victoria Police through mutually reinforcing strategies and initiatives in recruitment, retention and promotion, education and knowledge development, management and performance, complaints processes, victim safety, in governance, and the external context in which Victoria Police functions. </w:t>
      </w:r>
    </w:p>
    <w:p w14:paraId="14E0D3F2" w14:textId="77777777" w:rsidR="0077375F" w:rsidRPr="0077375F" w:rsidRDefault="0077375F" w:rsidP="0077375F">
      <w:pPr>
        <w:pStyle w:val="VEOHRCBodytext"/>
        <w:rPr>
          <w:lang w:eastAsia="en-US"/>
        </w:rPr>
      </w:pPr>
      <w:r w:rsidRPr="0077375F">
        <w:rPr>
          <w:lang w:eastAsia="en-US"/>
        </w:rPr>
        <w:t xml:space="preserve">Victoria Police Chief Commissioner Graham Ashton committed to implementing all of the recommendations and has established a dedicated Command to guide the implementation of the action plan. </w:t>
      </w:r>
    </w:p>
    <w:p w14:paraId="102FA7D6" w14:textId="77777777" w:rsidR="0077375F" w:rsidRPr="0077375F" w:rsidRDefault="0077375F" w:rsidP="0077375F">
      <w:pPr>
        <w:pStyle w:val="VEOHRCBodytext"/>
        <w:rPr>
          <w:lang w:eastAsia="en-US"/>
        </w:rPr>
      </w:pPr>
      <w:r w:rsidRPr="0077375F">
        <w:rPr>
          <w:lang w:eastAsia="en-US"/>
        </w:rPr>
        <w:t xml:space="preserve">The Commission, led by an Expert Panel chaired by the Commissioner, will independently monitor and report on Victoria Police’s implementation of the action plan over the next three years. </w:t>
      </w:r>
    </w:p>
    <w:p w14:paraId="2FF161B3" w14:textId="77777777" w:rsidR="0077375F" w:rsidRDefault="0077375F" w:rsidP="0077375F">
      <w:pPr>
        <w:pStyle w:val="VEOHRCBodytext"/>
        <w:rPr>
          <w:lang w:eastAsia="en-US"/>
        </w:rPr>
      </w:pPr>
      <w:r w:rsidRPr="0077375F">
        <w:rPr>
          <w:lang w:eastAsia="en-US"/>
        </w:rPr>
        <w:t xml:space="preserve">Following the Phase One Report, both the Commission and Victoria Police were asked to sit on the reference group for the South Australian Equal Opportunity Commission’s Review into Sex Discrimination, Sexual Harassment and Predatory Behaviour in South Australia Police. </w:t>
      </w:r>
    </w:p>
    <w:p w14:paraId="36D4ED1A" w14:textId="41A07FF0" w:rsidR="0077375F" w:rsidRPr="0077375F" w:rsidRDefault="0077375F" w:rsidP="0038278D">
      <w:pPr>
        <w:pStyle w:val="VEOHRCHeading2"/>
        <w:rPr>
          <w:lang w:eastAsia="en-US"/>
        </w:rPr>
      </w:pPr>
      <w:r w:rsidRPr="0077375F">
        <w:rPr>
          <w:lang w:eastAsia="en-US"/>
        </w:rPr>
        <w:t>Equity and Diversity Review into</w:t>
      </w:r>
      <w:r w:rsidR="001B0C5C">
        <w:rPr>
          <w:lang w:eastAsia="en-US"/>
        </w:rPr>
        <w:t xml:space="preserve"> </w:t>
      </w:r>
      <w:r w:rsidRPr="0077375F">
        <w:rPr>
          <w:lang w:eastAsia="en-US"/>
        </w:rPr>
        <w:t xml:space="preserve">CFA and MFB </w:t>
      </w:r>
    </w:p>
    <w:p w14:paraId="2198DAD6" w14:textId="77777777" w:rsidR="0077375F" w:rsidRPr="0077375F" w:rsidRDefault="0077375F" w:rsidP="0077375F">
      <w:pPr>
        <w:pStyle w:val="VEOHRCBodytext"/>
        <w:rPr>
          <w:lang w:eastAsia="en-US"/>
        </w:rPr>
      </w:pPr>
      <w:r w:rsidRPr="0077375F">
        <w:rPr>
          <w:lang w:eastAsia="en-US"/>
        </w:rPr>
        <w:lastRenderedPageBreak/>
        <w:t xml:space="preserve">In July 2015 the Victorian Minister for Emergency Services commissioned Mr David O’Byrne to review and make recommendations concerning the resourcing, operations, management and culture of Victoria’s Metropolitan Fire and Emergency Services Board (MFB) and Country Fire Authority (CFA). </w:t>
      </w:r>
    </w:p>
    <w:p w14:paraId="000FF5CC" w14:textId="77777777" w:rsidR="0077375F" w:rsidRPr="0077375F" w:rsidRDefault="0077375F" w:rsidP="0077375F">
      <w:pPr>
        <w:pStyle w:val="VEOHRCBodytext"/>
        <w:rPr>
          <w:lang w:eastAsia="en-US"/>
        </w:rPr>
      </w:pPr>
      <w:r w:rsidRPr="0077375F">
        <w:rPr>
          <w:lang w:eastAsia="en-US"/>
        </w:rPr>
        <w:t>The review made 20 recommendations, including:</w:t>
      </w:r>
    </w:p>
    <w:p w14:paraId="7F555378" w14:textId="77777777" w:rsidR="0077375F" w:rsidRPr="0077375F" w:rsidRDefault="0077375F" w:rsidP="0038278D">
      <w:pPr>
        <w:pStyle w:val="VEOHRCQuotation"/>
        <w:rPr>
          <w:lang w:eastAsia="en-US"/>
        </w:rPr>
      </w:pPr>
      <w:proofErr w:type="gramStart"/>
      <w:r w:rsidRPr="0077375F">
        <w:rPr>
          <w:lang w:eastAsia="en-US"/>
        </w:rPr>
        <w:t>that</w:t>
      </w:r>
      <w:proofErr w:type="gramEnd"/>
      <w:r w:rsidRPr="0077375F">
        <w:rPr>
          <w:lang w:eastAsia="en-US"/>
        </w:rPr>
        <w:t xml:space="preserve"> the fire services take the lead in advancing the sector’s collective effort to increase diversity in the sector, through making a genuine and public commitment to understanding and addressing harassment and discriminatory practices and behaviours in their organisations, and launching a process for doing so. </w:t>
      </w:r>
      <w:proofErr w:type="gramStart"/>
      <w:r w:rsidRPr="0077375F">
        <w:rPr>
          <w:lang w:eastAsia="en-US"/>
        </w:rPr>
        <w:t>(Recommendation 7).</w:t>
      </w:r>
      <w:proofErr w:type="gramEnd"/>
    </w:p>
    <w:p w14:paraId="077023ED" w14:textId="77777777" w:rsidR="0077375F" w:rsidRPr="0077375F" w:rsidRDefault="0077375F" w:rsidP="0077375F">
      <w:pPr>
        <w:pStyle w:val="VEOHRCBodytext"/>
        <w:rPr>
          <w:lang w:eastAsia="en-US"/>
        </w:rPr>
      </w:pPr>
      <w:r w:rsidRPr="0077375F">
        <w:rPr>
          <w:lang w:eastAsia="en-US"/>
        </w:rPr>
        <w:t xml:space="preserve">In March 2016, the Victorian Government responded to the review report, advising that the Victorian Equal Opportunity and Human Rights Commission would undertake an independent review to examine discrimination, including bullying based on a protected attribute, and sexual harassment in the MFB and the CFA. </w:t>
      </w:r>
    </w:p>
    <w:p w14:paraId="741EE9A0"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The review was launched on 26 July 2016 and will be conducted under section 155 of the Equal Opportunity Act</w:t>
      </w:r>
      <w:r w:rsidRPr="0077375F">
        <w:rPr>
          <w:rStyle w:val="VEOHRCBodytextChar"/>
          <w:i/>
          <w:lang w:eastAsia="en-US"/>
        </w:rPr>
        <w:t xml:space="preserve">. </w:t>
      </w:r>
      <w:r w:rsidRPr="0077375F">
        <w:rPr>
          <w:rStyle w:val="VEOHRCBodytextChar"/>
          <w:lang w:eastAsia="en-US"/>
        </w:rPr>
        <w:t>This will include any relevant research under section 157 of the Equal Opportunity Act.</w:t>
      </w:r>
    </w:p>
    <w:p w14:paraId="60F5979C" w14:textId="77777777" w:rsidR="0077375F" w:rsidRPr="0077375F" w:rsidRDefault="0077375F" w:rsidP="0077375F">
      <w:pPr>
        <w:pStyle w:val="VEOHRCBodytext"/>
        <w:rPr>
          <w:lang w:eastAsia="en-US"/>
        </w:rPr>
      </w:pPr>
      <w:r w:rsidRPr="0077375F">
        <w:rPr>
          <w:lang w:eastAsia="en-US"/>
        </w:rPr>
        <w:t xml:space="preserve">The Review methodology will build on the </w:t>
      </w:r>
      <w:proofErr w:type="spellStart"/>
      <w:r w:rsidRPr="0077375F">
        <w:rPr>
          <w:lang w:eastAsia="en-US"/>
        </w:rPr>
        <w:t>learnings</w:t>
      </w:r>
      <w:proofErr w:type="spellEnd"/>
      <w:r w:rsidRPr="0077375F">
        <w:rPr>
          <w:lang w:eastAsia="en-US"/>
        </w:rPr>
        <w:t xml:space="preserve"> from the Australian Human Rights Commission’s Review into the Australian Defence Force and the Commission’s Independent Review into Victoria Police. </w:t>
      </w:r>
    </w:p>
    <w:p w14:paraId="48C61882" w14:textId="77777777" w:rsidR="0077375F" w:rsidRPr="0077375F" w:rsidRDefault="0077375F" w:rsidP="0077375F">
      <w:pPr>
        <w:pStyle w:val="VEOHRCChapterTitle"/>
        <w:rPr>
          <w:lang w:eastAsia="en-US"/>
        </w:rPr>
      </w:pPr>
      <w:r w:rsidRPr="0077375F">
        <w:rPr>
          <w:lang w:eastAsia="en-US"/>
        </w:rPr>
        <w:lastRenderedPageBreak/>
        <w:t>Building community awareness</w:t>
      </w:r>
    </w:p>
    <w:p w14:paraId="72A70F16" w14:textId="77777777" w:rsidR="0077375F" w:rsidRPr="0077375F" w:rsidRDefault="0077375F" w:rsidP="00821C20">
      <w:pPr>
        <w:pStyle w:val="VEOHRCHeading3"/>
        <w:rPr>
          <w:lang w:eastAsia="en-US"/>
        </w:rPr>
      </w:pPr>
      <w:r w:rsidRPr="0077375F">
        <w:rPr>
          <w:lang w:eastAsia="en-US"/>
        </w:rPr>
        <w:t>We reach a wide audience of Victorians who may have had little or no engagement with human rights and equal opportunity by leading community conversations and empowering all Victorians to act.</w:t>
      </w:r>
    </w:p>
    <w:p w14:paraId="0DFAB35C" w14:textId="77777777" w:rsidR="0077375F" w:rsidRPr="0077375F" w:rsidRDefault="0077375F" w:rsidP="0038278D">
      <w:pPr>
        <w:pStyle w:val="VEOHRCHeading1"/>
        <w:rPr>
          <w:lang w:eastAsia="en-US"/>
        </w:rPr>
      </w:pPr>
      <w:r w:rsidRPr="0077375F">
        <w:rPr>
          <w:lang w:eastAsia="en-US"/>
        </w:rPr>
        <w:lastRenderedPageBreak/>
        <w:t>Resources</w:t>
      </w:r>
    </w:p>
    <w:p w14:paraId="65BF8758" w14:textId="77777777" w:rsidR="0077375F" w:rsidRPr="0077375F" w:rsidRDefault="0077375F" w:rsidP="00EB0419">
      <w:pPr>
        <w:pStyle w:val="VEOHRCBodytext"/>
        <w:rPr>
          <w:lang w:eastAsia="en-US"/>
        </w:rPr>
      </w:pPr>
      <w:r w:rsidRPr="0077375F">
        <w:rPr>
          <w:lang w:eastAsia="en-US"/>
        </w:rPr>
        <w:t>The Commission produces resources across a range of different media to equip community members, employees, employers, government, business and service providers with the knowledge to advocate for rights, achieve compliance and develop good practice.</w:t>
      </w:r>
    </w:p>
    <w:p w14:paraId="7FB81A46" w14:textId="77777777" w:rsidR="0077375F" w:rsidRPr="0077375F" w:rsidRDefault="0077375F" w:rsidP="0077375F">
      <w:pPr>
        <w:pStyle w:val="VEOHRCHeading2"/>
        <w:rPr>
          <w:lang w:eastAsia="en-US"/>
        </w:rPr>
      </w:pPr>
      <w:r w:rsidRPr="0077375F">
        <w:rPr>
          <w:lang w:eastAsia="en-US"/>
        </w:rPr>
        <w:t>Publications</w:t>
      </w:r>
    </w:p>
    <w:p w14:paraId="54D4F16E" w14:textId="77777777" w:rsidR="0077375F" w:rsidRPr="0077375F" w:rsidRDefault="0077375F" w:rsidP="0077375F">
      <w:pPr>
        <w:pStyle w:val="VEOHRCHeading3"/>
        <w:rPr>
          <w:lang w:eastAsia="en-US"/>
        </w:rPr>
      </w:pPr>
      <w:r w:rsidRPr="0077375F">
        <w:rPr>
          <w:lang w:eastAsia="en-US"/>
        </w:rPr>
        <w:t>The Charter of Human Rights and Responsibilities: Local Government and the operation of the Charter in 2013/14</w:t>
      </w:r>
      <w:r w:rsidRPr="0077375F">
        <w:rPr>
          <w:lang w:eastAsia="en-US"/>
        </w:rPr>
        <w:tab/>
      </w:r>
    </w:p>
    <w:p w14:paraId="083EE880" w14:textId="77777777" w:rsidR="0077375F" w:rsidRPr="0077375F" w:rsidRDefault="0077375F" w:rsidP="0077375F">
      <w:pPr>
        <w:pStyle w:val="VEOHRCBodytext"/>
        <w:rPr>
          <w:lang w:eastAsia="en-US"/>
        </w:rPr>
      </w:pPr>
      <w:r w:rsidRPr="0077375F">
        <w:rPr>
          <w:lang w:eastAsia="en-US"/>
        </w:rPr>
        <w:t>As the level of government most closely connected to the community, councils have a vital role to play in promoting and protecting the human rights of people in Victoria.</w:t>
      </w:r>
    </w:p>
    <w:p w14:paraId="706A1A50"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2014 </w:t>
      </w:r>
      <w:r w:rsidRPr="0077375F">
        <w:rPr>
          <w:rStyle w:val="VEOHRCBodytextChar"/>
          <w:i/>
          <w:lang w:eastAsia="en-US"/>
        </w:rPr>
        <w:t>Local Government Report</w:t>
      </w:r>
      <w:r w:rsidRPr="0077375F">
        <w:rPr>
          <w:rStyle w:val="VEOHRCBodytextChar"/>
          <w:lang w:eastAsia="en-US"/>
        </w:rPr>
        <w:t xml:space="preserve"> looks at the implementation of human rights in local government planning and decision-making, and the outcomes it helps achieve for communities across the state.</w:t>
      </w:r>
    </w:p>
    <w:p w14:paraId="10E921DD" w14:textId="63D332ED" w:rsidR="0077375F" w:rsidRDefault="0077375F" w:rsidP="0077375F">
      <w:pPr>
        <w:pStyle w:val="VEOHRCBodytext"/>
        <w:rPr>
          <w:lang w:eastAsia="en-US"/>
        </w:rPr>
      </w:pPr>
      <w:r w:rsidRPr="0077375F">
        <w:rPr>
          <w:lang w:eastAsia="en-US"/>
        </w:rPr>
        <w:t>The Commission received 77 survey responses</w:t>
      </w:r>
      <w:r w:rsidR="001B0C5C">
        <w:rPr>
          <w:lang w:eastAsia="en-US"/>
        </w:rPr>
        <w:t xml:space="preserve"> </w:t>
      </w:r>
      <w:r w:rsidRPr="0077375F">
        <w:rPr>
          <w:lang w:eastAsia="en-US"/>
        </w:rPr>
        <w:t>out of 79 councils, which represents 97 per cent</w:t>
      </w:r>
      <w:r w:rsidR="001B0C5C">
        <w:rPr>
          <w:lang w:eastAsia="en-US"/>
        </w:rPr>
        <w:t xml:space="preserve"> </w:t>
      </w:r>
      <w:r w:rsidRPr="0077375F">
        <w:rPr>
          <w:lang w:eastAsia="en-US"/>
        </w:rPr>
        <w:t>of local government in Victoria.</w:t>
      </w:r>
    </w:p>
    <w:p w14:paraId="18CEC2FA" w14:textId="5A3DD389" w:rsidR="0077375F" w:rsidRPr="0077375F" w:rsidRDefault="0077375F" w:rsidP="0077375F">
      <w:pPr>
        <w:pStyle w:val="VEOHRCBodytext"/>
        <w:rPr>
          <w:lang w:eastAsia="en-US"/>
        </w:rPr>
      </w:pPr>
      <w:r w:rsidRPr="0077375F">
        <w:rPr>
          <w:lang w:eastAsia="en-US"/>
        </w:rPr>
        <w:t xml:space="preserve">The survey showed that many </w:t>
      </w:r>
      <w:proofErr w:type="gramStart"/>
      <w:r w:rsidRPr="0077375F">
        <w:rPr>
          <w:lang w:eastAsia="en-US"/>
        </w:rPr>
        <w:t>councils</w:t>
      </w:r>
      <w:proofErr w:type="gramEnd"/>
      <w:r w:rsidRPr="0077375F">
        <w:rPr>
          <w:lang w:eastAsia="en-US"/>
        </w:rPr>
        <w:t xml:space="preserve"> have started to embed human rights into their day-to-day business, and have a deeper understanding than before of how their work affects the human rights of their communities.</w:t>
      </w:r>
    </w:p>
    <w:p w14:paraId="4F1ABF92" w14:textId="77777777" w:rsidR="0077375F" w:rsidRPr="0077375F" w:rsidRDefault="0077375F" w:rsidP="0077375F">
      <w:pPr>
        <w:pStyle w:val="VEOHRCBodytext"/>
        <w:rPr>
          <w:lang w:eastAsia="en-US"/>
        </w:rPr>
      </w:pPr>
      <w:r w:rsidRPr="0077375F">
        <w:rPr>
          <w:lang w:eastAsia="en-US"/>
        </w:rPr>
        <w:t xml:space="preserve">However, the survey also identified that a number of councils lack resources and capability to ensure that consistent training is given to councillors and staff to understand and comply with their Charter obligations, and give them skills to build a human rights culture in their day-to-day activities. </w:t>
      </w:r>
    </w:p>
    <w:p w14:paraId="50341A35" w14:textId="77777777" w:rsidR="0077375F" w:rsidRPr="0077375F" w:rsidRDefault="0077375F" w:rsidP="0077375F">
      <w:pPr>
        <w:pStyle w:val="VEOHRCBodytext"/>
        <w:rPr>
          <w:lang w:eastAsia="en-US"/>
        </w:rPr>
      </w:pPr>
      <w:r w:rsidRPr="0077375F">
        <w:rPr>
          <w:lang w:eastAsia="en-US"/>
        </w:rPr>
        <w:t xml:space="preserve">The Commission has made a number of recommendations for local and state </w:t>
      </w:r>
      <w:proofErr w:type="gramStart"/>
      <w:r w:rsidRPr="0077375F">
        <w:rPr>
          <w:lang w:eastAsia="en-US"/>
        </w:rPr>
        <w:t>government which</w:t>
      </w:r>
      <w:proofErr w:type="gramEnd"/>
      <w:r w:rsidRPr="0077375F">
        <w:rPr>
          <w:lang w:eastAsia="en-US"/>
        </w:rPr>
        <w:t xml:space="preserve"> are outlined in the report.</w:t>
      </w:r>
    </w:p>
    <w:p w14:paraId="79DE38BE" w14:textId="77777777" w:rsidR="0077375F" w:rsidRPr="0077375F" w:rsidRDefault="0077375F" w:rsidP="0077375F">
      <w:pPr>
        <w:pStyle w:val="VEOHRCHeading3"/>
        <w:rPr>
          <w:lang w:eastAsia="en-US"/>
        </w:rPr>
      </w:pPr>
      <w:r w:rsidRPr="0077375F">
        <w:rPr>
          <w:lang w:eastAsia="en-US"/>
        </w:rPr>
        <w:t xml:space="preserve">Charter Report </w:t>
      </w:r>
    </w:p>
    <w:p w14:paraId="5D33DAE4"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has prepared its </w:t>
      </w:r>
      <w:r w:rsidRPr="0077375F">
        <w:rPr>
          <w:rStyle w:val="VEOHRCBodytextChar"/>
          <w:i/>
          <w:lang w:eastAsia="en-US"/>
        </w:rPr>
        <w:t>2015 Report on the operation of the Charter of Human Rights and Responsibilities</w:t>
      </w:r>
      <w:r w:rsidRPr="0077375F">
        <w:rPr>
          <w:rStyle w:val="VEOHRCBodytextChar"/>
          <w:lang w:eastAsia="en-US"/>
        </w:rPr>
        <w:t xml:space="preserve">. The report examines how the Charter operated in the work of public authorities, the courts and tribunals, in parliament and in the community in the 2015 calendar year. </w:t>
      </w:r>
    </w:p>
    <w:p w14:paraId="4B3CE083" w14:textId="77777777" w:rsidR="0077375F" w:rsidRDefault="0077375F" w:rsidP="0077375F">
      <w:pPr>
        <w:pStyle w:val="VEOHRCBodytext"/>
        <w:rPr>
          <w:lang w:eastAsia="en-US"/>
        </w:rPr>
      </w:pPr>
      <w:r w:rsidRPr="0077375F">
        <w:rPr>
          <w:lang w:eastAsia="en-US"/>
        </w:rPr>
        <w:t xml:space="preserve">The 2015 report focuses on the protection and promotion of fundamental Charter rights, including the right to equality, the protection of families and children, cultural rights, and the right to liberty and security. The report will be published in October 2016. </w:t>
      </w:r>
    </w:p>
    <w:p w14:paraId="77E80BE3" w14:textId="483526DB" w:rsidR="0077375F" w:rsidRPr="0077375F" w:rsidRDefault="0077375F" w:rsidP="0077375F">
      <w:pPr>
        <w:pStyle w:val="VEOHRCHeading3"/>
        <w:rPr>
          <w:lang w:eastAsia="en-US"/>
        </w:rPr>
      </w:pPr>
      <w:r w:rsidRPr="0077375F">
        <w:rPr>
          <w:lang w:eastAsia="en-US"/>
        </w:rPr>
        <w:t>Easy English guide</w:t>
      </w:r>
      <w:r w:rsidR="001B0C5C">
        <w:rPr>
          <w:lang w:eastAsia="en-US"/>
        </w:rPr>
        <w:t xml:space="preserve"> </w:t>
      </w:r>
      <w:r w:rsidRPr="0077375F">
        <w:rPr>
          <w:lang w:eastAsia="en-US"/>
        </w:rPr>
        <w:t>– Reporting crime: your rights</w:t>
      </w:r>
    </w:p>
    <w:p w14:paraId="6C469D68" w14:textId="77777777" w:rsid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worked with Victoria Police and Scope to produce an Easy English resource on reporting crime. The resource was developed with input from a range of stakeholders and includes information on what a crime is, where crime can occur, how to report crime, rights when reporting crime and where to go for additional help and support. The resource forms part of Victoria Police’s </w:t>
      </w:r>
      <w:proofErr w:type="spellStart"/>
      <w:r w:rsidRPr="0077375F">
        <w:rPr>
          <w:rStyle w:val="VEOHRCBodytextChar"/>
          <w:lang w:eastAsia="en-US"/>
        </w:rPr>
        <w:t>ongoing</w:t>
      </w:r>
      <w:proofErr w:type="spellEnd"/>
      <w:r w:rsidRPr="0077375F">
        <w:rPr>
          <w:rStyle w:val="VEOHRCBodytextChar"/>
          <w:lang w:eastAsia="en-US"/>
        </w:rPr>
        <w:t xml:space="preserve"> work to implement the Commission’s recommendations from </w:t>
      </w:r>
      <w:r w:rsidRPr="0077375F">
        <w:rPr>
          <w:rStyle w:val="VEOHRCBodytextChar"/>
          <w:i/>
          <w:lang w:eastAsia="en-US"/>
        </w:rPr>
        <w:t>Beyond doubt: the experiences of people with disabilities reporting crime</w:t>
      </w:r>
      <w:r w:rsidRPr="0077375F">
        <w:rPr>
          <w:rStyle w:val="VEOHRCBodytextChar"/>
          <w:lang w:eastAsia="en-US"/>
        </w:rPr>
        <w:t xml:space="preserve"> to improve communication accessibility and to gain and maintain Communication Access Accreditation according to the advice of Scope.</w:t>
      </w:r>
    </w:p>
    <w:p w14:paraId="50786AD5" w14:textId="797DDAFA" w:rsidR="0077375F" w:rsidRPr="0077375F" w:rsidRDefault="0077375F" w:rsidP="0077375F">
      <w:pPr>
        <w:pStyle w:val="VEOHRCHeading2"/>
        <w:rPr>
          <w:lang w:eastAsia="en-US"/>
        </w:rPr>
      </w:pPr>
      <w:r w:rsidRPr="0077375F">
        <w:rPr>
          <w:lang w:eastAsia="en-US"/>
        </w:rPr>
        <w:t>Online</w:t>
      </w:r>
    </w:p>
    <w:p w14:paraId="36A7603F"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Commission’s website, </w:t>
      </w:r>
      <w:r w:rsidRPr="0077375F">
        <w:rPr>
          <w:rStyle w:val="VEOHRCURLChar"/>
          <w:lang w:val="en-GB" w:eastAsia="en-US"/>
        </w:rPr>
        <w:t>humanrightscommission.vic.gov.au</w:t>
      </w:r>
      <w:r w:rsidRPr="0077375F">
        <w:rPr>
          <w:rStyle w:val="VEOHRCBodytextChar"/>
          <w:lang w:eastAsia="en-US"/>
        </w:rPr>
        <w:t xml:space="preserve">, hosts information and tools to equip community members, employees, employers, government, business and service providers with the knowledge to advocate for rights, achieve </w:t>
      </w:r>
      <w:r w:rsidRPr="0077375F">
        <w:rPr>
          <w:rStyle w:val="VEOHRCBodytextChar"/>
          <w:lang w:eastAsia="en-US"/>
        </w:rPr>
        <w:lastRenderedPageBreak/>
        <w:t xml:space="preserve">compliance and develop good practice. In addition to online toolkits, surveys and registrations for workshops and events, the site also provides versions of all Commission publications in accessible formats, including videos of information on discrimination in </w:t>
      </w:r>
      <w:proofErr w:type="spellStart"/>
      <w:r w:rsidRPr="0077375F">
        <w:rPr>
          <w:rStyle w:val="VEOHRCBodytextChar"/>
          <w:lang w:eastAsia="en-US"/>
        </w:rPr>
        <w:t>Auslan</w:t>
      </w:r>
      <w:proofErr w:type="spellEnd"/>
      <w:r w:rsidRPr="0077375F">
        <w:rPr>
          <w:rStyle w:val="VEOHRCBodytextChar"/>
          <w:lang w:eastAsia="en-US"/>
        </w:rPr>
        <w:t>.</w:t>
      </w:r>
    </w:p>
    <w:p w14:paraId="4E2415D2" w14:textId="77777777" w:rsidR="0077375F" w:rsidRPr="0077375F" w:rsidRDefault="0077375F" w:rsidP="0077375F">
      <w:pPr>
        <w:pStyle w:val="VEOHRCBodytext"/>
        <w:rPr>
          <w:lang w:eastAsia="en-US"/>
        </w:rPr>
      </w:pPr>
      <w:r w:rsidRPr="0077375F">
        <w:rPr>
          <w:lang w:eastAsia="en-US"/>
        </w:rPr>
        <w:t xml:space="preserve">Total visits to the website in 2015/16 were 476,350, which was 22 per cent more than the previous year. The most viewed information was relating to discrimination in the workplace, the Equal Opportunity Act, the Charter, sexual harassment and victimisation. </w:t>
      </w:r>
    </w:p>
    <w:p w14:paraId="5965F753" w14:textId="77777777" w:rsidR="0077375F" w:rsidRPr="0077375F" w:rsidRDefault="0077375F" w:rsidP="0077375F">
      <w:pPr>
        <w:pStyle w:val="VEOHRCHeading3"/>
        <w:rPr>
          <w:lang w:eastAsia="en-US"/>
        </w:rPr>
      </w:pPr>
      <w:r w:rsidRPr="0077375F">
        <w:rPr>
          <w:lang w:eastAsia="en-US"/>
        </w:rPr>
        <w:t>Anti-Hate</w:t>
      </w:r>
    </w:p>
    <w:p w14:paraId="37CE036B" w14:textId="77777777" w:rsidR="0077375F" w:rsidRPr="0077375F" w:rsidRDefault="0077375F" w:rsidP="0077375F">
      <w:pPr>
        <w:pStyle w:val="VEOHRCBodytext"/>
        <w:rPr>
          <w:lang w:eastAsia="en-US"/>
        </w:rPr>
      </w:pPr>
      <w:r w:rsidRPr="0077375F">
        <w:rPr>
          <w:lang w:eastAsia="en-US"/>
        </w:rPr>
        <w:t xml:space="preserve">The Commission continues to use the Anti-Hate campaign to renew calls for members of the community to report instances of racism and discrimination, and to empower people with constructive ways of challenging such behaviour when they encounter it. </w:t>
      </w:r>
    </w:p>
    <w:p w14:paraId="2F4A9FA1" w14:textId="089969DB" w:rsid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The Anti-Hate website, </w:t>
      </w:r>
      <w:r w:rsidRPr="0077375F">
        <w:rPr>
          <w:rStyle w:val="VEOHRCURLChar"/>
          <w:lang w:val="en-GB" w:eastAsia="en-US"/>
        </w:rPr>
        <w:t>antihate.vic.gov.au</w:t>
      </w:r>
      <w:r w:rsidRPr="0077375F">
        <w:rPr>
          <w:rStyle w:val="VEOHRCBodytextChar"/>
          <w:lang w:eastAsia="en-US"/>
        </w:rPr>
        <w:t>,</w:t>
      </w:r>
      <w:r w:rsidR="001B0C5C">
        <w:rPr>
          <w:rStyle w:val="VEOHRCBodytextChar"/>
          <w:lang w:eastAsia="en-US"/>
        </w:rPr>
        <w:t xml:space="preserve"> </w:t>
      </w:r>
      <w:r w:rsidRPr="0077375F">
        <w:rPr>
          <w:rStyle w:val="VEOHRCBodytextChar"/>
          <w:lang w:eastAsia="en-US"/>
        </w:rPr>
        <w:t xml:space="preserve">has been viewed more than 130,215 times since its launch in September 2012. The public continues to engage with the tools and resources available to help them address racism in their own environments. </w:t>
      </w:r>
    </w:p>
    <w:p w14:paraId="45019F1E" w14:textId="360D177B" w:rsidR="0077375F" w:rsidRPr="0077375F" w:rsidRDefault="0077375F" w:rsidP="0077375F">
      <w:pPr>
        <w:pStyle w:val="VEOHRCHeading3"/>
        <w:rPr>
          <w:lang w:eastAsia="en-US"/>
        </w:rPr>
      </w:pPr>
      <w:r w:rsidRPr="0077375F">
        <w:rPr>
          <w:lang w:eastAsia="en-US"/>
        </w:rPr>
        <w:t>Aboriginal Cultural Rights Project</w:t>
      </w:r>
    </w:p>
    <w:p w14:paraId="6A4221E1" w14:textId="77777777" w:rsidR="0077375F" w:rsidRPr="0077375F" w:rsidRDefault="0077375F" w:rsidP="0077375F">
      <w:pPr>
        <w:pStyle w:val="VEOHRCBodytext"/>
        <w:rPr>
          <w:lang w:eastAsia="en-US"/>
        </w:rPr>
      </w:pPr>
      <w:r w:rsidRPr="0077375F">
        <w:rPr>
          <w:lang w:eastAsia="en-US"/>
        </w:rPr>
        <w:t>The Commission is developing new online resources to increase the awareness, understanding and use of Aboriginal cultural rights under the Charter. </w:t>
      </w:r>
    </w:p>
    <w:p w14:paraId="061AA8BB" w14:textId="77777777" w:rsidR="0077375F" w:rsidRPr="0077375F" w:rsidRDefault="0077375F" w:rsidP="0077375F">
      <w:pPr>
        <w:pStyle w:val="VEOHRCBodytext"/>
        <w:rPr>
          <w:lang w:eastAsia="en-US"/>
        </w:rPr>
      </w:pPr>
      <w:r w:rsidRPr="0077375F">
        <w:rPr>
          <w:lang w:eastAsia="en-US"/>
        </w:rPr>
        <w:t>Although Aboriginal cultural rights are protected under the Charter, preliminary evidence suggests they are rarely raised in courts or tribunals, used as an advocacy tool by Aboriginal people, or used as an engagement tool by public authorities. This project aims to increase awareness and understanding of Aboriginal cultural rights so they are used as part of everyday interactions between public authorities and Aboriginal Victorians.</w:t>
      </w:r>
    </w:p>
    <w:p w14:paraId="47C7C84D" w14:textId="77777777" w:rsidR="0077375F" w:rsidRPr="0077375F" w:rsidRDefault="0077375F" w:rsidP="0077375F">
      <w:pPr>
        <w:pStyle w:val="VEOHRCBodytext"/>
        <w:rPr>
          <w:lang w:eastAsia="en-US"/>
        </w:rPr>
      </w:pPr>
      <w:r w:rsidRPr="0077375F">
        <w:rPr>
          <w:lang w:eastAsia="en-US"/>
        </w:rPr>
        <w:t>This resource is currently in development and will be launched in 2016.</w:t>
      </w:r>
    </w:p>
    <w:p w14:paraId="565C1EEB" w14:textId="77777777" w:rsidR="0077375F" w:rsidRPr="0077375F" w:rsidRDefault="0077375F" w:rsidP="0038278D">
      <w:pPr>
        <w:pStyle w:val="VEOHRCHeading4"/>
        <w:rPr>
          <w:lang w:eastAsia="en-US"/>
        </w:rPr>
      </w:pPr>
      <w:r w:rsidRPr="0077375F">
        <w:rPr>
          <w:lang w:eastAsia="en-US"/>
        </w:rPr>
        <w:t xml:space="preserve">Project initiatives </w:t>
      </w:r>
    </w:p>
    <w:p w14:paraId="271AFB42" w14:textId="77777777" w:rsidR="0077375F" w:rsidRPr="0077375F" w:rsidRDefault="0077375F" w:rsidP="0077375F">
      <w:pPr>
        <w:pStyle w:val="VEOHRCBodytext"/>
        <w:rPr>
          <w:lang w:eastAsia="en-US"/>
        </w:rPr>
      </w:pPr>
      <w:r w:rsidRPr="0077375F">
        <w:rPr>
          <w:lang w:eastAsia="en-US"/>
        </w:rPr>
        <w:t>From the initial consultation in 2015 a number of initiatives were identified to raise awareness, understanding and use of Aboriginal cultural rights with both public authorities and the Aboriginal community. The Commission is currently working to develop content that includes:</w:t>
      </w:r>
    </w:p>
    <w:p w14:paraId="5125DD4E" w14:textId="77777777" w:rsidR="0077375F" w:rsidRPr="0077375F" w:rsidRDefault="0077375F" w:rsidP="0077375F">
      <w:pPr>
        <w:pStyle w:val="VEOHRCListBullet"/>
        <w:rPr>
          <w:lang w:eastAsia="en-US"/>
        </w:rPr>
      </w:pPr>
      <w:proofErr w:type="gramStart"/>
      <w:r w:rsidRPr="0077375F">
        <w:rPr>
          <w:lang w:eastAsia="en-US"/>
        </w:rPr>
        <w:t>a</w:t>
      </w:r>
      <w:proofErr w:type="gramEnd"/>
      <w:r w:rsidRPr="0077375F">
        <w:rPr>
          <w:lang w:eastAsia="en-US"/>
        </w:rPr>
        <w:t xml:space="preserve"> dedicated website on Aboriginal cultural rights in Victoria that aims to be informative, interactive and engaging</w:t>
      </w:r>
    </w:p>
    <w:p w14:paraId="34A7DA5E" w14:textId="77777777" w:rsidR="0077375F" w:rsidRPr="0077375F" w:rsidRDefault="0077375F" w:rsidP="0077375F">
      <w:pPr>
        <w:pStyle w:val="VEOHRCListBullet"/>
        <w:rPr>
          <w:lang w:eastAsia="en-US"/>
        </w:rPr>
      </w:pPr>
      <w:proofErr w:type="gramStart"/>
      <w:r w:rsidRPr="0077375F">
        <w:rPr>
          <w:lang w:eastAsia="en-US"/>
        </w:rPr>
        <w:t>a</w:t>
      </w:r>
      <w:proofErr w:type="gramEnd"/>
      <w:r w:rsidRPr="0077375F">
        <w:rPr>
          <w:lang w:eastAsia="en-US"/>
        </w:rPr>
        <w:t xml:space="preserve"> range of educational resources </w:t>
      </w:r>
    </w:p>
    <w:p w14:paraId="26712A9B" w14:textId="77777777" w:rsidR="0077375F" w:rsidRPr="0077375F" w:rsidRDefault="0077375F" w:rsidP="0077375F">
      <w:pPr>
        <w:pStyle w:val="VEOHRCListBullet"/>
        <w:rPr>
          <w:lang w:eastAsia="en-US"/>
        </w:rPr>
      </w:pPr>
      <w:proofErr w:type="gramStart"/>
      <w:r w:rsidRPr="0077375F">
        <w:rPr>
          <w:lang w:eastAsia="en-US"/>
        </w:rPr>
        <w:t>practical</w:t>
      </w:r>
      <w:proofErr w:type="gramEnd"/>
      <w:r w:rsidRPr="0077375F">
        <w:rPr>
          <w:lang w:eastAsia="en-US"/>
        </w:rPr>
        <w:t xml:space="preserve"> case studies that demonstrate the use of Aboriginal cultural rights in practice</w:t>
      </w:r>
    </w:p>
    <w:p w14:paraId="5E7C49B5" w14:textId="77777777" w:rsidR="0077375F" w:rsidRPr="0077375F" w:rsidRDefault="0077375F" w:rsidP="0077375F">
      <w:pPr>
        <w:pStyle w:val="VEOHRCListBullet"/>
        <w:rPr>
          <w:lang w:eastAsia="en-US"/>
        </w:rPr>
      </w:pPr>
      <w:proofErr w:type="gramStart"/>
      <w:r w:rsidRPr="0077375F">
        <w:rPr>
          <w:lang w:eastAsia="en-US"/>
        </w:rPr>
        <w:t>targeted</w:t>
      </w:r>
      <w:proofErr w:type="gramEnd"/>
      <w:r w:rsidRPr="0077375F">
        <w:rPr>
          <w:lang w:eastAsia="en-US"/>
        </w:rPr>
        <w:t xml:space="preserve"> work with organisations where there is an opportunity to engage with key stakeholders to provide guidance or raise awareness of the Charter</w:t>
      </w:r>
    </w:p>
    <w:p w14:paraId="612496F1" w14:textId="77777777" w:rsidR="0077375F" w:rsidRPr="0077375F" w:rsidRDefault="0077375F" w:rsidP="0077375F">
      <w:pPr>
        <w:pStyle w:val="VEOHRCListBullet"/>
        <w:rPr>
          <w:lang w:eastAsia="en-US"/>
        </w:rPr>
      </w:pPr>
      <w:proofErr w:type="gramStart"/>
      <w:r w:rsidRPr="0077375F">
        <w:rPr>
          <w:lang w:eastAsia="en-US"/>
        </w:rPr>
        <w:t>educational</w:t>
      </w:r>
      <w:proofErr w:type="gramEnd"/>
      <w:r w:rsidRPr="0077375F">
        <w:rPr>
          <w:lang w:eastAsia="en-US"/>
        </w:rPr>
        <w:t xml:space="preserve"> content targeted at public authorities. </w:t>
      </w:r>
    </w:p>
    <w:p w14:paraId="53BF94DC" w14:textId="77777777" w:rsidR="0077375F" w:rsidRPr="0077375F" w:rsidRDefault="0077375F" w:rsidP="0077375F">
      <w:pPr>
        <w:pStyle w:val="VEOHRCBodytext"/>
        <w:rPr>
          <w:lang w:eastAsia="en-US"/>
        </w:rPr>
      </w:pPr>
      <w:r w:rsidRPr="0077375F">
        <w:rPr>
          <w:lang w:eastAsia="en-US"/>
        </w:rPr>
        <w:t>The Commission will continue to work with key stakeholders to ensure all resources are effective, accessible and meaningful for the intended audiences.</w:t>
      </w:r>
    </w:p>
    <w:p w14:paraId="77BE98AE" w14:textId="148201A3" w:rsidR="0077375F" w:rsidRPr="0077375F" w:rsidRDefault="0077375F" w:rsidP="0077375F">
      <w:pPr>
        <w:pStyle w:val="VEOHRCHeading3"/>
        <w:rPr>
          <w:lang w:eastAsia="en-US"/>
        </w:rPr>
      </w:pPr>
      <w:r w:rsidRPr="0077375F">
        <w:rPr>
          <w:lang w:eastAsia="en-US"/>
        </w:rPr>
        <w:t>My Work Rights:</w:t>
      </w:r>
      <w:r w:rsidR="001B0C5C">
        <w:rPr>
          <w:lang w:eastAsia="en-US"/>
        </w:rPr>
        <w:t xml:space="preserve"> </w:t>
      </w:r>
      <w:r w:rsidRPr="0077375F">
        <w:rPr>
          <w:lang w:eastAsia="en-US"/>
        </w:rPr>
        <w:t>information for women at work</w:t>
      </w:r>
    </w:p>
    <w:p w14:paraId="65F44677" w14:textId="77777777" w:rsidR="0077375F" w:rsidRPr="0077375F" w:rsidRDefault="0077375F" w:rsidP="0077375F">
      <w:pPr>
        <w:pStyle w:val="VEOHRCBodytext"/>
        <w:rPr>
          <w:lang w:eastAsia="en-US"/>
        </w:rPr>
      </w:pPr>
      <w:r w:rsidRPr="0077375F">
        <w:rPr>
          <w:lang w:eastAsia="en-US"/>
        </w:rPr>
        <w:t xml:space="preserve">The My Work Rights project aims to raise awareness of women’s rights at work. First launched in 2011, the project is targeted at young women, based on our </w:t>
      </w:r>
      <w:proofErr w:type="gramStart"/>
      <w:r w:rsidRPr="0077375F">
        <w:rPr>
          <w:lang w:eastAsia="en-US"/>
        </w:rPr>
        <w:t>research which</w:t>
      </w:r>
      <w:proofErr w:type="gramEnd"/>
      <w:r w:rsidRPr="0077375F">
        <w:rPr>
          <w:lang w:eastAsia="en-US"/>
        </w:rPr>
        <w:t xml:space="preserve"> showed that:</w:t>
      </w:r>
    </w:p>
    <w:p w14:paraId="67403BCA" w14:textId="77777777" w:rsidR="0077375F" w:rsidRPr="0077375F" w:rsidRDefault="0077375F" w:rsidP="0077375F">
      <w:pPr>
        <w:pStyle w:val="VEOHRCListBullet"/>
        <w:rPr>
          <w:lang w:eastAsia="en-US"/>
        </w:rPr>
      </w:pPr>
      <w:proofErr w:type="gramStart"/>
      <w:r w:rsidRPr="0077375F">
        <w:rPr>
          <w:lang w:eastAsia="en-US"/>
        </w:rPr>
        <w:t>a</w:t>
      </w:r>
      <w:proofErr w:type="gramEnd"/>
      <w:r w:rsidRPr="0077375F">
        <w:rPr>
          <w:lang w:eastAsia="en-US"/>
        </w:rPr>
        <w:t xml:space="preserve"> third have experienced workplace sexual harassment</w:t>
      </w:r>
    </w:p>
    <w:p w14:paraId="26429830" w14:textId="77777777" w:rsidR="0077375F" w:rsidRPr="0077375F" w:rsidRDefault="0077375F" w:rsidP="0077375F">
      <w:pPr>
        <w:pStyle w:val="VEOHRCListBullet"/>
        <w:rPr>
          <w:lang w:eastAsia="en-US"/>
        </w:rPr>
      </w:pPr>
      <w:proofErr w:type="gramStart"/>
      <w:r w:rsidRPr="0077375F">
        <w:rPr>
          <w:lang w:eastAsia="en-US"/>
        </w:rPr>
        <w:lastRenderedPageBreak/>
        <w:t>more</w:t>
      </w:r>
      <w:proofErr w:type="gramEnd"/>
      <w:r w:rsidRPr="0077375F">
        <w:rPr>
          <w:lang w:eastAsia="en-US"/>
        </w:rPr>
        <w:t xml:space="preserve"> than a third have been discriminated against at work.</w:t>
      </w:r>
    </w:p>
    <w:p w14:paraId="63D5412D" w14:textId="77777777" w:rsidR="0077375F" w:rsidRPr="0077375F" w:rsidRDefault="0077375F" w:rsidP="0077375F">
      <w:pPr>
        <w:pStyle w:val="VEOHRCBodytext"/>
        <w:rPr>
          <w:lang w:eastAsia="en-US"/>
        </w:rPr>
      </w:pPr>
      <w:r w:rsidRPr="0077375F">
        <w:rPr>
          <w:lang w:eastAsia="en-US"/>
        </w:rPr>
        <w:t>We also discovered that young women often don’t make a complaint about discrimination or sexual harassment at work. They are more likely to resign.</w:t>
      </w:r>
    </w:p>
    <w:p w14:paraId="07325017" w14:textId="77777777" w:rsidR="0077375F" w:rsidRPr="0077375F" w:rsidRDefault="0077375F" w:rsidP="0077375F">
      <w:pPr>
        <w:pStyle w:val="VEOHRCBodytext"/>
        <w:rPr>
          <w:lang w:eastAsia="en-US"/>
        </w:rPr>
      </w:pPr>
      <w:r w:rsidRPr="0077375F">
        <w:rPr>
          <w:lang w:eastAsia="en-US"/>
        </w:rPr>
        <w:t xml:space="preserve">We </w:t>
      </w:r>
      <w:proofErr w:type="spellStart"/>
      <w:r w:rsidRPr="0077375F">
        <w:rPr>
          <w:lang w:eastAsia="en-US"/>
        </w:rPr>
        <w:t>relaunched</w:t>
      </w:r>
      <w:proofErr w:type="spellEnd"/>
      <w:r w:rsidRPr="0077375F">
        <w:rPr>
          <w:lang w:eastAsia="en-US"/>
        </w:rPr>
        <w:t xml:space="preserve"> the website on International Women’s Day (8 March 2016) and broadened the scope to include all women at work. </w:t>
      </w:r>
    </w:p>
    <w:p w14:paraId="303735AF"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website, </w:t>
      </w:r>
      <w:r w:rsidRPr="0077375F">
        <w:rPr>
          <w:rStyle w:val="VEOHRCURLChar"/>
          <w:lang w:val="en-GB" w:eastAsia="en-US"/>
        </w:rPr>
        <w:t>myworkrights.com.au</w:t>
      </w:r>
      <w:r w:rsidRPr="0077375F">
        <w:rPr>
          <w:rStyle w:val="VEOHRCBodytextChar"/>
          <w:lang w:eastAsia="en-US"/>
        </w:rPr>
        <w:t>, helps people identify discriminatory behaviour, providing mixed media examples of behaviour that is against the law, plus links to more information and resources.</w:t>
      </w:r>
    </w:p>
    <w:p w14:paraId="51133E4F" w14:textId="77777777" w:rsidR="0077375F" w:rsidRPr="0077375F" w:rsidRDefault="0077375F" w:rsidP="0077375F">
      <w:pPr>
        <w:pStyle w:val="VEOHRCHeading3"/>
        <w:rPr>
          <w:lang w:eastAsia="en-US"/>
        </w:rPr>
      </w:pPr>
      <w:r w:rsidRPr="0077375F">
        <w:rPr>
          <w:lang w:eastAsia="en-US"/>
        </w:rPr>
        <w:t>Come In, We’re Accessible: improving accessibility in retail and hospitality</w:t>
      </w:r>
    </w:p>
    <w:p w14:paraId="6A4A3E54" w14:textId="77777777" w:rsidR="0077375F" w:rsidRPr="0077375F" w:rsidRDefault="0077375F" w:rsidP="0077375F">
      <w:pPr>
        <w:pStyle w:val="VEOHRCBodytext"/>
        <w:rPr>
          <w:lang w:eastAsia="en-US"/>
        </w:rPr>
      </w:pPr>
      <w:r w:rsidRPr="0077375F">
        <w:rPr>
          <w:lang w:eastAsia="en-US"/>
        </w:rPr>
        <w:t xml:space="preserve">In 2014 the Commission launched the Come In, We’re Accessible online </w:t>
      </w:r>
      <w:proofErr w:type="gramStart"/>
      <w:r w:rsidRPr="0077375F">
        <w:rPr>
          <w:lang w:eastAsia="en-US"/>
        </w:rPr>
        <w:t>resource which</w:t>
      </w:r>
      <w:proofErr w:type="gramEnd"/>
      <w:r w:rsidRPr="0077375F">
        <w:rPr>
          <w:lang w:eastAsia="en-US"/>
        </w:rPr>
        <w:t xml:space="preserve"> provides information to businesses – owners, landlords, managers and staff – on how they can improve accessibility to meet their obligations under the Equal Opportunity Act. The resource includes a self-assessment tool that enables businesses to find out how accessible they currently are, as well as a suite of fact sheets for staff and resources for customers with disabilities. Throughout 2015/16 the Commission has continued to meet with local councils and businesses across Melbourne to raise awareness about accessibility for people with disabilities.</w:t>
      </w:r>
    </w:p>
    <w:p w14:paraId="3D46105B" w14:textId="4F3680D6"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The resource is available at</w:t>
      </w:r>
      <w:r w:rsidR="001B0C5C">
        <w:rPr>
          <w:rStyle w:val="VEOHRCBodytextChar"/>
          <w:lang w:eastAsia="en-US"/>
        </w:rPr>
        <w:t xml:space="preserve"> </w:t>
      </w:r>
      <w:r w:rsidRPr="0077375F">
        <w:rPr>
          <w:rStyle w:val="VEOHRCURLChar"/>
          <w:lang w:val="en-GB" w:eastAsia="en-US"/>
        </w:rPr>
        <w:t>accessiblebusiness.com.au</w:t>
      </w:r>
      <w:r w:rsidRPr="0077375F">
        <w:rPr>
          <w:rStyle w:val="VEOHRCBodytextChar"/>
          <w:lang w:eastAsia="en-US"/>
        </w:rPr>
        <w:t>.</w:t>
      </w:r>
    </w:p>
    <w:p w14:paraId="43EE45DB" w14:textId="77777777" w:rsidR="0077375F" w:rsidRPr="0077375F" w:rsidRDefault="0077375F" w:rsidP="0077375F">
      <w:pPr>
        <w:pStyle w:val="VEOHRCHeading2"/>
        <w:rPr>
          <w:lang w:eastAsia="en-US"/>
        </w:rPr>
      </w:pPr>
      <w:r w:rsidRPr="0077375F">
        <w:rPr>
          <w:lang w:eastAsia="en-US"/>
        </w:rPr>
        <w:t xml:space="preserve">Play by the Rules </w:t>
      </w:r>
    </w:p>
    <w:p w14:paraId="26FAB163" w14:textId="77777777" w:rsidR="0077375F" w:rsidRPr="0077375F" w:rsidRDefault="0077375F" w:rsidP="0077375F">
      <w:pPr>
        <w:pStyle w:val="VEOHRCBodytext"/>
        <w:rPr>
          <w:lang w:eastAsia="en-US"/>
        </w:rPr>
      </w:pPr>
      <w:r w:rsidRPr="0077375F">
        <w:rPr>
          <w:lang w:eastAsia="en-US"/>
        </w:rPr>
        <w:t xml:space="preserve">Play by the Rules provides information, resources, tools and free online training to increase the capacity and capability of administrators, coaches, officials, players and spectators to assist them in preventing and dealing with discrimination, harassment, child safety and integrity issues in sport. </w:t>
      </w:r>
    </w:p>
    <w:p w14:paraId="7A73D9BC" w14:textId="77777777" w:rsidR="0077375F" w:rsidRPr="0077375F" w:rsidRDefault="0077375F" w:rsidP="0077375F">
      <w:pPr>
        <w:pStyle w:val="VEOHRCBodytext"/>
        <w:rPr>
          <w:lang w:eastAsia="en-US"/>
        </w:rPr>
      </w:pPr>
      <w:r w:rsidRPr="0077375F">
        <w:rPr>
          <w:lang w:eastAsia="en-US"/>
        </w:rPr>
        <w:t xml:space="preserve">The Commission is a partner in this national program and is represented on the management committee and national reference group. </w:t>
      </w:r>
    </w:p>
    <w:p w14:paraId="4974F908" w14:textId="3E4EAE5C" w:rsidR="0077375F" w:rsidRPr="0077375F" w:rsidRDefault="0077375F" w:rsidP="0077375F">
      <w:pPr>
        <w:pStyle w:val="VEOHRCBodytext"/>
        <w:rPr>
          <w:lang w:eastAsia="en-US"/>
        </w:rPr>
      </w:pPr>
      <w:r w:rsidRPr="0077375F">
        <w:rPr>
          <w:lang w:eastAsia="en-US"/>
        </w:rPr>
        <w:t>Member Protection Information Officers play an important role in sport. They provide information and guidance on complaints procedures – they are the ‘go-to’ people if you want to discuss problems at your club or association,</w:t>
      </w:r>
      <w:r w:rsidR="001B0C5C">
        <w:rPr>
          <w:lang w:eastAsia="en-US"/>
        </w:rPr>
        <w:t xml:space="preserve"> </w:t>
      </w:r>
      <w:r w:rsidRPr="0077375F">
        <w:rPr>
          <w:lang w:eastAsia="en-US"/>
        </w:rPr>
        <w:t>particularly if you are considering making</w:t>
      </w:r>
      <w:r w:rsidR="001B0C5C">
        <w:rPr>
          <w:lang w:eastAsia="en-US"/>
        </w:rPr>
        <w:t xml:space="preserve"> </w:t>
      </w:r>
      <w:r w:rsidRPr="0077375F">
        <w:rPr>
          <w:lang w:eastAsia="en-US"/>
        </w:rPr>
        <w:t>a formal complaint.</w:t>
      </w:r>
    </w:p>
    <w:p w14:paraId="27828BF0" w14:textId="77777777" w:rsidR="0077375F" w:rsidRPr="0077375F" w:rsidRDefault="0077375F" w:rsidP="0077375F">
      <w:pPr>
        <w:pStyle w:val="VEOHRCBodytext"/>
        <w:rPr>
          <w:lang w:eastAsia="en-US"/>
        </w:rPr>
      </w:pPr>
      <w:r w:rsidRPr="0077375F">
        <w:rPr>
          <w:lang w:eastAsia="en-US"/>
        </w:rPr>
        <w:t>Play by the Rules offers training for Member Protection Information Officers that includes a face-to-face component and online training. With funding from Sport and Recreation Victoria, the Commission provided five face-to-face workshops in 2015/16.</w:t>
      </w:r>
    </w:p>
    <w:p w14:paraId="563F3C78" w14:textId="77777777" w:rsidR="0077375F" w:rsidRPr="0077375F" w:rsidRDefault="0077375F" w:rsidP="0038278D">
      <w:pPr>
        <w:pStyle w:val="VEOHRCHeading2"/>
        <w:rPr>
          <w:lang w:eastAsia="en-US"/>
        </w:rPr>
      </w:pPr>
      <w:r w:rsidRPr="0077375F">
        <w:rPr>
          <w:rStyle w:val="VEOHRCBodytextChar"/>
          <w:lang w:eastAsia="en-US"/>
        </w:rPr>
        <w:t xml:space="preserve">Visit </w:t>
      </w:r>
      <w:r w:rsidRPr="0077375F">
        <w:rPr>
          <w:rStyle w:val="VEOHRCURLChar"/>
          <w:lang w:val="en-GB" w:eastAsia="en-US"/>
        </w:rPr>
        <w:t>playbytherules.net.au</w:t>
      </w:r>
      <w:r w:rsidRPr="0077375F">
        <w:rPr>
          <w:rStyle w:val="VEOHRCBodytextChar"/>
          <w:lang w:eastAsia="en-US"/>
        </w:rPr>
        <w:t xml:space="preserve"> to see the resources we have available to address discrimination, harassment and child protection issues in sport.</w:t>
      </w:r>
    </w:p>
    <w:p w14:paraId="52FFAFF8" w14:textId="77777777" w:rsidR="0077375F" w:rsidRPr="0077375F" w:rsidRDefault="0077375F" w:rsidP="0077375F">
      <w:pPr>
        <w:pStyle w:val="VEOHRCHeading2"/>
        <w:rPr>
          <w:lang w:eastAsia="en-US"/>
        </w:rPr>
      </w:pPr>
      <w:r w:rsidRPr="0077375F">
        <w:rPr>
          <w:lang w:eastAsia="en-US"/>
        </w:rPr>
        <w:t>Video resources</w:t>
      </w:r>
    </w:p>
    <w:p w14:paraId="360E97E8" w14:textId="77777777" w:rsidR="0077375F" w:rsidRPr="0077375F" w:rsidRDefault="0077375F" w:rsidP="0077375F">
      <w:pPr>
        <w:pStyle w:val="VEOHRCHeading3"/>
        <w:rPr>
          <w:lang w:eastAsia="en-US"/>
        </w:rPr>
      </w:pPr>
      <w:r w:rsidRPr="0077375F">
        <w:rPr>
          <w:lang w:eastAsia="en-US"/>
        </w:rPr>
        <w:t>Pride Not Prejudice</w:t>
      </w:r>
    </w:p>
    <w:p w14:paraId="68E67ED0" w14:textId="39BA4D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Initiated by the Commission’s LGBTI Cross Commission Working Group, the </w:t>
      </w:r>
      <w:r w:rsidRPr="0077375F">
        <w:rPr>
          <w:rStyle w:val="VEOHRCBodytextChar"/>
          <w:i/>
          <w:lang w:eastAsia="en-US"/>
        </w:rPr>
        <w:t>Pride Not Prejudice</w:t>
      </w:r>
      <w:r w:rsidRPr="0077375F">
        <w:rPr>
          <w:rStyle w:val="VEOHRCBodytextChar"/>
          <w:lang w:eastAsia="en-US"/>
        </w:rPr>
        <w:t xml:space="preserve"> video series was produced as an opportunity to reflect on 15 years since the inclusion of sexual orientation and gender identity as protected attributes under the</w:t>
      </w:r>
      <w:r w:rsidR="001B0C5C">
        <w:rPr>
          <w:rStyle w:val="VEOHRCBodytextChar"/>
          <w:lang w:eastAsia="en-US"/>
        </w:rPr>
        <w:t xml:space="preserve"> </w:t>
      </w:r>
      <w:r w:rsidRPr="0077375F">
        <w:rPr>
          <w:rStyle w:val="VEOHRCBodytextChar"/>
          <w:lang w:eastAsia="en-US"/>
        </w:rPr>
        <w:t>Equal Opportunity Act.</w:t>
      </w:r>
    </w:p>
    <w:p w14:paraId="6D9BE21A" w14:textId="77777777" w:rsidR="0077375F" w:rsidRPr="0077375F" w:rsidRDefault="0077375F" w:rsidP="0077375F">
      <w:pPr>
        <w:pStyle w:val="VEOHRCBodytext"/>
        <w:rPr>
          <w:lang w:eastAsia="en-US"/>
        </w:rPr>
      </w:pPr>
      <w:r w:rsidRPr="0077375F">
        <w:rPr>
          <w:lang w:eastAsia="en-US"/>
        </w:rPr>
        <w:t xml:space="preserve">Interviews were filmed with more than 30 people who were able to speak on different issues affecting the LGBTI community, including law changes, healthcare, different cultural perspectives and the </w:t>
      </w:r>
      <w:proofErr w:type="spellStart"/>
      <w:r w:rsidRPr="0077375F">
        <w:rPr>
          <w:lang w:eastAsia="en-US"/>
        </w:rPr>
        <w:t>expungement</w:t>
      </w:r>
      <w:proofErr w:type="spellEnd"/>
      <w:r w:rsidRPr="0077375F">
        <w:rPr>
          <w:lang w:eastAsia="en-US"/>
        </w:rPr>
        <w:t xml:space="preserve"> of historical homosexual convictions. </w:t>
      </w:r>
    </w:p>
    <w:p w14:paraId="103DF8E8" w14:textId="5226A50A" w:rsidR="0077375F" w:rsidRPr="0077375F" w:rsidRDefault="0077375F" w:rsidP="0077375F">
      <w:pPr>
        <w:pStyle w:val="VEOHRCBodytext"/>
        <w:rPr>
          <w:lang w:eastAsia="en-US"/>
        </w:rPr>
      </w:pPr>
      <w:r w:rsidRPr="0077375F">
        <w:rPr>
          <w:lang w:eastAsia="en-US"/>
        </w:rPr>
        <w:t>Four films have been released to date.</w:t>
      </w:r>
      <w:r w:rsidR="001B0C5C">
        <w:rPr>
          <w:lang w:eastAsia="en-US"/>
        </w:rPr>
        <w:t xml:space="preserve"> </w:t>
      </w:r>
      <w:r w:rsidRPr="0077375F">
        <w:rPr>
          <w:lang w:eastAsia="en-US"/>
        </w:rPr>
        <w:t>These include:</w:t>
      </w:r>
    </w:p>
    <w:p w14:paraId="3482A0B1" w14:textId="77777777" w:rsidR="0077375F" w:rsidRPr="0077375F" w:rsidRDefault="0077375F" w:rsidP="0077375F">
      <w:pPr>
        <w:pStyle w:val="VEOHRCListBullet"/>
        <w:rPr>
          <w:lang w:eastAsia="en-US"/>
        </w:rPr>
      </w:pPr>
      <w:r w:rsidRPr="0077375F">
        <w:rPr>
          <w:lang w:eastAsia="en-US"/>
        </w:rPr>
        <w:t>LGBTI and Equal Opportunity</w:t>
      </w:r>
    </w:p>
    <w:p w14:paraId="125B79ED" w14:textId="77777777" w:rsidR="0077375F" w:rsidRPr="0077375F" w:rsidRDefault="0077375F" w:rsidP="0077375F">
      <w:pPr>
        <w:pStyle w:val="VEOHRCListBullet"/>
        <w:rPr>
          <w:lang w:eastAsia="en-US"/>
        </w:rPr>
      </w:pPr>
      <w:r w:rsidRPr="0077375F">
        <w:rPr>
          <w:lang w:eastAsia="en-US"/>
        </w:rPr>
        <w:lastRenderedPageBreak/>
        <w:t>LGBTI and Aboriginal Identities</w:t>
      </w:r>
    </w:p>
    <w:p w14:paraId="5A61217C" w14:textId="77777777" w:rsidR="0077375F" w:rsidRPr="0077375F" w:rsidRDefault="0077375F" w:rsidP="0077375F">
      <w:pPr>
        <w:pStyle w:val="VEOHRCListBullet"/>
        <w:rPr>
          <w:lang w:eastAsia="en-US"/>
        </w:rPr>
      </w:pPr>
      <w:r w:rsidRPr="0077375F">
        <w:rPr>
          <w:lang w:eastAsia="en-US"/>
        </w:rPr>
        <w:t xml:space="preserve">LGBTI and </w:t>
      </w:r>
      <w:proofErr w:type="spellStart"/>
      <w:r w:rsidRPr="0077375F">
        <w:rPr>
          <w:lang w:eastAsia="en-US"/>
        </w:rPr>
        <w:t>Expungement</w:t>
      </w:r>
      <w:proofErr w:type="spellEnd"/>
    </w:p>
    <w:p w14:paraId="5B4E6837" w14:textId="77777777" w:rsidR="0077375F" w:rsidRPr="0077375F" w:rsidRDefault="0077375F" w:rsidP="0077375F">
      <w:pPr>
        <w:pStyle w:val="VEOHRCListBullet"/>
        <w:rPr>
          <w:lang w:eastAsia="en-US"/>
        </w:rPr>
      </w:pPr>
      <w:r w:rsidRPr="0077375F">
        <w:rPr>
          <w:lang w:eastAsia="en-US"/>
        </w:rPr>
        <w:t>LGBTI and Health Care</w:t>
      </w:r>
    </w:p>
    <w:p w14:paraId="6A00DB79" w14:textId="77777777" w:rsidR="0077375F" w:rsidRPr="0077375F" w:rsidRDefault="0077375F" w:rsidP="0077375F">
      <w:pPr>
        <w:pStyle w:val="VEOHRCBodytext"/>
        <w:rPr>
          <w:lang w:eastAsia="en-US"/>
        </w:rPr>
      </w:pPr>
      <w:r w:rsidRPr="0077375F">
        <w:rPr>
          <w:lang w:eastAsia="en-US"/>
        </w:rPr>
        <w:t xml:space="preserve">This project was undertaken in partnership with RMIT Master of Media students, who were invited to create a short film on this topic under guidance from the Commission. </w:t>
      </w:r>
    </w:p>
    <w:p w14:paraId="3DF09476" w14:textId="77777777" w:rsidR="0077375F" w:rsidRPr="0077375F" w:rsidRDefault="0077375F" w:rsidP="0077375F">
      <w:pPr>
        <w:pStyle w:val="VEOHRCBodytext"/>
        <w:rPr>
          <w:lang w:eastAsia="en-US"/>
        </w:rPr>
      </w:pPr>
      <w:r w:rsidRPr="0077375F">
        <w:rPr>
          <w:lang w:eastAsia="en-US"/>
        </w:rPr>
        <w:t xml:space="preserve">These films are </w:t>
      </w:r>
      <w:proofErr w:type="gramStart"/>
      <w:r w:rsidRPr="0077375F">
        <w:rPr>
          <w:lang w:eastAsia="en-US"/>
        </w:rPr>
        <w:t>all available</w:t>
      </w:r>
      <w:proofErr w:type="gramEnd"/>
      <w:r w:rsidRPr="0077375F">
        <w:rPr>
          <w:lang w:eastAsia="en-US"/>
        </w:rPr>
        <w:t xml:space="preserve"> on YouTube and have been promoted through social media.</w:t>
      </w:r>
    </w:p>
    <w:p w14:paraId="517C5519" w14:textId="77777777" w:rsidR="0077375F" w:rsidRPr="0077375F" w:rsidRDefault="0077375F" w:rsidP="0077375F">
      <w:pPr>
        <w:pStyle w:val="VEOHRCHeading3"/>
        <w:rPr>
          <w:lang w:eastAsia="en-US"/>
        </w:rPr>
      </w:pPr>
      <w:r w:rsidRPr="0077375F">
        <w:rPr>
          <w:lang w:eastAsia="en-US"/>
        </w:rPr>
        <w:t xml:space="preserve">Human rights are … </w:t>
      </w:r>
      <w:r w:rsidRPr="0077375F">
        <w:rPr>
          <w:lang w:eastAsia="en-US"/>
        </w:rPr>
        <w:tab/>
      </w:r>
    </w:p>
    <w:p w14:paraId="29D97EF1" w14:textId="77777777" w:rsidR="0077375F" w:rsidRPr="0077375F" w:rsidRDefault="0077375F" w:rsidP="0077375F">
      <w:pPr>
        <w:pStyle w:val="VEOHRCBodytext"/>
        <w:rPr>
          <w:lang w:eastAsia="en-US"/>
        </w:rPr>
      </w:pPr>
      <w:r w:rsidRPr="0077375F">
        <w:rPr>
          <w:lang w:eastAsia="en-US"/>
        </w:rPr>
        <w:t xml:space="preserve">Seeking to engage the community on the issue of human rights, the Commission filmed students from Clifton Hill Primary School, Melbourne Girls’ College and Fitzroy High School to ask them what human rights mean to them. </w:t>
      </w:r>
    </w:p>
    <w:p w14:paraId="17E7BBBF" w14:textId="77777777" w:rsidR="0077375F" w:rsidRPr="0077375F" w:rsidRDefault="0077375F" w:rsidP="0077375F">
      <w:pPr>
        <w:pStyle w:val="VEOHRCBodytext"/>
        <w:rPr>
          <w:lang w:eastAsia="en-US"/>
        </w:rPr>
      </w:pPr>
      <w:r w:rsidRPr="0077375F">
        <w:rPr>
          <w:lang w:eastAsia="en-US"/>
        </w:rPr>
        <w:t>The responses of the students showed a varied degree of knowledge about human rights, but also showed that certain principles are almost universally understood. The candid responses proved immensely popular with the community, and to date the short films have been viewed more than 15,000 times on social media platforms.</w:t>
      </w:r>
    </w:p>
    <w:p w14:paraId="301A39D9" w14:textId="373A6D05" w:rsidR="0077375F" w:rsidRPr="0077375F" w:rsidRDefault="0077375F" w:rsidP="0077375F">
      <w:pPr>
        <w:pStyle w:val="VEOHRCChapterTitle"/>
        <w:rPr>
          <w:lang w:eastAsia="en-US"/>
        </w:rPr>
      </w:pPr>
      <w:r w:rsidRPr="0077375F">
        <w:rPr>
          <w:lang w:eastAsia="en-US"/>
        </w:rPr>
        <w:lastRenderedPageBreak/>
        <w:t>Engaging with</w:t>
      </w:r>
      <w:r w:rsidR="001B0C5C">
        <w:rPr>
          <w:lang w:eastAsia="en-US"/>
        </w:rPr>
        <w:t xml:space="preserve"> </w:t>
      </w:r>
      <w:r w:rsidRPr="0077375F">
        <w:rPr>
          <w:lang w:eastAsia="en-US"/>
        </w:rPr>
        <w:t>the community</w:t>
      </w:r>
    </w:p>
    <w:p w14:paraId="7929FACB" w14:textId="77777777" w:rsidR="0077375F" w:rsidRPr="0077375F" w:rsidRDefault="0077375F" w:rsidP="0077375F">
      <w:pPr>
        <w:pStyle w:val="VEOHRCHeading2"/>
        <w:rPr>
          <w:lang w:eastAsia="en-US"/>
        </w:rPr>
      </w:pPr>
      <w:r w:rsidRPr="0077375F">
        <w:rPr>
          <w:lang w:eastAsia="en-US"/>
        </w:rPr>
        <w:t>Events</w:t>
      </w:r>
    </w:p>
    <w:p w14:paraId="5A872A17" w14:textId="77777777" w:rsidR="0077375F" w:rsidRPr="0077375F" w:rsidRDefault="0077375F" w:rsidP="0077375F">
      <w:pPr>
        <w:pStyle w:val="VEOHRCBodytext"/>
        <w:rPr>
          <w:lang w:eastAsia="en-US"/>
        </w:rPr>
      </w:pPr>
      <w:r w:rsidRPr="0077375F">
        <w:rPr>
          <w:lang w:eastAsia="en-US"/>
        </w:rPr>
        <w:t>Community engagement is a vital part of the Commission’s work, and events and other related activities present valuable opportunities to educate the community about our work and to also form and strengthen connections with stakeholders. In 2015/16, the Commission hosted and staff attended a wide variety of events.</w:t>
      </w:r>
    </w:p>
    <w:p w14:paraId="0E66A760" w14:textId="7E598EB2" w:rsidR="0077375F" w:rsidRPr="0077375F" w:rsidRDefault="0077375F" w:rsidP="0077375F">
      <w:pPr>
        <w:pStyle w:val="VEOHRCHeading2"/>
        <w:rPr>
          <w:lang w:eastAsia="en-US"/>
        </w:rPr>
      </w:pPr>
      <w:r w:rsidRPr="0077375F">
        <w:rPr>
          <w:lang w:eastAsia="en-US"/>
        </w:rPr>
        <w:t>Public events hosted by the Commission</w:t>
      </w:r>
    </w:p>
    <w:p w14:paraId="132FBA63" w14:textId="77777777" w:rsidR="0077375F" w:rsidRPr="0077375F" w:rsidRDefault="0077375F" w:rsidP="0077375F">
      <w:pPr>
        <w:pStyle w:val="VEOHRCHeading3"/>
        <w:rPr>
          <w:lang w:eastAsia="en-US"/>
        </w:rPr>
      </w:pPr>
      <w:r w:rsidRPr="0077375F">
        <w:rPr>
          <w:lang w:eastAsia="en-US"/>
        </w:rPr>
        <w:t>Human Rights Oration</w:t>
      </w:r>
    </w:p>
    <w:p w14:paraId="290E1765"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Human Rights Oration is the Commission’s premier event each year, and in 2015 we were honoured to host Dr Anita </w:t>
      </w:r>
      <w:proofErr w:type="spellStart"/>
      <w:r w:rsidRPr="0077375F">
        <w:rPr>
          <w:rStyle w:val="VEOHRCBodytextChar"/>
          <w:lang w:eastAsia="en-US"/>
        </w:rPr>
        <w:t>Heiss</w:t>
      </w:r>
      <w:proofErr w:type="spellEnd"/>
      <w:r w:rsidRPr="0077375F">
        <w:rPr>
          <w:rStyle w:val="VEOHRCBodytextChar"/>
          <w:lang w:eastAsia="en-US"/>
        </w:rPr>
        <w:t xml:space="preserve"> as she delivered her speech, </w:t>
      </w:r>
      <w:r w:rsidRPr="0077375F">
        <w:rPr>
          <w:rStyle w:val="VEOHRCBodytextChar"/>
          <w:i/>
          <w:lang w:eastAsia="en-US"/>
        </w:rPr>
        <w:t>Homelessness, Homelands, Human Rights</w:t>
      </w:r>
      <w:r w:rsidRPr="0077375F">
        <w:rPr>
          <w:rStyle w:val="VEOHRCBodytextChar"/>
          <w:lang w:eastAsia="en-US"/>
        </w:rPr>
        <w:t xml:space="preserve"> on Tuesday 10 December, International Human Rights Day. </w:t>
      </w:r>
    </w:p>
    <w:p w14:paraId="1CA456B5" w14:textId="77777777" w:rsidR="0077375F" w:rsidRPr="0077375F" w:rsidRDefault="0077375F" w:rsidP="0077375F">
      <w:pPr>
        <w:pStyle w:val="VEOHRCBodytext"/>
        <w:rPr>
          <w:lang w:eastAsia="en-US"/>
        </w:rPr>
      </w:pPr>
      <w:r w:rsidRPr="0077375F">
        <w:rPr>
          <w:lang w:eastAsia="en-US"/>
        </w:rPr>
        <w:t xml:space="preserve">Dr </w:t>
      </w:r>
      <w:proofErr w:type="spellStart"/>
      <w:r w:rsidRPr="0077375F">
        <w:rPr>
          <w:lang w:eastAsia="en-US"/>
        </w:rPr>
        <w:t>Heiss’s</w:t>
      </w:r>
      <w:proofErr w:type="spellEnd"/>
      <w:r w:rsidRPr="0077375F">
        <w:rPr>
          <w:lang w:eastAsia="en-US"/>
        </w:rPr>
        <w:t xml:space="preserve"> speech was an in-depth look into how human rights issues relate to the concept of ‘home’, be it with regard to people who are homeless in urban areas, or in relation to the homelands of Aboriginal and Torres Strait Islanders throughout Australia. </w:t>
      </w:r>
    </w:p>
    <w:p w14:paraId="679F2F80"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The 2015 Human Rights Oration was the first to be streamed live over the internet, and a transcript of the speech, as well as a video supported with an </w:t>
      </w:r>
      <w:proofErr w:type="spellStart"/>
      <w:r w:rsidRPr="0077375F">
        <w:rPr>
          <w:rStyle w:val="VEOHRCBodytextChar"/>
          <w:lang w:eastAsia="en-US"/>
        </w:rPr>
        <w:t>Auslan</w:t>
      </w:r>
      <w:proofErr w:type="spellEnd"/>
      <w:r w:rsidRPr="0077375F">
        <w:rPr>
          <w:rStyle w:val="VEOHRCBodytextChar"/>
          <w:lang w:eastAsia="en-US"/>
        </w:rPr>
        <w:t xml:space="preserve"> interpreter, can be found on the Commission’s website at </w:t>
      </w:r>
      <w:r w:rsidRPr="0077375F">
        <w:rPr>
          <w:rStyle w:val="VEOHRCURLChar"/>
          <w:lang w:val="en-GB" w:eastAsia="en-US"/>
        </w:rPr>
        <w:t xml:space="preserve">humanrightscommission.vic.gov.au/oration. </w:t>
      </w:r>
    </w:p>
    <w:p w14:paraId="60EE21DB" w14:textId="47A097A2" w:rsidR="0077375F" w:rsidRPr="0077375F" w:rsidRDefault="0077375F" w:rsidP="0077375F">
      <w:pPr>
        <w:pStyle w:val="VEOHRCHeading3"/>
        <w:rPr>
          <w:lang w:eastAsia="en-US"/>
        </w:rPr>
      </w:pPr>
      <w:r w:rsidRPr="0077375F">
        <w:rPr>
          <w:lang w:eastAsia="en-US"/>
        </w:rPr>
        <w:t>Aboriginal Cultural Rights:</w:t>
      </w:r>
      <w:r w:rsidR="001B0C5C">
        <w:rPr>
          <w:lang w:eastAsia="en-US"/>
        </w:rPr>
        <w:t xml:space="preserve"> </w:t>
      </w:r>
      <w:r w:rsidRPr="0077375F">
        <w:rPr>
          <w:lang w:eastAsia="en-US"/>
        </w:rPr>
        <w:t>a human rights framework</w:t>
      </w:r>
    </w:p>
    <w:p w14:paraId="02A5EF07" w14:textId="77777777" w:rsidR="0077375F" w:rsidRDefault="0077375F" w:rsidP="0077375F">
      <w:pPr>
        <w:pStyle w:val="VEOHRCBodytext"/>
        <w:rPr>
          <w:lang w:eastAsia="en-US"/>
        </w:rPr>
      </w:pPr>
      <w:proofErr w:type="gramStart"/>
      <w:r w:rsidRPr="0077375F">
        <w:rPr>
          <w:lang w:eastAsia="en-US"/>
        </w:rPr>
        <w:t xml:space="preserve">A conversation with then Commissioner Kate Jenkins and Aboriginal and Torres Strait Islander Social Justice Commissioner Mick </w:t>
      </w:r>
      <w:proofErr w:type="spellStart"/>
      <w:r w:rsidRPr="0077375F">
        <w:rPr>
          <w:lang w:eastAsia="en-US"/>
        </w:rPr>
        <w:t>Gooda</w:t>
      </w:r>
      <w:proofErr w:type="spellEnd"/>
      <w:r w:rsidRPr="0077375F">
        <w:rPr>
          <w:lang w:eastAsia="en-US"/>
        </w:rPr>
        <w:t>.</w:t>
      </w:r>
      <w:proofErr w:type="gramEnd"/>
      <w:r w:rsidRPr="0077375F">
        <w:rPr>
          <w:lang w:eastAsia="en-US"/>
        </w:rPr>
        <w:t xml:space="preserve"> Commission board member Tim Goodwin introduced the discussion. This event was held on 21 July 2015 in partnership with the University of Melbourne.</w:t>
      </w:r>
    </w:p>
    <w:p w14:paraId="7BD3FDF0" w14:textId="12AC9A3E" w:rsidR="0077375F" w:rsidRPr="0077375F" w:rsidRDefault="0077375F" w:rsidP="0077375F">
      <w:pPr>
        <w:pStyle w:val="VEOHRCHeading3"/>
        <w:rPr>
          <w:lang w:eastAsia="en-US"/>
        </w:rPr>
      </w:pPr>
      <w:r w:rsidRPr="0077375F">
        <w:rPr>
          <w:lang w:eastAsia="en-US"/>
        </w:rPr>
        <w:t xml:space="preserve">Accelerating Change: reflections on four decades of equal opportunity and human rights issues in Victoria. </w:t>
      </w:r>
    </w:p>
    <w:p w14:paraId="0EC1D2D5" w14:textId="6EDBD3A5" w:rsidR="0077375F" w:rsidRPr="0077375F" w:rsidRDefault="0077375F" w:rsidP="0077375F">
      <w:pPr>
        <w:pStyle w:val="VEOHRCBodytext"/>
        <w:rPr>
          <w:lang w:eastAsia="en-US"/>
        </w:rPr>
      </w:pPr>
      <w:r w:rsidRPr="0077375F">
        <w:rPr>
          <w:lang w:eastAsia="en-US"/>
        </w:rPr>
        <w:t>A discussion aimed at identifying how agencies and organisations across sectors can work collaboratively and strategically in advocating for equality and recognition of human rights for all Victorians, the Accelerating Change panel was comprised of former Victorian Premier the Hon John Cain, former Chief Commissioner of Victoria Police Ken Lay and Chair of Our Community, Carol Schwartz, in conversation</w:t>
      </w:r>
      <w:r w:rsidR="001B0C5C">
        <w:rPr>
          <w:lang w:eastAsia="en-US"/>
        </w:rPr>
        <w:t xml:space="preserve"> </w:t>
      </w:r>
      <w:r w:rsidRPr="0077375F">
        <w:rPr>
          <w:lang w:eastAsia="en-US"/>
        </w:rPr>
        <w:t>with then Commissioner Kate Jenkins.</w:t>
      </w:r>
    </w:p>
    <w:p w14:paraId="3CC1E58F" w14:textId="77777777" w:rsidR="0077375F" w:rsidRPr="0077375F" w:rsidRDefault="0077375F" w:rsidP="0077375F">
      <w:pPr>
        <w:pStyle w:val="VEOHRCHeading3"/>
        <w:rPr>
          <w:lang w:eastAsia="en-US"/>
        </w:rPr>
      </w:pPr>
      <w:r w:rsidRPr="0077375F">
        <w:rPr>
          <w:lang w:eastAsia="en-US"/>
        </w:rPr>
        <w:t>International Day of Older Persons Breakfast</w:t>
      </w:r>
    </w:p>
    <w:p w14:paraId="759070EB" w14:textId="50F9BA43" w:rsidR="0077375F" w:rsidRPr="0077375F" w:rsidRDefault="0077375F" w:rsidP="0077375F">
      <w:pPr>
        <w:pStyle w:val="VEOHRCBodytext"/>
        <w:rPr>
          <w:lang w:eastAsia="en-US"/>
        </w:rPr>
      </w:pPr>
      <w:r w:rsidRPr="0077375F">
        <w:rPr>
          <w:lang w:eastAsia="en-US"/>
        </w:rPr>
        <w:t>In partnership with Council on the Ageing (COTA) Victoria, the Commission organised the 2015 International Day of Older Persons Breakfast, presented under the theme of</w:t>
      </w:r>
      <w:r w:rsidR="001B0C5C">
        <w:rPr>
          <w:lang w:eastAsia="en-US"/>
        </w:rPr>
        <w:t xml:space="preserve"> </w:t>
      </w:r>
      <w:r w:rsidRPr="0077375F">
        <w:rPr>
          <w:lang w:eastAsia="en-US"/>
        </w:rPr>
        <w:t xml:space="preserve">“60, there’s still work to do!” </w:t>
      </w:r>
    </w:p>
    <w:p w14:paraId="4148DCA2" w14:textId="77777777" w:rsidR="0077375F" w:rsidRPr="0077375F" w:rsidRDefault="0077375F" w:rsidP="0077375F">
      <w:pPr>
        <w:pStyle w:val="VEOHRCBodytext"/>
        <w:rPr>
          <w:lang w:eastAsia="en-US"/>
        </w:rPr>
      </w:pPr>
      <w:r w:rsidRPr="0077375F">
        <w:rPr>
          <w:lang w:eastAsia="en-US"/>
        </w:rPr>
        <w:t xml:space="preserve">Moderated by Dr Sally Cockburn, the panel included The Hon John Cain; Chairperson of ABC Advisory Council Andrea Hull; Non-Executive Director at Commonwealth Bank Harrison Young; Principal of </w:t>
      </w:r>
      <w:proofErr w:type="spellStart"/>
      <w:r w:rsidRPr="0077375F">
        <w:rPr>
          <w:lang w:eastAsia="en-US"/>
        </w:rPr>
        <w:t>Worowa</w:t>
      </w:r>
      <w:proofErr w:type="spellEnd"/>
      <w:r w:rsidRPr="0077375F">
        <w:rPr>
          <w:lang w:eastAsia="en-US"/>
        </w:rPr>
        <w:t xml:space="preserve"> Aboriginal College Lois Peeler; and Chairperson, Adult Parole Board, Peter </w:t>
      </w:r>
      <w:proofErr w:type="spellStart"/>
      <w:r w:rsidRPr="0077375F">
        <w:rPr>
          <w:lang w:eastAsia="en-US"/>
        </w:rPr>
        <w:t>Couzens</w:t>
      </w:r>
      <w:proofErr w:type="spellEnd"/>
      <w:r w:rsidRPr="0077375F">
        <w:rPr>
          <w:lang w:eastAsia="en-US"/>
        </w:rPr>
        <w:t xml:space="preserve">. </w:t>
      </w:r>
    </w:p>
    <w:p w14:paraId="23451708" w14:textId="77777777" w:rsidR="0077375F" w:rsidRPr="0077375F" w:rsidRDefault="0077375F" w:rsidP="0077375F">
      <w:pPr>
        <w:pStyle w:val="VEOHRCBodytext"/>
        <w:rPr>
          <w:lang w:eastAsia="en-US"/>
        </w:rPr>
      </w:pPr>
      <w:r w:rsidRPr="0077375F">
        <w:rPr>
          <w:lang w:eastAsia="en-US"/>
        </w:rPr>
        <w:t>The breakfast was held on 6 October 2015 and was attended by 300 people.</w:t>
      </w:r>
    </w:p>
    <w:p w14:paraId="2C916221" w14:textId="77777777" w:rsidR="0077375F" w:rsidRPr="0077375F" w:rsidRDefault="0077375F" w:rsidP="0077375F">
      <w:pPr>
        <w:pStyle w:val="VEOHRCHeading3"/>
        <w:rPr>
          <w:lang w:eastAsia="en-US"/>
        </w:rPr>
      </w:pPr>
      <w:r w:rsidRPr="0077375F">
        <w:rPr>
          <w:lang w:eastAsia="en-US"/>
        </w:rPr>
        <w:t xml:space="preserve">Pride Not Prejudice Premiere </w:t>
      </w:r>
    </w:p>
    <w:p w14:paraId="62BA9C4C" w14:textId="77777777" w:rsid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To launch the </w:t>
      </w:r>
      <w:r w:rsidRPr="0077375F">
        <w:rPr>
          <w:rStyle w:val="VEOHRCBodytextChar"/>
          <w:i/>
          <w:lang w:eastAsia="en-US"/>
        </w:rPr>
        <w:t>Pride Not Prejudice</w:t>
      </w:r>
      <w:r w:rsidRPr="0077375F">
        <w:rPr>
          <w:rStyle w:val="VEOHRCBodytextChar"/>
          <w:lang w:eastAsia="en-US"/>
        </w:rPr>
        <w:t xml:space="preserve"> film series, the Commission held an event at Treasury Theatre on 28 January 2016 that included a screening of the first film in the </w:t>
      </w:r>
      <w:r w:rsidRPr="0077375F">
        <w:rPr>
          <w:rStyle w:val="VEOHRCBodytextChar"/>
          <w:lang w:eastAsia="en-US"/>
        </w:rPr>
        <w:lastRenderedPageBreak/>
        <w:t xml:space="preserve">series as well as a panel discussion on LGBTI issues. The panel included prominent members of the community who had been interviewed for the project, including Gender and Sexuality Commissioner Rowena Allen, Executive Director of Transgender Victoria Sally </w:t>
      </w:r>
      <w:proofErr w:type="spellStart"/>
      <w:r w:rsidRPr="0077375F">
        <w:rPr>
          <w:rStyle w:val="VEOHRCBodytextChar"/>
          <w:lang w:eastAsia="en-US"/>
        </w:rPr>
        <w:t>Goldner</w:t>
      </w:r>
      <w:proofErr w:type="spellEnd"/>
      <w:r w:rsidRPr="0077375F">
        <w:rPr>
          <w:rStyle w:val="VEOHRCBodytextChar"/>
          <w:lang w:eastAsia="en-US"/>
        </w:rPr>
        <w:t xml:space="preserve">, President of </w:t>
      </w:r>
      <w:proofErr w:type="spellStart"/>
      <w:r w:rsidRPr="0077375F">
        <w:rPr>
          <w:rStyle w:val="VEOHRCBodytextChar"/>
          <w:lang w:eastAsia="en-US"/>
        </w:rPr>
        <w:t>Ygender</w:t>
      </w:r>
      <w:proofErr w:type="spellEnd"/>
      <w:r w:rsidRPr="0077375F">
        <w:rPr>
          <w:rStyle w:val="VEOHRCBodytextChar"/>
          <w:lang w:eastAsia="en-US"/>
        </w:rPr>
        <w:t xml:space="preserve"> Sam </w:t>
      </w:r>
      <w:proofErr w:type="spellStart"/>
      <w:r w:rsidRPr="0077375F">
        <w:rPr>
          <w:rStyle w:val="VEOHRCBodytextChar"/>
          <w:lang w:eastAsia="en-US"/>
        </w:rPr>
        <w:t>Lior</w:t>
      </w:r>
      <w:proofErr w:type="spellEnd"/>
      <w:r w:rsidRPr="0077375F">
        <w:rPr>
          <w:rStyle w:val="VEOHRCBodytextChar"/>
          <w:lang w:eastAsia="en-US"/>
        </w:rPr>
        <w:t xml:space="preserve"> </w:t>
      </w:r>
      <w:proofErr w:type="spellStart"/>
      <w:r w:rsidRPr="0077375F">
        <w:rPr>
          <w:rStyle w:val="VEOHRCBodytextChar"/>
          <w:lang w:eastAsia="en-US"/>
        </w:rPr>
        <w:t>Lilit</w:t>
      </w:r>
      <w:proofErr w:type="spellEnd"/>
      <w:r w:rsidRPr="0077375F">
        <w:rPr>
          <w:rStyle w:val="VEOHRCBodytextChar"/>
          <w:lang w:eastAsia="en-US"/>
        </w:rPr>
        <w:t xml:space="preserve">, and former co-convenor of the Victorian Gay and Lesbian Rights Lobby Janet Jukes. </w:t>
      </w:r>
    </w:p>
    <w:p w14:paraId="4D22FB1F" w14:textId="0F8AD7EF" w:rsidR="0077375F" w:rsidRPr="0077375F" w:rsidRDefault="0077375F" w:rsidP="0077375F">
      <w:pPr>
        <w:pStyle w:val="VEOHRCHeading2"/>
        <w:rPr>
          <w:lang w:eastAsia="en-US"/>
        </w:rPr>
      </w:pPr>
      <w:r w:rsidRPr="0077375F">
        <w:rPr>
          <w:lang w:eastAsia="en-US"/>
        </w:rPr>
        <w:t>Public events supported</w:t>
      </w:r>
      <w:r w:rsidR="001B0C5C">
        <w:rPr>
          <w:lang w:eastAsia="en-US"/>
        </w:rPr>
        <w:t xml:space="preserve"> </w:t>
      </w:r>
      <w:r w:rsidRPr="0077375F">
        <w:rPr>
          <w:lang w:eastAsia="en-US"/>
        </w:rPr>
        <w:t xml:space="preserve">by the Commission </w:t>
      </w:r>
    </w:p>
    <w:p w14:paraId="5208C1F5" w14:textId="77777777" w:rsidR="0077375F" w:rsidRPr="0077375F" w:rsidRDefault="0077375F" w:rsidP="0077375F">
      <w:pPr>
        <w:pStyle w:val="VEOHRCHeading3"/>
        <w:rPr>
          <w:lang w:eastAsia="en-US"/>
        </w:rPr>
      </w:pPr>
      <w:r w:rsidRPr="0077375F">
        <w:rPr>
          <w:lang w:eastAsia="en-US"/>
        </w:rPr>
        <w:t xml:space="preserve">Report Racism Round at </w:t>
      </w:r>
      <w:proofErr w:type="spellStart"/>
      <w:r w:rsidRPr="0077375F">
        <w:rPr>
          <w:lang w:eastAsia="en-US"/>
        </w:rPr>
        <w:t>Goulburn</w:t>
      </w:r>
      <w:proofErr w:type="spellEnd"/>
      <w:r w:rsidRPr="0077375F">
        <w:rPr>
          <w:lang w:eastAsia="en-US"/>
        </w:rPr>
        <w:t xml:space="preserve"> Valley Football League</w:t>
      </w:r>
    </w:p>
    <w:p w14:paraId="3505B650" w14:textId="77777777" w:rsidR="0077375F" w:rsidRPr="0077375F" w:rsidRDefault="0077375F" w:rsidP="0077375F">
      <w:pPr>
        <w:pStyle w:val="VEOHRCBodytext"/>
        <w:rPr>
          <w:lang w:eastAsia="en-US"/>
        </w:rPr>
      </w:pPr>
      <w:r w:rsidRPr="0077375F">
        <w:rPr>
          <w:lang w:eastAsia="en-US"/>
        </w:rPr>
        <w:t xml:space="preserve">The Report Racism-themed round, hosted by the </w:t>
      </w:r>
      <w:proofErr w:type="spellStart"/>
      <w:r w:rsidRPr="0077375F">
        <w:rPr>
          <w:lang w:eastAsia="en-US"/>
        </w:rPr>
        <w:t>Goulburn</w:t>
      </w:r>
      <w:proofErr w:type="spellEnd"/>
      <w:r w:rsidRPr="0077375F">
        <w:rPr>
          <w:lang w:eastAsia="en-US"/>
        </w:rPr>
        <w:t xml:space="preserve"> Valley Football League in July 2016, included a feature match between </w:t>
      </w:r>
      <w:proofErr w:type="spellStart"/>
      <w:r w:rsidRPr="0077375F">
        <w:rPr>
          <w:lang w:eastAsia="en-US"/>
        </w:rPr>
        <w:t>Shepparton</w:t>
      </w:r>
      <w:proofErr w:type="spellEnd"/>
      <w:r w:rsidRPr="0077375F">
        <w:rPr>
          <w:lang w:eastAsia="en-US"/>
        </w:rPr>
        <w:t xml:space="preserve"> Swans and </w:t>
      </w:r>
      <w:proofErr w:type="spellStart"/>
      <w:r w:rsidRPr="0077375F">
        <w:rPr>
          <w:lang w:eastAsia="en-US"/>
        </w:rPr>
        <w:t>Kyabram</w:t>
      </w:r>
      <w:proofErr w:type="spellEnd"/>
      <w:r w:rsidRPr="0077375F">
        <w:rPr>
          <w:lang w:eastAsia="en-US"/>
        </w:rPr>
        <w:t xml:space="preserve"> at Princes Park in </w:t>
      </w:r>
      <w:proofErr w:type="spellStart"/>
      <w:r w:rsidRPr="0077375F">
        <w:rPr>
          <w:lang w:eastAsia="en-US"/>
        </w:rPr>
        <w:t>Shepparton</w:t>
      </w:r>
      <w:proofErr w:type="spellEnd"/>
      <w:r w:rsidRPr="0077375F">
        <w:rPr>
          <w:lang w:eastAsia="en-US"/>
        </w:rPr>
        <w:t xml:space="preserve">. The match was introduced with a Welcome to Country from Aunty Ella </w:t>
      </w:r>
      <w:proofErr w:type="spellStart"/>
      <w:r w:rsidRPr="0077375F">
        <w:rPr>
          <w:lang w:eastAsia="en-US"/>
        </w:rPr>
        <w:t>Anselmi</w:t>
      </w:r>
      <w:proofErr w:type="spellEnd"/>
      <w:r w:rsidRPr="0077375F">
        <w:rPr>
          <w:lang w:eastAsia="en-US"/>
        </w:rPr>
        <w:t xml:space="preserve"> and featured a speech from Victoria Police Superintendent Mick </w:t>
      </w:r>
      <w:proofErr w:type="spellStart"/>
      <w:r w:rsidRPr="0077375F">
        <w:rPr>
          <w:lang w:eastAsia="en-US"/>
        </w:rPr>
        <w:t>Sayer</w:t>
      </w:r>
      <w:proofErr w:type="spellEnd"/>
      <w:r w:rsidRPr="0077375F">
        <w:rPr>
          <w:lang w:eastAsia="en-US"/>
        </w:rPr>
        <w:t>. Umpires at Princes Park and at five other matches throughout the region wore Report Racism uniforms for the round, in order to promote the initiative and prompt community discussions about racism.</w:t>
      </w:r>
    </w:p>
    <w:p w14:paraId="372FDA87" w14:textId="77777777" w:rsidR="0077375F" w:rsidRPr="0077375F" w:rsidRDefault="0077375F" w:rsidP="0077375F">
      <w:pPr>
        <w:pStyle w:val="VEOHRCHeading3"/>
        <w:rPr>
          <w:lang w:eastAsia="en-US"/>
        </w:rPr>
      </w:pPr>
      <w:proofErr w:type="spellStart"/>
      <w:r w:rsidRPr="0077375F">
        <w:rPr>
          <w:lang w:eastAsia="en-US"/>
        </w:rPr>
        <w:t>Midsumma</w:t>
      </w:r>
      <w:proofErr w:type="spellEnd"/>
      <w:r w:rsidRPr="0077375F">
        <w:rPr>
          <w:lang w:eastAsia="en-US"/>
        </w:rPr>
        <w:t xml:space="preserve"> Festival and Pride March 2016</w:t>
      </w:r>
    </w:p>
    <w:p w14:paraId="41DF411D" w14:textId="77777777" w:rsidR="0077375F" w:rsidRPr="0077375F" w:rsidRDefault="0077375F" w:rsidP="0077375F">
      <w:pPr>
        <w:pStyle w:val="VEOHRCBodytext"/>
        <w:rPr>
          <w:lang w:eastAsia="en-US"/>
        </w:rPr>
      </w:pPr>
      <w:r w:rsidRPr="0077375F">
        <w:rPr>
          <w:lang w:eastAsia="en-US"/>
        </w:rPr>
        <w:t xml:space="preserve">The Commission’s </w:t>
      </w:r>
      <w:proofErr w:type="spellStart"/>
      <w:r w:rsidRPr="0077375F">
        <w:rPr>
          <w:lang w:eastAsia="en-US"/>
        </w:rPr>
        <w:t>ongoing</w:t>
      </w:r>
      <w:proofErr w:type="spellEnd"/>
      <w:r w:rsidRPr="0077375F">
        <w:rPr>
          <w:lang w:eastAsia="en-US"/>
        </w:rPr>
        <w:t xml:space="preserve"> attendance at </w:t>
      </w:r>
      <w:proofErr w:type="spellStart"/>
      <w:r w:rsidRPr="0077375F">
        <w:rPr>
          <w:lang w:eastAsia="en-US"/>
        </w:rPr>
        <w:t>Midsumma</w:t>
      </w:r>
      <w:proofErr w:type="spellEnd"/>
      <w:r w:rsidRPr="0077375F">
        <w:rPr>
          <w:lang w:eastAsia="en-US"/>
        </w:rPr>
        <w:t xml:space="preserve"> Festival in January, including Pride March, again proved a colourful highlight for the year. </w:t>
      </w:r>
      <w:proofErr w:type="gramStart"/>
      <w:r w:rsidRPr="0077375F">
        <w:rPr>
          <w:lang w:eastAsia="en-US"/>
        </w:rPr>
        <w:t>Staff were</w:t>
      </w:r>
      <w:proofErr w:type="gramEnd"/>
      <w:r w:rsidRPr="0077375F">
        <w:rPr>
          <w:lang w:eastAsia="en-US"/>
        </w:rPr>
        <w:t xml:space="preserve"> kept busy at the </w:t>
      </w:r>
      <w:proofErr w:type="spellStart"/>
      <w:r w:rsidRPr="0077375F">
        <w:rPr>
          <w:lang w:eastAsia="en-US"/>
        </w:rPr>
        <w:t>Midsumma</w:t>
      </w:r>
      <w:proofErr w:type="spellEnd"/>
      <w:r w:rsidRPr="0077375F">
        <w:rPr>
          <w:lang w:eastAsia="en-US"/>
        </w:rPr>
        <w:t xml:space="preserve"> Carnival, giving information on the Commission’s services to many of the 100,000 people in attendance. Once again, the Commission’s rainbow Frisbees proved one of the more popular pieces of memorabilia for attendees to take home with them. </w:t>
      </w:r>
    </w:p>
    <w:p w14:paraId="2CD1C7BC" w14:textId="77777777" w:rsidR="0077375F" w:rsidRPr="0077375F" w:rsidRDefault="0077375F" w:rsidP="0077375F">
      <w:pPr>
        <w:pStyle w:val="VEOHRCBodytext"/>
        <w:rPr>
          <w:lang w:eastAsia="en-US"/>
        </w:rPr>
      </w:pPr>
      <w:r w:rsidRPr="0077375F">
        <w:rPr>
          <w:lang w:eastAsia="en-US"/>
        </w:rPr>
        <w:t xml:space="preserve">A large contingent of Commission staff as well as family and friends again took part in the Pride March, which saw thousands of people lining Fitzroy Street in St Kilda to cheer on and show their support for the LGBTI community. </w:t>
      </w:r>
    </w:p>
    <w:p w14:paraId="06E834BE" w14:textId="77777777" w:rsidR="0077375F" w:rsidRPr="0077375F" w:rsidRDefault="0077375F" w:rsidP="0077375F">
      <w:pPr>
        <w:pStyle w:val="VEOHRCHeading3"/>
        <w:rPr>
          <w:lang w:eastAsia="en-US"/>
        </w:rPr>
      </w:pPr>
      <w:r w:rsidRPr="0077375F">
        <w:rPr>
          <w:lang w:eastAsia="en-US"/>
        </w:rPr>
        <w:t xml:space="preserve">Unleashed Festival </w:t>
      </w:r>
    </w:p>
    <w:p w14:paraId="153C0E67" w14:textId="77777777" w:rsidR="0077375F" w:rsidRPr="0077375F" w:rsidRDefault="0077375F" w:rsidP="0077375F">
      <w:pPr>
        <w:pStyle w:val="VEOHRCBodytext"/>
        <w:rPr>
          <w:lang w:eastAsia="en-US"/>
        </w:rPr>
      </w:pPr>
      <w:r w:rsidRPr="0077375F">
        <w:rPr>
          <w:lang w:eastAsia="en-US"/>
        </w:rPr>
        <w:t xml:space="preserve">Unleashed is the Foundation of Young Australians flagship annual </w:t>
      </w:r>
      <w:proofErr w:type="gramStart"/>
      <w:r w:rsidRPr="0077375F">
        <w:rPr>
          <w:lang w:eastAsia="en-US"/>
        </w:rPr>
        <w:t>event which</w:t>
      </w:r>
      <w:proofErr w:type="gramEnd"/>
      <w:r w:rsidRPr="0077375F">
        <w:rPr>
          <w:lang w:eastAsia="en-US"/>
        </w:rPr>
        <w:t xml:space="preserve"> was billed as the largest social change festival in Australia that targeted young people. The Commission participated in the </w:t>
      </w:r>
      <w:proofErr w:type="spellStart"/>
      <w:r w:rsidRPr="0077375F">
        <w:rPr>
          <w:lang w:eastAsia="en-US"/>
        </w:rPr>
        <w:t>Changemaker</w:t>
      </w:r>
      <w:proofErr w:type="spellEnd"/>
      <w:r w:rsidRPr="0077375F">
        <w:rPr>
          <w:lang w:eastAsia="en-US"/>
        </w:rPr>
        <w:t xml:space="preserve"> </w:t>
      </w:r>
      <w:proofErr w:type="gramStart"/>
      <w:r w:rsidRPr="0077375F">
        <w:rPr>
          <w:lang w:eastAsia="en-US"/>
        </w:rPr>
        <w:t>Marketplace which</w:t>
      </w:r>
      <w:proofErr w:type="gramEnd"/>
      <w:r w:rsidRPr="0077375F">
        <w:rPr>
          <w:lang w:eastAsia="en-US"/>
        </w:rPr>
        <w:t xml:space="preserve"> showcased an array of social ventures and change-making organisations. The Marketplace was held on 26 September 2015.</w:t>
      </w:r>
    </w:p>
    <w:p w14:paraId="3C0153CB" w14:textId="77777777" w:rsidR="0077375F" w:rsidRPr="0077375F" w:rsidRDefault="0077375F" w:rsidP="0077375F">
      <w:pPr>
        <w:pStyle w:val="VEOHRCHeading3"/>
        <w:rPr>
          <w:lang w:eastAsia="en-US"/>
        </w:rPr>
      </w:pPr>
      <w:r w:rsidRPr="0077375F">
        <w:rPr>
          <w:lang w:eastAsia="en-US"/>
        </w:rPr>
        <w:t>Multicultural Festival</w:t>
      </w:r>
    </w:p>
    <w:p w14:paraId="19F86C70" w14:textId="77777777" w:rsidR="0077375F" w:rsidRPr="0077375F" w:rsidRDefault="0077375F" w:rsidP="0077375F">
      <w:pPr>
        <w:pStyle w:val="VEOHRCBodytext"/>
        <w:rPr>
          <w:lang w:eastAsia="en-US"/>
        </w:rPr>
      </w:pPr>
      <w:r w:rsidRPr="0077375F">
        <w:rPr>
          <w:lang w:eastAsia="en-US"/>
        </w:rPr>
        <w:t>Once again the Commission participated in Victoria’s Multicultural Festival, an event presented by the Victorian Multicultural Commission as part of Cultural Diversity Week, during which hundreds of events were held across the state to celebrate Victoria’s cultural, religious and linguistic diversity.</w:t>
      </w:r>
    </w:p>
    <w:p w14:paraId="6A64C86C" w14:textId="77777777" w:rsidR="0077375F" w:rsidRPr="0077375F" w:rsidRDefault="0077375F" w:rsidP="0077375F">
      <w:pPr>
        <w:pStyle w:val="VEOHRCHeading3"/>
        <w:rPr>
          <w:lang w:eastAsia="en-US"/>
        </w:rPr>
      </w:pPr>
      <w:r w:rsidRPr="0077375F">
        <w:rPr>
          <w:lang w:eastAsia="en-US"/>
        </w:rPr>
        <w:t>Community events/engagements</w:t>
      </w:r>
    </w:p>
    <w:p w14:paraId="3769B8DE" w14:textId="77777777" w:rsidR="0077375F" w:rsidRPr="0077375F" w:rsidRDefault="0077375F" w:rsidP="0077375F">
      <w:pPr>
        <w:pStyle w:val="VEOHRCListBullet"/>
        <w:rPr>
          <w:lang w:eastAsia="en-US"/>
        </w:rPr>
      </w:pPr>
      <w:r w:rsidRPr="0077375F">
        <w:rPr>
          <w:lang w:eastAsia="en-US"/>
        </w:rPr>
        <w:t>Art of Belonging Conference 2015 organised by Belonging Matters on 27–28 August 2015</w:t>
      </w:r>
    </w:p>
    <w:p w14:paraId="6DE5EA1F" w14:textId="4E0B1343" w:rsidR="0077375F" w:rsidRPr="0077375F" w:rsidRDefault="0077375F" w:rsidP="0077375F">
      <w:pPr>
        <w:pStyle w:val="VEOHRCListBullet"/>
        <w:rPr>
          <w:lang w:eastAsia="en-US"/>
        </w:rPr>
      </w:pPr>
      <w:r w:rsidRPr="0077375F">
        <w:rPr>
          <w:lang w:eastAsia="en-US"/>
        </w:rPr>
        <w:t>CARE Melton Expo organised by</w:t>
      </w:r>
      <w:r w:rsidR="001B0C5C">
        <w:rPr>
          <w:lang w:eastAsia="en-US"/>
        </w:rPr>
        <w:t xml:space="preserve"> </w:t>
      </w:r>
      <w:r w:rsidRPr="0077375F">
        <w:rPr>
          <w:lang w:eastAsia="en-US"/>
        </w:rPr>
        <w:t>City of Melton on 15 October 2015</w:t>
      </w:r>
    </w:p>
    <w:p w14:paraId="2853A06C" w14:textId="77777777" w:rsidR="0077375F" w:rsidRPr="0077375F" w:rsidRDefault="0077375F" w:rsidP="0077375F">
      <w:pPr>
        <w:pStyle w:val="VEOHRCListBullet"/>
        <w:rPr>
          <w:lang w:eastAsia="en-US"/>
        </w:rPr>
      </w:pPr>
      <w:proofErr w:type="spellStart"/>
      <w:r w:rsidRPr="0077375F">
        <w:rPr>
          <w:lang w:eastAsia="en-US"/>
        </w:rPr>
        <w:t>Darebin</w:t>
      </w:r>
      <w:proofErr w:type="spellEnd"/>
      <w:r w:rsidRPr="0077375F">
        <w:rPr>
          <w:lang w:eastAsia="en-US"/>
        </w:rPr>
        <w:t xml:space="preserve"> Seniors Expo organised by City of </w:t>
      </w:r>
      <w:proofErr w:type="spellStart"/>
      <w:r w:rsidRPr="0077375F">
        <w:rPr>
          <w:lang w:eastAsia="en-US"/>
        </w:rPr>
        <w:t>Darebin</w:t>
      </w:r>
      <w:proofErr w:type="spellEnd"/>
      <w:r w:rsidRPr="0077375F">
        <w:rPr>
          <w:lang w:eastAsia="en-US"/>
        </w:rPr>
        <w:t xml:space="preserve"> on 16 October 2015</w:t>
      </w:r>
    </w:p>
    <w:p w14:paraId="2B3E1E23" w14:textId="77777777" w:rsidR="0077375F" w:rsidRPr="0077375F" w:rsidRDefault="0077375F" w:rsidP="0077375F">
      <w:pPr>
        <w:pStyle w:val="VEOHRCListBullet"/>
        <w:rPr>
          <w:lang w:eastAsia="en-US"/>
        </w:rPr>
      </w:pPr>
      <w:r w:rsidRPr="0077375F">
        <w:rPr>
          <w:lang w:eastAsia="en-US"/>
        </w:rPr>
        <w:t>Legal Laneways Breakfast on 3 February 2016</w:t>
      </w:r>
    </w:p>
    <w:p w14:paraId="0916E276" w14:textId="77777777" w:rsidR="0077375F" w:rsidRPr="0077375F" w:rsidRDefault="0077375F" w:rsidP="0077375F">
      <w:pPr>
        <w:pStyle w:val="VEOHRCListBullet"/>
        <w:rPr>
          <w:lang w:eastAsia="en-US"/>
        </w:rPr>
      </w:pPr>
      <w:r w:rsidRPr="0077375F">
        <w:rPr>
          <w:lang w:eastAsia="en-US"/>
        </w:rPr>
        <w:t>Our Choice Expo at the Having a Say Conference 2016 organised by Victorian Advocacy League for Individuals with Disability (VALID) on 12 February 2016</w:t>
      </w:r>
    </w:p>
    <w:p w14:paraId="4DFA6FC1" w14:textId="77777777" w:rsidR="0077375F" w:rsidRPr="0077375F" w:rsidRDefault="0077375F" w:rsidP="0077375F">
      <w:pPr>
        <w:pStyle w:val="VEOHRCListBullet"/>
        <w:rPr>
          <w:lang w:eastAsia="en-US"/>
        </w:rPr>
      </w:pPr>
      <w:r w:rsidRPr="0077375F">
        <w:rPr>
          <w:lang w:eastAsia="en-US"/>
        </w:rPr>
        <w:t>Law Week – panel presentation on 20 May 2016 hosted by the Migrant Resource Centre (North West Region) at the State Library of Victoria</w:t>
      </w:r>
    </w:p>
    <w:p w14:paraId="1B9E235F" w14:textId="77777777" w:rsidR="0077375F" w:rsidRPr="0077375F" w:rsidRDefault="0077375F" w:rsidP="0077375F">
      <w:pPr>
        <w:pStyle w:val="VEOHRCListBullet"/>
        <w:rPr>
          <w:lang w:eastAsia="en-US"/>
        </w:rPr>
      </w:pPr>
      <w:r w:rsidRPr="0077375F">
        <w:rPr>
          <w:lang w:eastAsia="en-US"/>
        </w:rPr>
        <w:t xml:space="preserve">The Long Walk community event at Federation Square on 28 May 2016 </w:t>
      </w:r>
    </w:p>
    <w:p w14:paraId="1CBFA857" w14:textId="77777777" w:rsidR="0077375F" w:rsidRPr="0077375F" w:rsidRDefault="0077375F" w:rsidP="0077375F">
      <w:pPr>
        <w:pStyle w:val="VEOHRCChapterTitle"/>
        <w:rPr>
          <w:lang w:eastAsia="en-US"/>
        </w:rPr>
      </w:pPr>
      <w:r w:rsidRPr="0077375F">
        <w:rPr>
          <w:lang w:eastAsia="en-US"/>
        </w:rPr>
        <w:lastRenderedPageBreak/>
        <w:t>Connecting</w:t>
      </w:r>
    </w:p>
    <w:p w14:paraId="7FA9C740" w14:textId="77777777" w:rsidR="0077375F" w:rsidRPr="0077375F" w:rsidRDefault="0077375F" w:rsidP="0077375F">
      <w:pPr>
        <w:pStyle w:val="VEOHRCHeading2"/>
        <w:rPr>
          <w:lang w:eastAsia="en-US"/>
        </w:rPr>
      </w:pPr>
      <w:r w:rsidRPr="0077375F">
        <w:rPr>
          <w:lang w:eastAsia="en-US"/>
        </w:rPr>
        <w:t>Media</w:t>
      </w:r>
    </w:p>
    <w:p w14:paraId="2F4DE48D" w14:textId="77777777" w:rsidR="0077375F" w:rsidRPr="0077375F" w:rsidRDefault="0077375F" w:rsidP="0077375F">
      <w:pPr>
        <w:pStyle w:val="VEOHRCBodytext"/>
        <w:rPr>
          <w:lang w:eastAsia="en-US"/>
        </w:rPr>
      </w:pPr>
      <w:r w:rsidRPr="0077375F">
        <w:rPr>
          <w:lang w:eastAsia="en-US"/>
        </w:rPr>
        <w:t>The external media remains a key platform for raising public awareness and advocating for a broad range of human rights and discrimination issues that affect Victorians.</w:t>
      </w:r>
    </w:p>
    <w:p w14:paraId="5A45CA44" w14:textId="77777777" w:rsidR="0077375F" w:rsidRPr="0077375F" w:rsidRDefault="0077375F" w:rsidP="0077375F">
      <w:pPr>
        <w:pStyle w:val="VEOHRCBodytext"/>
        <w:rPr>
          <w:lang w:eastAsia="en-US"/>
        </w:rPr>
      </w:pPr>
      <w:r w:rsidRPr="0077375F">
        <w:rPr>
          <w:lang w:eastAsia="en-US"/>
        </w:rPr>
        <w:t>Over the past year, we have continued to build the profile of the Commission through proactive media engagement in order to reinforce the Commission’s reputation as the leading voice on human rights and equal opportunity issues. Access to the media also extends our reach to as many Victorians as possible to ensure that they are aware of the work of the Commission and how we can help.</w:t>
      </w:r>
    </w:p>
    <w:p w14:paraId="426D72C3" w14:textId="7C0911F2" w:rsidR="0077375F" w:rsidRPr="0077375F" w:rsidRDefault="0077375F" w:rsidP="0077375F">
      <w:pPr>
        <w:pStyle w:val="VEOHRCBodytext"/>
        <w:rPr>
          <w:lang w:eastAsia="en-US"/>
        </w:rPr>
      </w:pPr>
      <w:r w:rsidRPr="0077375F">
        <w:t xml:space="preserve">Some issues which we have commented on include: the Commission’s </w:t>
      </w:r>
      <w:r w:rsidRPr="0077375F">
        <w:rPr>
          <w:rStyle w:val="VEOHRCBodytextChar"/>
          <w:i/>
          <w:lang w:eastAsia="en-US"/>
        </w:rPr>
        <w:t>Independent Review into sex discrimination and sexual harassment, including predatory behaviour, in Victoria Police</w:t>
      </w:r>
      <w:r w:rsidRPr="0077375F">
        <w:rPr>
          <w:lang w:eastAsia="en-US"/>
        </w:rPr>
        <w:t>; issues of racial and religious intolerance in the community; equal opportunity reforms which benefit our LGBTI community; and addressing the systemic discrimination faced by people</w:t>
      </w:r>
      <w:r w:rsidR="001B0C5C">
        <w:rPr>
          <w:lang w:eastAsia="en-US"/>
        </w:rPr>
        <w:t xml:space="preserve"> </w:t>
      </w:r>
      <w:r w:rsidRPr="0077375F">
        <w:rPr>
          <w:lang w:eastAsia="en-US"/>
        </w:rPr>
        <w:t>with disabilities.</w:t>
      </w:r>
    </w:p>
    <w:p w14:paraId="3AA4C733" w14:textId="77777777" w:rsidR="0077375F" w:rsidRPr="00EF2338" w:rsidRDefault="0077375F" w:rsidP="0077375F">
      <w:pPr>
        <w:pStyle w:val="VEOHRCBodytext"/>
        <w:rPr>
          <w:rStyle w:val="VEOHRCURLChar"/>
        </w:rPr>
      </w:pPr>
      <w:r w:rsidRPr="0077375F">
        <w:rPr>
          <w:lang w:eastAsia="en-US"/>
        </w:rPr>
        <w:t xml:space="preserve">Media releases and public comment, including opinion pieces by the Commissioner are available on our website at </w:t>
      </w:r>
      <w:r w:rsidRPr="00EF2338">
        <w:rPr>
          <w:rStyle w:val="VEOHRCURLChar"/>
        </w:rPr>
        <w:t>humanrightscommission.vic.gov.au</w:t>
      </w:r>
      <w:r w:rsidRPr="0077375F">
        <w:rPr>
          <w:rStyle w:val="VEOHRCBodytextChar"/>
          <w:lang w:eastAsia="en-US"/>
        </w:rPr>
        <w:t>.</w:t>
      </w:r>
    </w:p>
    <w:p w14:paraId="2B6BF325" w14:textId="2C0AEFF8" w:rsidR="0077375F" w:rsidRPr="0077375F" w:rsidRDefault="0077375F" w:rsidP="0077375F">
      <w:pPr>
        <w:pStyle w:val="VEOHRCHeading2"/>
        <w:rPr>
          <w:lang w:eastAsia="en-US"/>
        </w:rPr>
      </w:pPr>
      <w:r w:rsidRPr="0077375F">
        <w:rPr>
          <w:lang w:eastAsia="en-US"/>
        </w:rPr>
        <w:t>Social media</w:t>
      </w:r>
    </w:p>
    <w:p w14:paraId="675BACCE" w14:textId="77777777" w:rsidR="0077375F" w:rsidRPr="0077375F" w:rsidRDefault="0077375F" w:rsidP="0077375F">
      <w:pPr>
        <w:pStyle w:val="VEOHRCBodytext"/>
        <w:rPr>
          <w:lang w:eastAsia="en-US"/>
        </w:rPr>
      </w:pPr>
      <w:r w:rsidRPr="0077375F">
        <w:rPr>
          <w:lang w:eastAsia="en-US"/>
        </w:rPr>
        <w:t>The Commission continued to build its social media presence in 2015/16, engaging with the community across a number of platforms. With accounts on Facebook, Twitter, LinkedIn and YouTube, we have been able to broaden our reach to the community.</w:t>
      </w:r>
    </w:p>
    <w:p w14:paraId="430136EC" w14:textId="77777777" w:rsidR="0077375F" w:rsidRPr="0077375F" w:rsidRDefault="0077375F" w:rsidP="0077375F">
      <w:pPr>
        <w:pStyle w:val="VEOHRCBodytext"/>
        <w:rPr>
          <w:lang w:eastAsia="en-US"/>
        </w:rPr>
      </w:pPr>
      <w:r w:rsidRPr="0077375F">
        <w:rPr>
          <w:lang w:eastAsia="en-US"/>
        </w:rPr>
        <w:t xml:space="preserve">The two most active accounts are Twitter and Facebook. </w:t>
      </w:r>
      <w:proofErr w:type="gramStart"/>
      <w:r w:rsidRPr="0077375F">
        <w:rPr>
          <w:lang w:eastAsia="en-US"/>
        </w:rPr>
        <w:t>Our Twitter followers increased by 41 per cent over the year, growing to 3981.</w:t>
      </w:r>
      <w:proofErr w:type="gramEnd"/>
      <w:r w:rsidRPr="0077375F">
        <w:rPr>
          <w:lang w:eastAsia="en-US"/>
        </w:rPr>
        <w:t xml:space="preserve"> Facebook page likes grew by 2270 to 3968.</w:t>
      </w:r>
    </w:p>
    <w:p w14:paraId="20A4DEA4" w14:textId="77777777" w:rsidR="0077375F" w:rsidRPr="0077375F" w:rsidRDefault="0077375F" w:rsidP="0077375F">
      <w:pPr>
        <w:pStyle w:val="VEOHRCBodytext"/>
        <w:rPr>
          <w:lang w:eastAsia="en-US"/>
        </w:rPr>
      </w:pPr>
      <w:r w:rsidRPr="0077375F">
        <w:rPr>
          <w:lang w:eastAsia="en-US"/>
        </w:rPr>
        <w:t xml:space="preserve">This year saw the Commission take advantage of new opportunities online, including live streaming of the Human Rights Oration. This, in addition to live tweeting and an event </w:t>
      </w:r>
      <w:proofErr w:type="spellStart"/>
      <w:r w:rsidRPr="0077375F">
        <w:rPr>
          <w:lang w:eastAsia="en-US"/>
        </w:rPr>
        <w:t>hashtag</w:t>
      </w:r>
      <w:proofErr w:type="spellEnd"/>
      <w:r w:rsidRPr="0077375F">
        <w:rPr>
          <w:lang w:eastAsia="en-US"/>
        </w:rPr>
        <w:t>, saw the Oration trending as the number one topic in Australia on Twitter.</w:t>
      </w:r>
    </w:p>
    <w:p w14:paraId="6FFE0A6C" w14:textId="77777777" w:rsidR="0077375F" w:rsidRPr="0077375F" w:rsidRDefault="0077375F" w:rsidP="0077375F">
      <w:pPr>
        <w:pStyle w:val="VEOHRCBodytext"/>
        <w:rPr>
          <w:lang w:eastAsia="en-US"/>
        </w:rPr>
      </w:pPr>
      <w:r w:rsidRPr="0077375F">
        <w:t xml:space="preserve">The launch of our first </w:t>
      </w:r>
      <w:r w:rsidRPr="0077375F">
        <w:rPr>
          <w:rStyle w:val="VEOHRCBodytextChar"/>
          <w:i/>
          <w:lang w:eastAsia="en-US"/>
        </w:rPr>
        <w:t>Pride not Prejudice</w:t>
      </w:r>
      <w:r w:rsidRPr="0077375F">
        <w:rPr>
          <w:lang w:eastAsia="en-US"/>
        </w:rPr>
        <w:t xml:space="preserve"> film series and accompanying panel event in January 2016 attracted significant social media attention and helped us grow the audience for the series of short films, released over subsequent months.</w:t>
      </w:r>
    </w:p>
    <w:p w14:paraId="7FE2D10F" w14:textId="77777777" w:rsidR="0077375F" w:rsidRPr="0077375F" w:rsidRDefault="0077375F" w:rsidP="0077375F">
      <w:pPr>
        <w:pStyle w:val="VEOHRCBodytext"/>
        <w:rPr>
          <w:rStyle w:val="VEOHRCBodytextChar"/>
          <w:lang w:eastAsia="en-US"/>
        </w:rPr>
      </w:pPr>
      <w:r w:rsidRPr="0077375F">
        <w:rPr>
          <w:lang w:eastAsia="en-US"/>
        </w:rPr>
        <w:t xml:space="preserve">Our most successful post of the year was the first </w:t>
      </w:r>
      <w:r w:rsidRPr="0077375F">
        <w:rPr>
          <w:rStyle w:val="VEOHRCBodytextChar"/>
          <w:i/>
          <w:lang w:eastAsia="en-US"/>
        </w:rPr>
        <w:t>Human Rights Are ...</w:t>
      </w:r>
      <w:r w:rsidRPr="0077375F">
        <w:rPr>
          <w:rStyle w:val="VEOHRCBodytextChar"/>
          <w:lang w:eastAsia="en-US"/>
        </w:rPr>
        <w:t xml:space="preserve"> video which was viewed more than 15,000 times on Facebook and YouTube.</w:t>
      </w:r>
    </w:p>
    <w:p w14:paraId="3B7B2828" w14:textId="77777777" w:rsidR="0077375F" w:rsidRPr="0077375F" w:rsidRDefault="0077375F" w:rsidP="0077375F">
      <w:pPr>
        <w:pStyle w:val="VEOHRCBodytext"/>
        <w:rPr>
          <w:lang w:eastAsia="en-US"/>
        </w:rPr>
      </w:pPr>
      <w:r w:rsidRPr="0077375F">
        <w:rPr>
          <w:lang w:eastAsia="en-US"/>
        </w:rPr>
        <w:t xml:space="preserve">In addition to using social media to share Commission news and resources, we have found that some people use it as a first point of contact to make complaints or enquiries. </w:t>
      </w:r>
      <w:proofErr w:type="gramStart"/>
      <w:r w:rsidRPr="0077375F">
        <w:rPr>
          <w:lang w:eastAsia="en-US"/>
        </w:rPr>
        <w:t>Staff monitoring our accounts are</w:t>
      </w:r>
      <w:proofErr w:type="gramEnd"/>
      <w:r w:rsidRPr="0077375F">
        <w:rPr>
          <w:lang w:eastAsia="en-US"/>
        </w:rPr>
        <w:t xml:space="preserve"> then able to direct these people to our enquiries and dispute resolution staff.</w:t>
      </w:r>
    </w:p>
    <w:p w14:paraId="7EC05C2C" w14:textId="77777777" w:rsidR="0077375F" w:rsidRPr="0077375F" w:rsidRDefault="0077375F" w:rsidP="0077375F">
      <w:pPr>
        <w:pStyle w:val="VEOHRCBodytext"/>
        <w:rPr>
          <w:lang w:eastAsia="en-US"/>
        </w:rPr>
      </w:pPr>
      <w:r w:rsidRPr="0077375F">
        <w:rPr>
          <w:lang w:eastAsia="en-US"/>
        </w:rPr>
        <w:t>The Commission’s social media accounts are:</w:t>
      </w:r>
    </w:p>
    <w:p w14:paraId="349CF56D" w14:textId="0017851F" w:rsidR="0077375F" w:rsidRPr="0077375F" w:rsidRDefault="0077375F" w:rsidP="0077375F">
      <w:pPr>
        <w:widowControl w:val="0"/>
        <w:numPr>
          <w:ilvl w:val="0"/>
          <w:numId w:val="14"/>
        </w:numPr>
        <w:tabs>
          <w:tab w:val="clear" w:pos="360"/>
          <w:tab w:val="left" w:pos="255"/>
          <w:tab w:val="left" w:pos="1440"/>
        </w:tabs>
        <w:suppressAutoHyphens/>
        <w:autoSpaceDE w:val="0"/>
        <w:autoSpaceDN w:val="0"/>
        <w:adjustRightInd w:val="0"/>
        <w:spacing w:after="85" w:line="250" w:lineRule="atLeast"/>
        <w:ind w:left="255" w:hanging="255"/>
        <w:textAlignment w:val="center"/>
        <w:rPr>
          <w:rStyle w:val="VEOHRCURLChar"/>
          <w:lang w:val="en-GB" w:eastAsia="en-US"/>
        </w:rPr>
      </w:pPr>
      <w:r w:rsidRPr="0077375F">
        <w:rPr>
          <w:rStyle w:val="VEOHRCBodytextChar"/>
          <w:lang w:eastAsia="en-US"/>
        </w:rPr>
        <w:t>Facebook</w:t>
      </w:r>
      <w:r w:rsidRPr="0077375F">
        <w:rPr>
          <w:rStyle w:val="VEOHRCBodytextChar"/>
          <w:lang w:eastAsia="en-US"/>
        </w:rPr>
        <w:tab/>
      </w:r>
      <w:r w:rsidRPr="0077375F">
        <w:rPr>
          <w:rStyle w:val="VEOHRCURLChar"/>
          <w:lang w:val="en-GB" w:eastAsia="en-US"/>
        </w:rPr>
        <w:t>facebook.com/</w:t>
      </w:r>
      <w:proofErr w:type="spellStart"/>
      <w:r w:rsidRPr="0077375F">
        <w:rPr>
          <w:rStyle w:val="VEOHRCURLChar"/>
          <w:lang w:val="en-GB" w:eastAsia="en-US"/>
        </w:rPr>
        <w:t>veohrc</w:t>
      </w:r>
      <w:proofErr w:type="spellEnd"/>
      <w:r w:rsidR="001B0C5C">
        <w:rPr>
          <w:rStyle w:val="VEOHRCURLChar"/>
          <w:lang w:val="en-GB" w:eastAsia="en-US"/>
        </w:rPr>
        <w:t xml:space="preserve"> </w:t>
      </w:r>
      <w:r w:rsidRPr="0077375F">
        <w:rPr>
          <w:rStyle w:val="VEOHRCURLChar"/>
          <w:lang w:val="en-GB" w:eastAsia="en-US"/>
        </w:rPr>
        <w:tab/>
        <w:t>facebook.com/</w:t>
      </w:r>
      <w:proofErr w:type="spellStart"/>
      <w:r w:rsidRPr="0077375F">
        <w:rPr>
          <w:rStyle w:val="VEOHRCURLChar"/>
          <w:lang w:val="en-GB" w:eastAsia="en-US"/>
        </w:rPr>
        <w:t>rrveorhc</w:t>
      </w:r>
      <w:proofErr w:type="spellEnd"/>
      <w:r w:rsidRPr="0077375F">
        <w:rPr>
          <w:rStyle w:val="VEOHRCURLChar"/>
          <w:lang w:val="en-GB" w:eastAsia="en-US"/>
        </w:rPr>
        <w:t xml:space="preserve"> </w:t>
      </w:r>
    </w:p>
    <w:p w14:paraId="048030BE" w14:textId="2D59D2E8"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URLChar"/>
          <w:lang w:val="en-GB" w:eastAsia="en-US"/>
        </w:rPr>
      </w:pPr>
      <w:r w:rsidRPr="0077375F">
        <w:rPr>
          <w:rStyle w:val="VEOHRCBodytextChar"/>
          <w:lang w:eastAsia="en-US"/>
        </w:rPr>
        <w:t xml:space="preserve">Twitter </w:t>
      </w:r>
      <w:r w:rsidRPr="0077375F">
        <w:rPr>
          <w:rStyle w:val="VEOHRCBodytextChar"/>
          <w:lang w:eastAsia="en-US"/>
        </w:rPr>
        <w:tab/>
      </w:r>
      <w:r w:rsidRPr="0077375F">
        <w:rPr>
          <w:rStyle w:val="VEOHRCURLChar"/>
          <w:lang w:val="en-GB" w:eastAsia="en-US"/>
        </w:rPr>
        <w:t>@</w:t>
      </w:r>
      <w:proofErr w:type="spellStart"/>
      <w:r w:rsidRPr="0077375F">
        <w:rPr>
          <w:rStyle w:val="VEOHRCURLChar"/>
          <w:lang w:val="en-GB" w:eastAsia="en-US"/>
        </w:rPr>
        <w:t>veohrc</w:t>
      </w:r>
      <w:proofErr w:type="spellEnd"/>
      <w:r w:rsidR="001B0C5C">
        <w:rPr>
          <w:rStyle w:val="VEOHRCURLChar"/>
          <w:lang w:val="en-GB" w:eastAsia="en-US"/>
        </w:rPr>
        <w:t xml:space="preserve"> </w:t>
      </w:r>
      <w:r w:rsidRPr="0077375F">
        <w:rPr>
          <w:rStyle w:val="VEOHRCURLChar"/>
          <w:lang w:val="en-GB" w:eastAsia="en-US"/>
        </w:rPr>
        <w:tab/>
      </w:r>
      <w:r w:rsidRPr="0077375F">
        <w:rPr>
          <w:rStyle w:val="VEOHRCURLChar"/>
          <w:lang w:val="en-GB" w:eastAsia="en-US"/>
        </w:rPr>
        <w:tab/>
        <w:t>@</w:t>
      </w:r>
      <w:proofErr w:type="spellStart"/>
      <w:r w:rsidRPr="0077375F">
        <w:rPr>
          <w:rStyle w:val="VEOHRCURLChar"/>
          <w:lang w:val="en-GB" w:eastAsia="en-US"/>
        </w:rPr>
        <w:t>kristenahilton</w:t>
      </w:r>
      <w:proofErr w:type="spellEnd"/>
    </w:p>
    <w:p w14:paraId="44DA89D8" w14:textId="77777777" w:rsidR="0077375F" w:rsidRPr="0077375F" w:rsidRDefault="0077375F" w:rsidP="0077375F">
      <w:pPr>
        <w:widowControl w:val="0"/>
        <w:numPr>
          <w:ilvl w:val="0"/>
          <w:numId w:val="14"/>
        </w:numPr>
        <w:tabs>
          <w:tab w:val="clear" w:pos="360"/>
          <w:tab w:val="left" w:pos="255"/>
          <w:tab w:val="left" w:pos="1440"/>
        </w:tabs>
        <w:suppressAutoHyphens/>
        <w:autoSpaceDE w:val="0"/>
        <w:autoSpaceDN w:val="0"/>
        <w:adjustRightInd w:val="0"/>
        <w:spacing w:after="85" w:line="250" w:lineRule="atLeast"/>
        <w:ind w:left="255" w:hanging="255"/>
        <w:textAlignment w:val="center"/>
        <w:rPr>
          <w:rStyle w:val="VEOHRCURLChar"/>
          <w:lang w:val="en-GB" w:eastAsia="en-US"/>
        </w:rPr>
      </w:pPr>
      <w:r w:rsidRPr="0077375F">
        <w:rPr>
          <w:rStyle w:val="VEOHRCBodytextChar"/>
          <w:lang w:eastAsia="en-US"/>
        </w:rPr>
        <w:t xml:space="preserve">YouTube </w:t>
      </w:r>
      <w:r w:rsidRPr="0077375F">
        <w:rPr>
          <w:rStyle w:val="VEOHRCBodytextChar"/>
          <w:lang w:eastAsia="en-US"/>
        </w:rPr>
        <w:tab/>
      </w:r>
      <w:r w:rsidRPr="0077375F">
        <w:rPr>
          <w:rStyle w:val="VEOHRCURLChar"/>
          <w:lang w:val="en-GB" w:eastAsia="en-US"/>
        </w:rPr>
        <w:t>youtube.com/</w:t>
      </w:r>
      <w:proofErr w:type="spellStart"/>
      <w:r w:rsidRPr="0077375F">
        <w:rPr>
          <w:rStyle w:val="VEOHRCURLChar"/>
          <w:lang w:val="en-GB" w:eastAsia="en-US"/>
        </w:rPr>
        <w:t>veohrc</w:t>
      </w:r>
      <w:proofErr w:type="spellEnd"/>
    </w:p>
    <w:p w14:paraId="0EE6EC61" w14:textId="77777777" w:rsidR="0077375F" w:rsidRPr="0077375F" w:rsidRDefault="0077375F" w:rsidP="0077375F">
      <w:pPr>
        <w:widowControl w:val="0"/>
        <w:numPr>
          <w:ilvl w:val="0"/>
          <w:numId w:val="14"/>
        </w:numPr>
        <w:tabs>
          <w:tab w:val="clear" w:pos="360"/>
          <w:tab w:val="left" w:pos="255"/>
          <w:tab w:val="left" w:pos="1440"/>
        </w:tabs>
        <w:suppressAutoHyphens/>
        <w:autoSpaceDE w:val="0"/>
        <w:autoSpaceDN w:val="0"/>
        <w:adjustRightInd w:val="0"/>
        <w:spacing w:after="85" w:line="250" w:lineRule="atLeast"/>
        <w:ind w:left="255" w:hanging="255"/>
        <w:textAlignment w:val="center"/>
        <w:rPr>
          <w:rStyle w:val="VEOHRCURLChar"/>
          <w:lang w:val="en-GB" w:eastAsia="en-US"/>
        </w:rPr>
      </w:pPr>
      <w:r w:rsidRPr="0077375F">
        <w:rPr>
          <w:rStyle w:val="VEOHRCBodytextChar"/>
          <w:lang w:eastAsia="en-US"/>
        </w:rPr>
        <w:t xml:space="preserve">LinkedIn </w:t>
      </w:r>
      <w:r w:rsidRPr="0077375F">
        <w:rPr>
          <w:rStyle w:val="VEOHRCBodytextChar"/>
          <w:lang w:eastAsia="en-US"/>
        </w:rPr>
        <w:tab/>
      </w:r>
      <w:r w:rsidRPr="0077375F">
        <w:rPr>
          <w:rStyle w:val="VEOHRCURLChar"/>
          <w:lang w:val="en-GB" w:eastAsia="en-US"/>
        </w:rPr>
        <w:t>bit.ly/</w:t>
      </w:r>
      <w:proofErr w:type="spellStart"/>
      <w:r w:rsidRPr="0077375F">
        <w:rPr>
          <w:rStyle w:val="VEOHRCURLChar"/>
          <w:lang w:val="en-GB" w:eastAsia="en-US"/>
        </w:rPr>
        <w:t>LI_veohrc</w:t>
      </w:r>
      <w:proofErr w:type="spellEnd"/>
    </w:p>
    <w:p w14:paraId="4C06EE99" w14:textId="77777777" w:rsidR="0077375F" w:rsidRPr="0077375F" w:rsidRDefault="0077375F" w:rsidP="0077375F">
      <w:pPr>
        <w:pStyle w:val="VEOHRCChapterTitle"/>
        <w:rPr>
          <w:lang w:eastAsia="en-US"/>
        </w:rPr>
      </w:pPr>
      <w:r w:rsidRPr="0077375F">
        <w:rPr>
          <w:lang w:eastAsia="en-US"/>
        </w:rPr>
        <w:lastRenderedPageBreak/>
        <w:t>Informing</w:t>
      </w:r>
    </w:p>
    <w:p w14:paraId="40FC479D" w14:textId="77777777" w:rsidR="0077375F" w:rsidRPr="0077375F" w:rsidRDefault="0077375F" w:rsidP="0038278D">
      <w:pPr>
        <w:pStyle w:val="VEOHRCHeading2"/>
        <w:rPr>
          <w:lang w:eastAsia="en-US"/>
        </w:rPr>
      </w:pPr>
      <w:r w:rsidRPr="0077375F">
        <w:rPr>
          <w:lang w:eastAsia="en-US"/>
        </w:rPr>
        <w:t xml:space="preserve">Commission </w:t>
      </w:r>
      <w:proofErr w:type="spellStart"/>
      <w:r w:rsidRPr="0077375F">
        <w:rPr>
          <w:lang w:eastAsia="en-US"/>
        </w:rPr>
        <w:t>eNews</w:t>
      </w:r>
      <w:proofErr w:type="spellEnd"/>
    </w:p>
    <w:p w14:paraId="29541852" w14:textId="0D2AFB23" w:rsidR="0077375F" w:rsidRP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The Commission produces a monthly </w:t>
      </w:r>
      <w:proofErr w:type="spellStart"/>
      <w:r w:rsidRPr="0077375F">
        <w:rPr>
          <w:rStyle w:val="VEOHRCBodytextChar"/>
          <w:lang w:eastAsia="en-US"/>
        </w:rPr>
        <w:t>eNews</w:t>
      </w:r>
      <w:proofErr w:type="spellEnd"/>
      <w:r w:rsidRPr="0077375F">
        <w:rPr>
          <w:rStyle w:val="VEOHRCBodytextChar"/>
          <w:lang w:eastAsia="en-US"/>
        </w:rPr>
        <w:t xml:space="preserve"> bulletin that provides information on our strategic projects, training services, new developments and resources and news from our community. The </w:t>
      </w:r>
      <w:proofErr w:type="spellStart"/>
      <w:r w:rsidRPr="0077375F">
        <w:rPr>
          <w:rStyle w:val="VEOHRCBodytextChar"/>
          <w:lang w:eastAsia="en-US"/>
        </w:rPr>
        <w:t>eNews</w:t>
      </w:r>
      <w:proofErr w:type="spellEnd"/>
      <w:r w:rsidRPr="0077375F">
        <w:rPr>
          <w:rStyle w:val="VEOHRCBodytextChar"/>
          <w:lang w:eastAsia="en-US"/>
        </w:rPr>
        <w:t xml:space="preserve"> currently reaches almost 1000 subscribers across Victoria and new subscribers can join the list by emailing</w:t>
      </w:r>
      <w:r w:rsidR="001B0C5C">
        <w:rPr>
          <w:rStyle w:val="VEOHRCBodytextChar"/>
          <w:lang w:eastAsia="en-US"/>
        </w:rPr>
        <w:t xml:space="preserve"> </w:t>
      </w:r>
      <w:r w:rsidRPr="0077375F">
        <w:rPr>
          <w:rStyle w:val="VEOHRCURLChar"/>
          <w:lang w:val="en-GB" w:eastAsia="en-US"/>
        </w:rPr>
        <w:t xml:space="preserve">communications@veohrc.vic.gov.au. </w:t>
      </w:r>
    </w:p>
    <w:p w14:paraId="1A35C3CE" w14:textId="2E4911CD" w:rsidR="0077375F" w:rsidRPr="0077375F" w:rsidRDefault="0077375F" w:rsidP="0077375F">
      <w:pPr>
        <w:pStyle w:val="VEOHRCBodytext"/>
        <w:rPr>
          <w:lang w:eastAsia="en-US"/>
        </w:rPr>
      </w:pPr>
      <w:r w:rsidRPr="0077375F">
        <w:rPr>
          <w:lang w:eastAsia="en-US"/>
        </w:rPr>
        <w:t>Each issue includes a spotlight on a particular area or issue related to the Commission’s</w:t>
      </w:r>
      <w:r w:rsidR="001B0C5C">
        <w:rPr>
          <w:lang w:eastAsia="en-US"/>
        </w:rPr>
        <w:t xml:space="preserve"> </w:t>
      </w:r>
      <w:r w:rsidRPr="0077375F">
        <w:rPr>
          <w:lang w:eastAsia="en-US"/>
        </w:rPr>
        <w:t>work and a profile story from a relevant person of interest, as well as news and updates on work from the Commission and in the Victorian community. Interview highlights from</w:t>
      </w:r>
      <w:r w:rsidR="001B0C5C">
        <w:rPr>
          <w:lang w:eastAsia="en-US"/>
        </w:rPr>
        <w:t xml:space="preserve"> </w:t>
      </w:r>
      <w:r w:rsidRPr="0077375F">
        <w:rPr>
          <w:lang w:eastAsia="en-US"/>
        </w:rPr>
        <w:t>2015/16 include:</w:t>
      </w:r>
    </w:p>
    <w:p w14:paraId="1BA56A4A" w14:textId="77777777" w:rsidR="0077375F" w:rsidRPr="0077375F" w:rsidRDefault="0077375F" w:rsidP="0077375F">
      <w:pPr>
        <w:pStyle w:val="VEOHRCListBullet"/>
        <w:rPr>
          <w:lang w:eastAsia="en-US"/>
        </w:rPr>
      </w:pPr>
      <w:r w:rsidRPr="0077375F">
        <w:rPr>
          <w:lang w:eastAsia="en-US"/>
        </w:rPr>
        <w:t>Rowena Allen, Victorian Commissioner for Gender and Sexuality</w:t>
      </w:r>
    </w:p>
    <w:p w14:paraId="33EB520E" w14:textId="77777777" w:rsidR="0077375F" w:rsidRPr="0077375F" w:rsidRDefault="0077375F" w:rsidP="0077375F">
      <w:pPr>
        <w:pStyle w:val="VEOHRCListBullet"/>
        <w:rPr>
          <w:lang w:eastAsia="en-US"/>
        </w:rPr>
      </w:pPr>
      <w:r w:rsidRPr="0077375F">
        <w:rPr>
          <w:lang w:eastAsia="en-US"/>
        </w:rPr>
        <w:t xml:space="preserve">Peter </w:t>
      </w:r>
      <w:proofErr w:type="spellStart"/>
      <w:r w:rsidRPr="0077375F">
        <w:rPr>
          <w:lang w:eastAsia="en-US"/>
        </w:rPr>
        <w:t>Couzens</w:t>
      </w:r>
      <w:proofErr w:type="spellEnd"/>
      <w:r w:rsidRPr="0077375F">
        <w:rPr>
          <w:lang w:eastAsia="en-US"/>
        </w:rPr>
        <w:t>, Chairperson of the Adult Parole Board</w:t>
      </w:r>
    </w:p>
    <w:p w14:paraId="65B7AD43" w14:textId="77777777" w:rsidR="0077375F" w:rsidRPr="0077375F" w:rsidRDefault="0077375F" w:rsidP="0077375F">
      <w:pPr>
        <w:pStyle w:val="VEOHRCListBullet"/>
        <w:rPr>
          <w:lang w:eastAsia="en-US"/>
        </w:rPr>
      </w:pPr>
      <w:r w:rsidRPr="0077375F">
        <w:rPr>
          <w:lang w:eastAsia="en-US"/>
        </w:rPr>
        <w:t xml:space="preserve">Tina </w:t>
      </w:r>
      <w:proofErr w:type="spellStart"/>
      <w:r w:rsidRPr="0077375F">
        <w:rPr>
          <w:lang w:eastAsia="en-US"/>
        </w:rPr>
        <w:t>Hosseini</w:t>
      </w:r>
      <w:proofErr w:type="spellEnd"/>
      <w:r w:rsidRPr="0077375F">
        <w:rPr>
          <w:lang w:eastAsia="en-US"/>
        </w:rPr>
        <w:t>, Youth Commissioner for the Victorian Multicultural Commission</w:t>
      </w:r>
    </w:p>
    <w:p w14:paraId="527EDCCC" w14:textId="77777777" w:rsidR="0077375F" w:rsidRPr="0077375F" w:rsidRDefault="0077375F" w:rsidP="0077375F">
      <w:pPr>
        <w:pStyle w:val="VEOHRCListBullet"/>
        <w:rPr>
          <w:lang w:eastAsia="en-US"/>
        </w:rPr>
      </w:pPr>
      <w:r w:rsidRPr="0077375F">
        <w:rPr>
          <w:lang w:eastAsia="en-US"/>
        </w:rPr>
        <w:t xml:space="preserve">The Hon Tony </w:t>
      </w:r>
      <w:proofErr w:type="spellStart"/>
      <w:r w:rsidRPr="0077375F">
        <w:rPr>
          <w:lang w:eastAsia="en-US"/>
        </w:rPr>
        <w:t>Pagone</w:t>
      </w:r>
      <w:proofErr w:type="spellEnd"/>
      <w:r w:rsidRPr="0077375F">
        <w:rPr>
          <w:lang w:eastAsia="en-US"/>
        </w:rPr>
        <w:t>, Judge, Federal Court of Australia</w:t>
      </w:r>
    </w:p>
    <w:p w14:paraId="67E968CE" w14:textId="67426BBA" w:rsidR="0077375F" w:rsidRPr="0077375F" w:rsidRDefault="0077375F" w:rsidP="0077375F">
      <w:pPr>
        <w:pStyle w:val="VEOHRCListBullet"/>
        <w:rPr>
          <w:lang w:eastAsia="en-US"/>
        </w:rPr>
      </w:pPr>
      <w:r w:rsidRPr="0077375F">
        <w:rPr>
          <w:lang w:eastAsia="en-US"/>
        </w:rPr>
        <w:t>Anna Brown, Director of Advocacy,</w:t>
      </w:r>
      <w:r w:rsidR="001B0C5C">
        <w:rPr>
          <w:lang w:eastAsia="en-US"/>
        </w:rPr>
        <w:t xml:space="preserve"> </w:t>
      </w:r>
      <w:r w:rsidRPr="0077375F">
        <w:rPr>
          <w:lang w:eastAsia="en-US"/>
        </w:rPr>
        <w:t>Human Rights Law Centre</w:t>
      </w:r>
    </w:p>
    <w:p w14:paraId="006699DB" w14:textId="77777777" w:rsidR="0077375F" w:rsidRPr="0077375F" w:rsidRDefault="0077375F" w:rsidP="0077375F">
      <w:pPr>
        <w:pStyle w:val="VEOHRCListBullet"/>
        <w:rPr>
          <w:lang w:eastAsia="en-US"/>
        </w:rPr>
      </w:pPr>
      <w:r w:rsidRPr="0077375F">
        <w:rPr>
          <w:lang w:eastAsia="en-US"/>
        </w:rPr>
        <w:t xml:space="preserve">Helen </w:t>
      </w:r>
      <w:proofErr w:type="spellStart"/>
      <w:r w:rsidRPr="0077375F">
        <w:rPr>
          <w:lang w:eastAsia="en-US"/>
        </w:rPr>
        <w:t>Kapalos</w:t>
      </w:r>
      <w:proofErr w:type="spellEnd"/>
      <w:r w:rsidRPr="0077375F">
        <w:rPr>
          <w:lang w:eastAsia="en-US"/>
        </w:rPr>
        <w:t>, Chairperson of the Victorian Multicultural Commission</w:t>
      </w:r>
    </w:p>
    <w:p w14:paraId="7B291310" w14:textId="77777777" w:rsidR="0077375F" w:rsidRPr="0077375F" w:rsidRDefault="0077375F" w:rsidP="0077375F">
      <w:pPr>
        <w:pStyle w:val="VEOHRCListBullet"/>
        <w:rPr>
          <w:lang w:eastAsia="en-US"/>
        </w:rPr>
      </w:pPr>
      <w:r w:rsidRPr="0077375F">
        <w:rPr>
          <w:lang w:eastAsia="en-US"/>
        </w:rPr>
        <w:t xml:space="preserve">George </w:t>
      </w:r>
      <w:proofErr w:type="spellStart"/>
      <w:r w:rsidRPr="0077375F">
        <w:rPr>
          <w:lang w:eastAsia="en-US"/>
        </w:rPr>
        <w:t>Taleporos</w:t>
      </w:r>
      <w:proofErr w:type="spellEnd"/>
      <w:r w:rsidRPr="0077375F">
        <w:rPr>
          <w:lang w:eastAsia="en-US"/>
        </w:rPr>
        <w:t>, Manager of the Youth Disability Advocacy Service</w:t>
      </w:r>
    </w:p>
    <w:p w14:paraId="71CD48F8" w14:textId="77777777" w:rsidR="0077375F" w:rsidRPr="0077375F" w:rsidRDefault="0077375F" w:rsidP="0077375F">
      <w:pPr>
        <w:pStyle w:val="VEOHRCListBullet"/>
        <w:rPr>
          <w:lang w:eastAsia="en-US"/>
        </w:rPr>
      </w:pPr>
      <w:r w:rsidRPr="0077375F">
        <w:rPr>
          <w:lang w:eastAsia="en-US"/>
        </w:rPr>
        <w:t xml:space="preserve">Antoinette </w:t>
      </w:r>
      <w:proofErr w:type="spellStart"/>
      <w:r w:rsidRPr="0077375F">
        <w:rPr>
          <w:lang w:eastAsia="en-US"/>
        </w:rPr>
        <w:t>Braybrook</w:t>
      </w:r>
      <w:proofErr w:type="spellEnd"/>
      <w:r w:rsidRPr="0077375F">
        <w:rPr>
          <w:lang w:eastAsia="en-US"/>
        </w:rPr>
        <w:t>, CEO of the Aboriginal Family Violence Prevention and Legal Service</w:t>
      </w:r>
    </w:p>
    <w:p w14:paraId="257DE47D" w14:textId="77777777" w:rsid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689D"/>
          <w:sz w:val="19"/>
          <w:szCs w:val="19"/>
          <w:lang w:val="en-GB" w:eastAsia="en-US"/>
        </w:rPr>
      </w:pPr>
      <w:r w:rsidRPr="0077375F">
        <w:rPr>
          <w:rStyle w:val="VEOHRCBodytextChar"/>
          <w:lang w:eastAsia="en-US"/>
        </w:rPr>
        <w:t xml:space="preserve">Information on the Commission’s </w:t>
      </w:r>
      <w:proofErr w:type="spellStart"/>
      <w:r w:rsidRPr="0077375F">
        <w:rPr>
          <w:rStyle w:val="VEOHRCBodytextChar"/>
          <w:lang w:eastAsia="en-US"/>
        </w:rPr>
        <w:t>eNews</w:t>
      </w:r>
      <w:proofErr w:type="spellEnd"/>
      <w:r w:rsidRPr="0077375F">
        <w:rPr>
          <w:rStyle w:val="VEOHRCBodytextChar"/>
          <w:lang w:eastAsia="en-US"/>
        </w:rPr>
        <w:t xml:space="preserve"> and other newsletters can be found on the Commission’s website at </w:t>
      </w:r>
      <w:r w:rsidRPr="0077375F">
        <w:rPr>
          <w:rStyle w:val="VEOHRCURLChar"/>
          <w:lang w:val="en-GB" w:eastAsia="en-US"/>
        </w:rPr>
        <w:t>humanrightscommission.vic.gov.au</w:t>
      </w:r>
      <w:r w:rsidRPr="0077375F">
        <w:rPr>
          <w:rStyle w:val="VEOHRCBodytextChar"/>
          <w:lang w:eastAsia="en-US"/>
        </w:rPr>
        <w:t>.</w:t>
      </w:r>
    </w:p>
    <w:p w14:paraId="0EA6A693" w14:textId="5E7ABBA7" w:rsidR="0077375F" w:rsidRPr="0077375F" w:rsidRDefault="0077375F" w:rsidP="0038278D">
      <w:pPr>
        <w:pStyle w:val="VEOHRCHeading2"/>
        <w:rPr>
          <w:rFonts w:ascii="ArialMT-Light" w:hAnsi="ArialMT-Light" w:cs="ArialMT-Light"/>
          <w:sz w:val="16"/>
          <w:szCs w:val="16"/>
          <w:lang w:eastAsia="en-US"/>
        </w:rPr>
      </w:pPr>
      <w:r w:rsidRPr="0077375F">
        <w:rPr>
          <w:lang w:eastAsia="en-US"/>
        </w:rPr>
        <w:t>Rights Yarn Up</w:t>
      </w:r>
    </w:p>
    <w:p w14:paraId="2A511DEF"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Rights Yarn Up</w:t>
      </w:r>
      <w:r w:rsidRPr="0077375F">
        <w:rPr>
          <w:rStyle w:val="VEOHRCBodytextChar"/>
          <w:lang w:eastAsia="en-US"/>
        </w:rPr>
        <w:t xml:space="preserve"> is the Commission’s newsletter focused on key issues in the Victorian Aboriginal community. The resource contains </w:t>
      </w:r>
      <w:proofErr w:type="gramStart"/>
      <w:r w:rsidRPr="0077375F">
        <w:rPr>
          <w:rStyle w:val="VEOHRCBodytextChar"/>
          <w:lang w:eastAsia="en-US"/>
        </w:rPr>
        <w:t>news,</w:t>
      </w:r>
      <w:proofErr w:type="gramEnd"/>
      <w:r w:rsidRPr="0077375F">
        <w:rPr>
          <w:rStyle w:val="VEOHRCBodytextChar"/>
          <w:lang w:eastAsia="en-US"/>
        </w:rPr>
        <w:t xml:space="preserve"> interviews, information on events and other resources related to the work of the Commission and Aboriginal community groups.</w:t>
      </w:r>
    </w:p>
    <w:p w14:paraId="04F62D13" w14:textId="77777777" w:rsidR="0077375F" w:rsidRPr="0077375F" w:rsidRDefault="0077375F" w:rsidP="0077375F">
      <w:pPr>
        <w:pStyle w:val="VEOHRCHeading2"/>
        <w:rPr>
          <w:lang w:eastAsia="en-US"/>
        </w:rPr>
      </w:pPr>
      <w:r w:rsidRPr="0077375F">
        <w:rPr>
          <w:lang w:eastAsia="en-US"/>
        </w:rPr>
        <w:t>Training updates</w:t>
      </w:r>
    </w:p>
    <w:p w14:paraId="20D14555" w14:textId="78D87F67" w:rsidR="0077375F" w:rsidRDefault="0077375F" w:rsidP="0077375F">
      <w:pPr>
        <w:pStyle w:val="VEOHRCBodytext"/>
        <w:rPr>
          <w:lang w:eastAsia="en-US"/>
        </w:rPr>
      </w:pPr>
      <w:r w:rsidRPr="0077375F">
        <w:rPr>
          <w:lang w:eastAsia="en-US"/>
        </w:rPr>
        <w:t>The Commission sends a regular newsletter to subscribers to keep them informed about upcoming training events as well as all the</w:t>
      </w:r>
      <w:r w:rsidR="001B0C5C">
        <w:rPr>
          <w:lang w:eastAsia="en-US"/>
        </w:rPr>
        <w:t xml:space="preserve"> </w:t>
      </w:r>
      <w:r w:rsidRPr="0077375F">
        <w:rPr>
          <w:lang w:eastAsia="en-US"/>
        </w:rPr>
        <w:t>latest news in equal opportunity and human rights education.</w:t>
      </w:r>
    </w:p>
    <w:p w14:paraId="323B7C27" w14:textId="263029D2" w:rsidR="0077375F" w:rsidRPr="0077375F" w:rsidRDefault="0077375F" w:rsidP="0077375F">
      <w:pPr>
        <w:pStyle w:val="VEOHRCChapterTitle"/>
        <w:rPr>
          <w:lang w:eastAsia="en-US"/>
        </w:rPr>
      </w:pPr>
      <w:r w:rsidRPr="0077375F">
        <w:rPr>
          <w:lang w:eastAsia="en-US"/>
        </w:rPr>
        <w:lastRenderedPageBreak/>
        <w:t>Advocating</w:t>
      </w:r>
      <w:r w:rsidR="001B0C5C">
        <w:rPr>
          <w:lang w:eastAsia="en-US"/>
        </w:rPr>
        <w:t xml:space="preserve"> </w:t>
      </w:r>
      <w:r w:rsidRPr="0077375F">
        <w:rPr>
          <w:lang w:eastAsia="en-US"/>
        </w:rPr>
        <w:t>for our laws</w:t>
      </w:r>
    </w:p>
    <w:p w14:paraId="2F16B9F6" w14:textId="77777777" w:rsidR="0077375F" w:rsidRPr="0077375F" w:rsidRDefault="0077375F" w:rsidP="00821C20">
      <w:pPr>
        <w:pStyle w:val="VEOHRCHeading3"/>
        <w:rPr>
          <w:lang w:eastAsia="en-US"/>
        </w:rPr>
      </w:pPr>
      <w:r w:rsidRPr="0077375F">
        <w:rPr>
          <w:lang w:eastAsia="en-US"/>
        </w:rPr>
        <w:t>The Commission advocates for human rights and equal opportunity by influencing the development and application of the law, reporting on compliance and engaging in government policy processes.</w:t>
      </w:r>
    </w:p>
    <w:p w14:paraId="15E8EB63" w14:textId="77777777" w:rsidR="0077375F" w:rsidRPr="0077375F" w:rsidRDefault="0077375F" w:rsidP="00B31395">
      <w:pPr>
        <w:pStyle w:val="VEOHRCHeading1"/>
        <w:rPr>
          <w:lang w:eastAsia="en-US"/>
        </w:rPr>
      </w:pPr>
      <w:r w:rsidRPr="0077375F">
        <w:rPr>
          <w:lang w:eastAsia="en-US"/>
        </w:rPr>
        <w:lastRenderedPageBreak/>
        <w:t>Influencing case law</w:t>
      </w:r>
    </w:p>
    <w:p w14:paraId="239AE05A" w14:textId="10857544" w:rsidR="0077375F" w:rsidRPr="0077375F" w:rsidRDefault="0077375F" w:rsidP="0077375F">
      <w:pPr>
        <w:pStyle w:val="VEOHRCHeading2"/>
        <w:rPr>
          <w:lang w:eastAsia="en-US"/>
        </w:rPr>
      </w:pPr>
      <w:r w:rsidRPr="0077375F">
        <w:rPr>
          <w:lang w:eastAsia="en-US"/>
        </w:rPr>
        <w:t>The Commission</w:t>
      </w:r>
      <w:r w:rsidR="00B31395">
        <w:rPr>
          <w:lang w:eastAsia="en-US"/>
        </w:rPr>
        <w:t>’</w:t>
      </w:r>
      <w:r w:rsidRPr="0077375F">
        <w:rPr>
          <w:lang w:eastAsia="en-US"/>
        </w:rPr>
        <w:t>s right to intervene</w:t>
      </w:r>
    </w:p>
    <w:p w14:paraId="079D96B2" w14:textId="77777777" w:rsidR="0077375F" w:rsidRPr="0077375F" w:rsidRDefault="0077375F" w:rsidP="0077375F">
      <w:pPr>
        <w:pStyle w:val="VEOHRCBodytext"/>
        <w:rPr>
          <w:lang w:eastAsia="en-US"/>
        </w:rPr>
      </w:pPr>
      <w:r w:rsidRPr="0077375F">
        <w:rPr>
          <w:lang w:eastAsia="en-US"/>
        </w:rPr>
        <w:t xml:space="preserve">The Charter and the Equal Opportunity Act provide the Commission with a right to intervene in legal proceedings initiated by other parties. </w:t>
      </w:r>
    </w:p>
    <w:p w14:paraId="43AACE68" w14:textId="77777777" w:rsidR="0077375F" w:rsidRPr="0077375F" w:rsidRDefault="0077375F" w:rsidP="0077375F">
      <w:pPr>
        <w:pStyle w:val="VEOHRCBodytext"/>
        <w:rPr>
          <w:lang w:eastAsia="en-US"/>
        </w:rPr>
      </w:pPr>
      <w:r w:rsidRPr="0077375F">
        <w:rPr>
          <w:lang w:eastAsia="en-US"/>
        </w:rPr>
        <w:t xml:space="preserve">Under the Charter the Commission may intervene in any proceeding that involves the application of the Charter. The Victorian Attorney-General also has the power to intervene in proceedings that involve the application of the Charter. </w:t>
      </w:r>
    </w:p>
    <w:p w14:paraId="0ABD37E9" w14:textId="544DBE38" w:rsidR="0077375F" w:rsidRPr="0077375F" w:rsidRDefault="0077375F" w:rsidP="0077375F">
      <w:pPr>
        <w:pStyle w:val="VEOHRCBodytext"/>
        <w:rPr>
          <w:lang w:eastAsia="en-US"/>
        </w:rPr>
      </w:pPr>
      <w:r w:rsidRPr="0077375F">
        <w:rPr>
          <w:lang w:eastAsia="en-US"/>
        </w:rPr>
        <w:t>Under the Equal Opportunity Act the Commission may intervene in proceedings that involve issues of equal opportunity, discrimination, sexual harassment or victimisation, with the permission</w:t>
      </w:r>
      <w:r w:rsidR="001B0C5C">
        <w:rPr>
          <w:lang w:eastAsia="en-US"/>
        </w:rPr>
        <w:t xml:space="preserve"> </w:t>
      </w:r>
      <w:r w:rsidRPr="0077375F">
        <w:rPr>
          <w:lang w:eastAsia="en-US"/>
        </w:rPr>
        <w:t>of the Court or the Victorian Civil and Administrative Tribunal (VCAT). The Equal Opportunity Act requires applicants seeking</w:t>
      </w:r>
      <w:r w:rsidR="001B0C5C">
        <w:rPr>
          <w:lang w:eastAsia="en-US"/>
        </w:rPr>
        <w:t xml:space="preserve"> </w:t>
      </w:r>
      <w:r w:rsidRPr="0077375F">
        <w:rPr>
          <w:lang w:eastAsia="en-US"/>
        </w:rPr>
        <w:t>exemption from the Act to give a copy of</w:t>
      </w:r>
      <w:r w:rsidR="001B0C5C">
        <w:rPr>
          <w:lang w:eastAsia="en-US"/>
        </w:rPr>
        <w:t xml:space="preserve"> </w:t>
      </w:r>
      <w:r w:rsidRPr="0077375F">
        <w:rPr>
          <w:lang w:eastAsia="en-US"/>
        </w:rPr>
        <w:t>the application to the Commission.</w:t>
      </w:r>
    </w:p>
    <w:p w14:paraId="7BB39525" w14:textId="77777777" w:rsidR="0077375F" w:rsidRDefault="0077375F" w:rsidP="0077375F">
      <w:pPr>
        <w:pStyle w:val="VEOHRCBodytext"/>
        <w:rPr>
          <w:lang w:eastAsia="en-US"/>
        </w:rPr>
      </w:pPr>
      <w:r w:rsidRPr="0077375F">
        <w:rPr>
          <w:lang w:eastAsia="en-US"/>
        </w:rPr>
        <w:t>The purpose of the Commission’s power to intervene is to be an independent advocate in relation to the interpretation and application of the Charter and the Equal Opportunity Act. In its interventions, the Commission aims to promote the protection of human rights and eliminate discrimination, sexual harassment and victimisation to the greatest possible extent.</w:t>
      </w:r>
    </w:p>
    <w:p w14:paraId="64C37A99" w14:textId="175D91EB" w:rsidR="0077375F" w:rsidRPr="0077375F" w:rsidRDefault="0077375F" w:rsidP="0077375F">
      <w:pPr>
        <w:pStyle w:val="VEOHRCHeading2"/>
        <w:rPr>
          <w:lang w:eastAsia="en-US"/>
        </w:rPr>
      </w:pPr>
      <w:r w:rsidRPr="0077375F">
        <w:rPr>
          <w:lang w:eastAsia="en-US"/>
        </w:rPr>
        <w:t>Interventions under the Charter</w:t>
      </w:r>
    </w:p>
    <w:p w14:paraId="3A4329FB"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In 2015/16 the Commission was notified of 26 proceedings raising questions relating to the application of the Charter.</w:t>
      </w:r>
      <w:r w:rsidRPr="0077375F">
        <w:rPr>
          <w:rFonts w:ascii="ArialMT-Light" w:hAnsi="ArialMT-Light" w:cs="ArialMT-Light"/>
          <w:color w:val="000000"/>
          <w:sz w:val="21"/>
          <w:szCs w:val="21"/>
          <w:vertAlign w:val="superscript"/>
          <w:lang w:val="en-GB" w:eastAsia="en-US"/>
        </w:rPr>
        <w:footnoteReference w:id="1"/>
      </w:r>
      <w:r w:rsidRPr="0077375F">
        <w:rPr>
          <w:rStyle w:val="VEOHRCBodytextChar"/>
          <w:lang w:eastAsia="en-US"/>
        </w:rPr>
        <w:t xml:space="preserve"> One of these matters was resolved prior to hearing.</w:t>
      </w:r>
    </w:p>
    <w:p w14:paraId="3DAE5953" w14:textId="77777777" w:rsidR="0077375F" w:rsidRPr="0077375F" w:rsidRDefault="0077375F" w:rsidP="0077375F">
      <w:pPr>
        <w:pStyle w:val="VEOHRCBodytext"/>
        <w:rPr>
          <w:lang w:eastAsia="en-US"/>
        </w:rPr>
      </w:pPr>
      <w:r w:rsidRPr="0077375F">
        <w:rPr>
          <w:lang w:eastAsia="en-US"/>
        </w:rPr>
        <w:t xml:space="preserve">The Commission intervened in four proceedings in 2015/16. </w:t>
      </w:r>
    </w:p>
    <w:p w14:paraId="64A5A881" w14:textId="72D95F0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Re Melissa</w:t>
      </w:r>
      <w:r w:rsidRPr="0077375F">
        <w:rPr>
          <w:rFonts w:ascii="ArialMT-Medium" w:hAnsi="ArialMT-Medium" w:cs="ArialMT-Medium"/>
          <w:color w:val="000000"/>
          <w:sz w:val="26"/>
          <w:szCs w:val="26"/>
          <w:lang w:val="en-GB" w:eastAsia="en-US"/>
        </w:rPr>
        <w:t xml:space="preserve"> </w:t>
      </w:r>
      <w:r w:rsidRPr="0077375F">
        <w:rPr>
          <w:rStyle w:val="VEOHRCBodytextChar"/>
          <w:lang w:eastAsia="en-US"/>
        </w:rPr>
        <w:t xml:space="preserve">(An application in the </w:t>
      </w:r>
      <w:proofErr w:type="spellStart"/>
      <w:r w:rsidRPr="0077375F">
        <w:rPr>
          <w:rStyle w:val="VEOHRCBodytextChar"/>
          <w:i/>
          <w:lang w:eastAsia="en-US"/>
        </w:rPr>
        <w:t>parens</w:t>
      </w:r>
      <w:proofErr w:type="spellEnd"/>
      <w:r w:rsidRPr="0077375F">
        <w:rPr>
          <w:rStyle w:val="VEOHRCBodytextChar"/>
          <w:i/>
          <w:lang w:eastAsia="en-US"/>
        </w:rPr>
        <w:t xml:space="preserve"> </w:t>
      </w:r>
      <w:proofErr w:type="spellStart"/>
      <w:r w:rsidRPr="0077375F">
        <w:rPr>
          <w:rStyle w:val="VEOHRCBodytextChar"/>
          <w:i/>
          <w:lang w:eastAsia="en-US"/>
        </w:rPr>
        <w:t>patriae</w:t>
      </w:r>
      <w:proofErr w:type="spellEnd"/>
      <w:r w:rsidRPr="0077375F">
        <w:rPr>
          <w:rStyle w:val="VEOHRCBodytextChar"/>
          <w:lang w:eastAsia="en-US"/>
        </w:rPr>
        <w:t xml:space="preserve"> jurisdiction of the Supreme Court)</w:t>
      </w:r>
      <w:r w:rsidR="001B0C5C">
        <w:rPr>
          <w:rStyle w:val="VEOHRCBodytextChar"/>
          <w:lang w:eastAsia="en-US"/>
        </w:rPr>
        <w:t xml:space="preserve"> </w:t>
      </w:r>
      <w:r w:rsidRPr="0077375F">
        <w:rPr>
          <w:rStyle w:val="VEOHRCBodytextChar"/>
          <w:lang w:eastAsia="en-US"/>
        </w:rPr>
        <w:t>(July 2015)</w:t>
      </w:r>
    </w:p>
    <w:p w14:paraId="423E5785"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intervened in an application by the Department of Health and Human Services (DHHS) to lock the residence of a teenage girl in DHHS’s care and custody in order to protect her safety. The </w:t>
      </w:r>
      <w:r w:rsidRPr="0077375F">
        <w:rPr>
          <w:rStyle w:val="VEOHRCBodytextChar"/>
          <w:i/>
          <w:lang w:eastAsia="en-US"/>
        </w:rPr>
        <w:t xml:space="preserve">Children, Youth and Families Act 2005 </w:t>
      </w:r>
      <w:r w:rsidRPr="0077375F">
        <w:rPr>
          <w:rStyle w:val="VEOHRCBodytextChar"/>
          <w:lang w:eastAsia="en-US"/>
        </w:rPr>
        <w:t xml:space="preserve">regulates when and for how long a young person in state care can be detained. Because it did not authorise the proposed locking of the residence, DHHS had to apply for a court order. The Commission made submissions on the application of the Charter in this case, in particular that the court must consider whether the orders are compatible with the young person’s right to liberty and right to protection that is in her best interests as a child. </w:t>
      </w:r>
    </w:p>
    <w:p w14:paraId="6CB0706A" w14:textId="77777777" w:rsidR="0077375F" w:rsidRPr="0077375F" w:rsidRDefault="0077375F" w:rsidP="0077375F">
      <w:pPr>
        <w:pStyle w:val="VEOHRCBodytext"/>
        <w:rPr>
          <w:lang w:eastAsia="en-US"/>
        </w:rPr>
      </w:pPr>
      <w:r w:rsidRPr="0077375F">
        <w:rPr>
          <w:lang w:eastAsia="en-US"/>
        </w:rPr>
        <w:t>The impact of the intervention was that these human rights were taken into account by the court, which considered whether the limitations on the young person’s right to liberty were reasonable and demonstrably justified and what safeguards should apply to guard against unreasonable interference with her rights.</w:t>
      </w:r>
    </w:p>
    <w:p w14:paraId="12F21757" w14:textId="77777777" w:rsidR="0077375F" w:rsidRDefault="0077375F" w:rsidP="0077375F">
      <w:pPr>
        <w:pStyle w:val="VEOHRCBodytext"/>
        <w:rPr>
          <w:lang w:eastAsia="en-US"/>
        </w:rPr>
      </w:pPr>
      <w:r w:rsidRPr="0077375F">
        <w:rPr>
          <w:lang w:eastAsia="en-US"/>
        </w:rPr>
        <w:t>At a hearing in March 2016, the Supreme Court set aside the orders authorising the locking of the residence, after DHHS communicated that they were no longer necessary nor in the young person’s best interests. The Supreme Court will publish a written decision in due course.</w:t>
      </w:r>
    </w:p>
    <w:p w14:paraId="24D4BF25" w14:textId="336DB629"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 xml:space="preserve">Review Decision A72/2015 – decision on publication </w:t>
      </w:r>
      <w:r w:rsidRPr="0077375F">
        <w:rPr>
          <w:rStyle w:val="VEOHRCBodytextChar"/>
          <w:lang w:eastAsia="en-US"/>
        </w:rPr>
        <w:t>(Police Registration and Services Board) (December 2015)</w:t>
      </w:r>
    </w:p>
    <w:p w14:paraId="10B5AC8F" w14:textId="77777777" w:rsidR="0077375F" w:rsidRPr="0077375F" w:rsidRDefault="0077375F" w:rsidP="0077375F">
      <w:pPr>
        <w:pStyle w:val="VEOHRCBodytext"/>
        <w:rPr>
          <w:lang w:eastAsia="en-US"/>
        </w:rPr>
      </w:pPr>
      <w:r w:rsidRPr="0077375F">
        <w:rPr>
          <w:lang w:eastAsia="en-US"/>
        </w:rPr>
        <w:lastRenderedPageBreak/>
        <w:t xml:space="preserve">The Commission was invited to intervene and make written submissions on the application of the Charter in a Police Registration and Services Board proceeding related to the publication of details in a police discipline decision. </w:t>
      </w:r>
    </w:p>
    <w:p w14:paraId="24A9B3AE" w14:textId="77777777" w:rsidR="0077375F" w:rsidRPr="0077375F" w:rsidRDefault="0077375F" w:rsidP="0077375F">
      <w:pPr>
        <w:pStyle w:val="VEOHRCBodytext"/>
        <w:rPr>
          <w:lang w:eastAsia="en-US"/>
        </w:rPr>
      </w:pPr>
      <w:r w:rsidRPr="0077375F">
        <w:t xml:space="preserve">An issue arose about the Board’s consideration of human rights in making a decision under the </w:t>
      </w:r>
      <w:r w:rsidRPr="0077375F">
        <w:rPr>
          <w:rStyle w:val="VEOHRCBodytextChar"/>
          <w:i/>
          <w:lang w:eastAsia="en-US"/>
        </w:rPr>
        <w:t>Victoria Police Act 2013</w:t>
      </w:r>
      <w:r w:rsidRPr="0077375F">
        <w:rPr>
          <w:lang w:eastAsia="en-US"/>
        </w:rPr>
        <w:t xml:space="preserve"> on whether to publish details that could identify a victim or witness to police misconduct of a sexual nature in a police disciplinary decision. </w:t>
      </w:r>
    </w:p>
    <w:p w14:paraId="1D5EE9DD" w14:textId="77777777" w:rsidR="0077375F" w:rsidRPr="0077375F" w:rsidRDefault="0077375F" w:rsidP="0077375F">
      <w:pPr>
        <w:pStyle w:val="VEOHRCBodytext"/>
        <w:rPr>
          <w:rStyle w:val="VEOHRCBodytextChar"/>
          <w:lang w:eastAsia="en-US"/>
        </w:rPr>
      </w:pPr>
      <w:r w:rsidRPr="0077375F">
        <w:rPr>
          <w:lang w:eastAsia="en-US"/>
        </w:rPr>
        <w:t xml:space="preserve">The Commission’s written submissions identified human rights that the Board was required to consider in making its decision, including the rights of victims and witnesses to privacy and security, and the right of a person to a fair hearing before the Board. The Commission also referred to its </w:t>
      </w:r>
      <w:r w:rsidRPr="0077375F">
        <w:rPr>
          <w:rStyle w:val="VEOHRCBodytextChar"/>
          <w:i/>
          <w:lang w:eastAsia="en-US"/>
        </w:rPr>
        <w:t>Independent Review into sex discrimination and sexual harassment, including predatory behaviour, in Victoria Police</w:t>
      </w:r>
      <w:r w:rsidRPr="0077375F">
        <w:rPr>
          <w:rStyle w:val="VEOHRCBodytextChar"/>
          <w:lang w:eastAsia="en-US"/>
        </w:rPr>
        <w:t xml:space="preserve"> to highlight the real risk that identifying information can pose to complainants and witnesses of sexual harassment, and how this can deter future complaints. </w:t>
      </w:r>
    </w:p>
    <w:p w14:paraId="0D9A205C" w14:textId="77777777" w:rsidR="0077375F" w:rsidRDefault="0077375F" w:rsidP="0077375F">
      <w:pPr>
        <w:pStyle w:val="VEOHRCBodytext"/>
        <w:rPr>
          <w:lang w:eastAsia="en-US"/>
        </w:rPr>
      </w:pPr>
      <w:r w:rsidRPr="0077375F">
        <w:rPr>
          <w:lang w:eastAsia="en-US"/>
        </w:rPr>
        <w:t>The impact of the intervention is that the Board took these human rights into account in making its decision not to publish details that could identify the complainant. The decision has significant implications for the future application of the publication provisions in the Victoria Police Act.</w:t>
      </w:r>
    </w:p>
    <w:p w14:paraId="19DE8C48" w14:textId="6C76334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Department of Health and Human Services v FH &amp; SH &amp; RH</w:t>
      </w:r>
      <w:r w:rsidRPr="0077375F">
        <w:rPr>
          <w:rStyle w:val="VEOHRCBodytextChar"/>
          <w:lang w:eastAsia="en-US"/>
        </w:rPr>
        <w:t xml:space="preserve"> (Children’s Court)</w:t>
      </w:r>
      <w:r w:rsidRPr="0077375F">
        <w:rPr>
          <w:rFonts w:ascii="ArialMT-Medium" w:hAnsi="ArialMT-Medium" w:cs="ArialMT-Medium"/>
          <w:color w:val="000000"/>
          <w:sz w:val="26"/>
          <w:szCs w:val="26"/>
          <w:lang w:val="en-GB" w:eastAsia="en-US"/>
        </w:rPr>
        <w:t xml:space="preserve"> </w:t>
      </w:r>
      <w:r w:rsidRPr="0077375F">
        <w:rPr>
          <w:rStyle w:val="VEOHRCBodytextChar"/>
          <w:lang w:eastAsia="en-US"/>
        </w:rPr>
        <w:t xml:space="preserve">(February 2016) </w:t>
      </w:r>
    </w:p>
    <w:p w14:paraId="09B85E22"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intervened in this proceeding in the Children’s Court which raises an issue about the interpretation of the word ‘parent’ in the </w:t>
      </w:r>
      <w:r w:rsidRPr="0077375F">
        <w:rPr>
          <w:rStyle w:val="VEOHRCBodytextChar"/>
          <w:i/>
          <w:lang w:eastAsia="en-US"/>
        </w:rPr>
        <w:t>Children, Youth and Families Act 2005</w:t>
      </w:r>
      <w:r w:rsidRPr="0077375F">
        <w:rPr>
          <w:rStyle w:val="VEOHRCBodytextChar"/>
          <w:lang w:eastAsia="en-US"/>
        </w:rPr>
        <w:t xml:space="preserve"> in a way that is consistent with the Charter rights to equality and the right of a child to such protection that is in the best interests of the child. There is a question in this case as to whether the definition includes the non-birth mother of a child born to a couple in a same-sex relationship and whether it includes a known sperm donor who is not a spouse or domestic partner of the biological mother. </w:t>
      </w:r>
    </w:p>
    <w:p w14:paraId="00FFE5C5" w14:textId="77777777" w:rsidR="0077375F" w:rsidRPr="0077375F" w:rsidRDefault="0077375F" w:rsidP="0077375F">
      <w:pPr>
        <w:pStyle w:val="VEOHRCBodytext"/>
        <w:rPr>
          <w:lang w:eastAsia="en-US"/>
        </w:rPr>
      </w:pPr>
      <w:r w:rsidRPr="0077375F">
        <w:rPr>
          <w:lang w:eastAsia="en-US"/>
        </w:rPr>
        <w:t xml:space="preserve">This proceeding will be heard in late 2016. </w:t>
      </w:r>
    </w:p>
    <w:p w14:paraId="741E5882"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 xml:space="preserve">Director of Public Prosecutions v </w:t>
      </w:r>
      <w:proofErr w:type="spellStart"/>
      <w:r w:rsidRPr="0077375F">
        <w:rPr>
          <w:rStyle w:val="VEOHRCBodytextChar"/>
          <w:i/>
          <w:lang w:eastAsia="en-US"/>
        </w:rPr>
        <w:t>Hardwidge</w:t>
      </w:r>
      <w:proofErr w:type="spellEnd"/>
      <w:r w:rsidRPr="0077375F">
        <w:rPr>
          <w:rStyle w:val="VEOHRCBodytextChar"/>
          <w:lang w:eastAsia="en-US"/>
        </w:rPr>
        <w:t xml:space="preserve"> (County Court)</w:t>
      </w:r>
    </w:p>
    <w:p w14:paraId="4B3657EE" w14:textId="09AA3473" w:rsidR="0077375F" w:rsidRPr="0077375F" w:rsidRDefault="0077375F" w:rsidP="0077375F">
      <w:pPr>
        <w:pStyle w:val="VEOHRCBodytext"/>
        <w:rPr>
          <w:lang w:eastAsia="en-US"/>
        </w:rPr>
      </w:pPr>
      <w:r w:rsidRPr="0077375F">
        <w:rPr>
          <w:lang w:eastAsia="en-US"/>
        </w:rPr>
        <w:t>The Commission has intervened in this proceeding in the County Court that raises unsettled questions about how a court</w:t>
      </w:r>
      <w:r w:rsidR="001B0C5C">
        <w:rPr>
          <w:lang w:eastAsia="en-US"/>
        </w:rPr>
        <w:t xml:space="preserve"> </w:t>
      </w:r>
      <w:r w:rsidRPr="0077375F">
        <w:rPr>
          <w:lang w:eastAsia="en-US"/>
        </w:rPr>
        <w:t xml:space="preserve">considers the right of a child to be tried as quickly as possible in an application for a stay of proceedings because of a delay in prosecution. </w:t>
      </w:r>
    </w:p>
    <w:p w14:paraId="7ED82FA1" w14:textId="77777777" w:rsidR="0077375F" w:rsidRPr="0077375F" w:rsidRDefault="0077375F" w:rsidP="0077375F">
      <w:pPr>
        <w:pStyle w:val="VEOHRCBodytext"/>
        <w:rPr>
          <w:lang w:eastAsia="en-US"/>
        </w:rPr>
      </w:pPr>
      <w:r w:rsidRPr="0077375F">
        <w:rPr>
          <w:lang w:eastAsia="en-US"/>
        </w:rPr>
        <w:t xml:space="preserve">The outcome of this proceeding may have a significant impact on the rights of children in other proceedings to be tried as quickly as possible, may help clarify the Charter’s requirements for the prosecution and the court to consider this right, and what an appropriate remedy should be where the right is breached. </w:t>
      </w:r>
    </w:p>
    <w:p w14:paraId="1415E200" w14:textId="77777777" w:rsidR="00EF2338" w:rsidRDefault="0077375F" w:rsidP="0077375F">
      <w:pPr>
        <w:widowControl w:val="0"/>
        <w:suppressAutoHyphens/>
        <w:autoSpaceDE w:val="0"/>
        <w:autoSpaceDN w:val="0"/>
        <w:adjustRightInd w:val="0"/>
        <w:spacing w:after="113" w:line="250" w:lineRule="atLeast"/>
        <w:textAlignment w:val="center"/>
        <w:rPr>
          <w:rStyle w:val="VEOHRCBodytextChar"/>
          <w:lang w:eastAsia="en-US"/>
        </w:rPr>
        <w:sectPr w:rsidR="00EF2338" w:rsidSect="00CD4C53">
          <w:pgSz w:w="11906" w:h="16838" w:code="9"/>
          <w:pgMar w:top="709" w:right="1418" w:bottom="993" w:left="1418" w:header="709" w:footer="272" w:gutter="0"/>
          <w:cols w:space="708"/>
          <w:titlePg/>
          <w:docGrid w:linePitch="360"/>
        </w:sectPr>
      </w:pPr>
      <w:r w:rsidRPr="0077375F">
        <w:rPr>
          <w:rStyle w:val="VEOHRCBodytextChar"/>
          <w:lang w:eastAsia="en-US"/>
        </w:rPr>
        <w:t xml:space="preserve">This proceeding will be heard in late 2016. </w:t>
      </w:r>
      <w:r w:rsidRPr="0077375F">
        <w:rPr>
          <w:rFonts w:ascii="ArialMT-Light" w:hAnsi="ArialMT-Light" w:cs="ArialMT-Light"/>
          <w:color w:val="000000"/>
          <w:sz w:val="21"/>
          <w:szCs w:val="21"/>
          <w:vertAlign w:val="superscript"/>
          <w:lang w:val="en-GB" w:eastAsia="en-US"/>
        </w:rPr>
        <w:footnoteReference w:id="2"/>
      </w:r>
    </w:p>
    <w:p w14:paraId="46A84274" w14:textId="463255E4"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p>
    <w:tbl>
      <w:tblPr>
        <w:tblStyle w:val="LightList"/>
        <w:tblW w:w="0" w:type="auto"/>
        <w:tblLayout w:type="fixed"/>
        <w:tblLook w:val="0000" w:firstRow="0" w:lastRow="0" w:firstColumn="0" w:lastColumn="0" w:noHBand="0" w:noVBand="0"/>
      </w:tblPr>
      <w:tblGrid>
        <w:gridCol w:w="2022"/>
        <w:gridCol w:w="964"/>
        <w:gridCol w:w="964"/>
        <w:gridCol w:w="963"/>
        <w:gridCol w:w="964"/>
        <w:gridCol w:w="964"/>
        <w:gridCol w:w="964"/>
        <w:gridCol w:w="964"/>
        <w:gridCol w:w="963"/>
      </w:tblGrid>
      <w:tr w:rsidR="0077375F" w:rsidRPr="0077375F" w14:paraId="69EDEE04" w14:textId="77777777" w:rsidTr="00EF2338">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022" w:type="dxa"/>
          </w:tcPr>
          <w:p w14:paraId="400A257F" w14:textId="77777777" w:rsidR="0077375F" w:rsidRPr="00EF2338" w:rsidRDefault="0077375F" w:rsidP="0077375F">
            <w:pPr>
              <w:pStyle w:val="VEOHRCBodytext"/>
              <w:rPr>
                <w:rFonts w:ascii="ArialMT-Light" w:hAnsi="ArialMT-Light" w:cs="ArialMT-Light"/>
                <w:b/>
                <w:lang w:eastAsia="en-US"/>
              </w:rPr>
            </w:pPr>
            <w:r w:rsidRPr="00EF2338">
              <w:rPr>
                <w:b/>
                <w:lang w:eastAsia="en-US"/>
              </w:rPr>
              <w:t>Year</w:t>
            </w:r>
          </w:p>
        </w:tc>
        <w:tc>
          <w:tcPr>
            <w:tcW w:w="964" w:type="dxa"/>
          </w:tcPr>
          <w:p w14:paraId="604D4C4E" w14:textId="77777777" w:rsidR="0077375F" w:rsidRPr="00EF2338"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ascii="ArialMT-Light" w:hAnsi="ArialMT-Light" w:cs="ArialMT-Light"/>
                <w:b/>
                <w:lang w:eastAsia="en-US"/>
              </w:rPr>
            </w:pPr>
            <w:r w:rsidRPr="00EF2338">
              <w:rPr>
                <w:b/>
                <w:lang w:eastAsia="en-US"/>
              </w:rPr>
              <w:t>08/09</w:t>
            </w:r>
          </w:p>
        </w:tc>
        <w:tc>
          <w:tcPr>
            <w:cnfStyle w:val="000010000000" w:firstRow="0" w:lastRow="0" w:firstColumn="0" w:lastColumn="0" w:oddVBand="1" w:evenVBand="0" w:oddHBand="0" w:evenHBand="0" w:firstRowFirstColumn="0" w:firstRowLastColumn="0" w:lastRowFirstColumn="0" w:lastRowLastColumn="0"/>
            <w:tcW w:w="964" w:type="dxa"/>
          </w:tcPr>
          <w:p w14:paraId="10753E01" w14:textId="77777777" w:rsidR="0077375F" w:rsidRPr="00EF2338" w:rsidRDefault="0077375F" w:rsidP="0077375F">
            <w:pPr>
              <w:pStyle w:val="VEOHRCBodytext"/>
              <w:rPr>
                <w:rFonts w:ascii="ArialMT-Light" w:hAnsi="ArialMT-Light" w:cs="ArialMT-Light"/>
                <w:b/>
                <w:lang w:eastAsia="en-US"/>
              </w:rPr>
            </w:pPr>
            <w:r w:rsidRPr="00EF2338">
              <w:rPr>
                <w:b/>
                <w:lang w:eastAsia="en-US"/>
              </w:rPr>
              <w:t>09/10</w:t>
            </w:r>
          </w:p>
        </w:tc>
        <w:tc>
          <w:tcPr>
            <w:tcW w:w="963" w:type="dxa"/>
          </w:tcPr>
          <w:p w14:paraId="7CD874E4" w14:textId="77777777" w:rsidR="0077375F" w:rsidRPr="00EF2338"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ascii="ArialMT-Light" w:hAnsi="ArialMT-Light" w:cs="ArialMT-Light"/>
                <w:b/>
                <w:lang w:eastAsia="en-US"/>
              </w:rPr>
            </w:pPr>
            <w:r w:rsidRPr="00EF2338">
              <w:rPr>
                <w:b/>
                <w:lang w:eastAsia="en-US"/>
              </w:rPr>
              <w:t>10/11</w:t>
            </w:r>
          </w:p>
        </w:tc>
        <w:tc>
          <w:tcPr>
            <w:cnfStyle w:val="000010000000" w:firstRow="0" w:lastRow="0" w:firstColumn="0" w:lastColumn="0" w:oddVBand="1" w:evenVBand="0" w:oddHBand="0" w:evenHBand="0" w:firstRowFirstColumn="0" w:firstRowLastColumn="0" w:lastRowFirstColumn="0" w:lastRowLastColumn="0"/>
            <w:tcW w:w="964" w:type="dxa"/>
          </w:tcPr>
          <w:p w14:paraId="17094871" w14:textId="77777777" w:rsidR="0077375F" w:rsidRPr="00EF2338" w:rsidRDefault="0077375F" w:rsidP="0077375F">
            <w:pPr>
              <w:pStyle w:val="VEOHRCBodytext"/>
              <w:rPr>
                <w:rFonts w:ascii="ArialMT-Light" w:hAnsi="ArialMT-Light" w:cs="ArialMT-Light"/>
                <w:b/>
                <w:lang w:eastAsia="en-US"/>
              </w:rPr>
            </w:pPr>
            <w:r w:rsidRPr="00EF2338">
              <w:rPr>
                <w:b/>
                <w:lang w:eastAsia="en-US"/>
              </w:rPr>
              <w:t>11/12</w:t>
            </w:r>
          </w:p>
        </w:tc>
        <w:tc>
          <w:tcPr>
            <w:tcW w:w="964" w:type="dxa"/>
          </w:tcPr>
          <w:p w14:paraId="5A2CC308" w14:textId="77777777" w:rsidR="0077375F" w:rsidRPr="00EF2338"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ascii="ArialMT-Light" w:hAnsi="ArialMT-Light" w:cs="ArialMT-Light"/>
                <w:b/>
                <w:lang w:eastAsia="en-US"/>
              </w:rPr>
            </w:pPr>
            <w:r w:rsidRPr="00EF2338">
              <w:rPr>
                <w:b/>
                <w:lang w:eastAsia="en-US"/>
              </w:rPr>
              <w:t>12/13</w:t>
            </w:r>
          </w:p>
        </w:tc>
        <w:tc>
          <w:tcPr>
            <w:cnfStyle w:val="000010000000" w:firstRow="0" w:lastRow="0" w:firstColumn="0" w:lastColumn="0" w:oddVBand="1" w:evenVBand="0" w:oddHBand="0" w:evenHBand="0" w:firstRowFirstColumn="0" w:firstRowLastColumn="0" w:lastRowFirstColumn="0" w:lastRowLastColumn="0"/>
            <w:tcW w:w="964" w:type="dxa"/>
          </w:tcPr>
          <w:p w14:paraId="0242FBA7" w14:textId="77777777" w:rsidR="0077375F" w:rsidRPr="00EF2338" w:rsidRDefault="0077375F" w:rsidP="0077375F">
            <w:pPr>
              <w:pStyle w:val="VEOHRCBodytext"/>
              <w:rPr>
                <w:rFonts w:ascii="ArialMT-Light" w:hAnsi="ArialMT-Light" w:cs="ArialMT-Light"/>
                <w:b/>
                <w:lang w:eastAsia="en-US"/>
              </w:rPr>
            </w:pPr>
            <w:r w:rsidRPr="00EF2338">
              <w:rPr>
                <w:b/>
                <w:lang w:eastAsia="en-US"/>
              </w:rPr>
              <w:t>13/14</w:t>
            </w:r>
          </w:p>
        </w:tc>
        <w:tc>
          <w:tcPr>
            <w:tcW w:w="964" w:type="dxa"/>
          </w:tcPr>
          <w:p w14:paraId="5EBCDECD" w14:textId="77777777" w:rsidR="0077375F" w:rsidRPr="00EF2338" w:rsidRDefault="0077375F" w:rsidP="0077375F">
            <w:pPr>
              <w:pStyle w:val="VEOHRCBodytext"/>
              <w:cnfStyle w:val="000000100000" w:firstRow="0" w:lastRow="0" w:firstColumn="0" w:lastColumn="0" w:oddVBand="0" w:evenVBand="0" w:oddHBand="1" w:evenHBand="0" w:firstRowFirstColumn="0" w:firstRowLastColumn="0" w:lastRowFirstColumn="0" w:lastRowLastColumn="0"/>
              <w:rPr>
                <w:rFonts w:ascii="ArialMT-Light" w:hAnsi="ArialMT-Light" w:cs="ArialMT-Light"/>
                <w:b/>
                <w:lang w:eastAsia="en-US"/>
              </w:rPr>
            </w:pPr>
            <w:r w:rsidRPr="00EF2338">
              <w:rPr>
                <w:b/>
                <w:lang w:eastAsia="en-US"/>
              </w:rPr>
              <w:t>14/15</w:t>
            </w:r>
          </w:p>
        </w:tc>
        <w:tc>
          <w:tcPr>
            <w:cnfStyle w:val="000010000000" w:firstRow="0" w:lastRow="0" w:firstColumn="0" w:lastColumn="0" w:oddVBand="1" w:evenVBand="0" w:oddHBand="0" w:evenHBand="0" w:firstRowFirstColumn="0" w:firstRowLastColumn="0" w:lastRowFirstColumn="0" w:lastRowLastColumn="0"/>
            <w:tcW w:w="963" w:type="dxa"/>
          </w:tcPr>
          <w:p w14:paraId="0EBC53F7" w14:textId="77777777" w:rsidR="0077375F" w:rsidRPr="00EF2338" w:rsidRDefault="0077375F" w:rsidP="0077375F">
            <w:pPr>
              <w:pStyle w:val="VEOHRCBodytext"/>
              <w:rPr>
                <w:rFonts w:ascii="ArialMT-Light" w:hAnsi="ArialMT-Light" w:cs="ArialMT-Light"/>
                <w:b/>
                <w:lang w:eastAsia="en-US"/>
              </w:rPr>
            </w:pPr>
            <w:r w:rsidRPr="00EF2338">
              <w:rPr>
                <w:b/>
                <w:lang w:eastAsia="en-US"/>
              </w:rPr>
              <w:t>15/16</w:t>
            </w:r>
          </w:p>
        </w:tc>
      </w:tr>
      <w:tr w:rsidR="0077375F" w:rsidRPr="0077375F" w14:paraId="3AEA19DF" w14:textId="77777777" w:rsidTr="00EF2338">
        <w:trPr>
          <w:trHeight w:val="60"/>
        </w:trPr>
        <w:tc>
          <w:tcPr>
            <w:cnfStyle w:val="000010000000" w:firstRow="0" w:lastRow="0" w:firstColumn="0" w:lastColumn="0" w:oddVBand="1" w:evenVBand="0" w:oddHBand="0" w:evenHBand="0" w:firstRowFirstColumn="0" w:firstRowLastColumn="0" w:lastRowFirstColumn="0" w:lastRowLastColumn="0"/>
            <w:tcW w:w="2022" w:type="dxa"/>
          </w:tcPr>
          <w:p w14:paraId="67D0EDA3" w14:textId="77777777" w:rsidR="0077375F" w:rsidRPr="0077375F" w:rsidRDefault="0077375F" w:rsidP="0077375F">
            <w:pPr>
              <w:pStyle w:val="VEOHRCBodytext"/>
              <w:rPr>
                <w:lang w:eastAsia="en-US"/>
              </w:rPr>
            </w:pPr>
            <w:r w:rsidRPr="0077375F">
              <w:rPr>
                <w:lang w:eastAsia="en-US"/>
              </w:rPr>
              <w:t>Notifications</w:t>
            </w:r>
          </w:p>
        </w:tc>
        <w:tc>
          <w:tcPr>
            <w:tcW w:w="964" w:type="dxa"/>
          </w:tcPr>
          <w:p w14:paraId="55396C6B"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49</w:t>
            </w:r>
          </w:p>
        </w:tc>
        <w:tc>
          <w:tcPr>
            <w:cnfStyle w:val="000010000000" w:firstRow="0" w:lastRow="0" w:firstColumn="0" w:lastColumn="0" w:oddVBand="1" w:evenVBand="0" w:oddHBand="0" w:evenHBand="0" w:firstRowFirstColumn="0" w:firstRowLastColumn="0" w:lastRowFirstColumn="0" w:lastRowLastColumn="0"/>
            <w:tcW w:w="964" w:type="dxa"/>
          </w:tcPr>
          <w:p w14:paraId="1701156C"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44</w:t>
            </w:r>
          </w:p>
        </w:tc>
        <w:tc>
          <w:tcPr>
            <w:tcW w:w="963" w:type="dxa"/>
          </w:tcPr>
          <w:p w14:paraId="1F9F8DD4"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55</w:t>
            </w:r>
          </w:p>
        </w:tc>
        <w:tc>
          <w:tcPr>
            <w:cnfStyle w:val="000010000000" w:firstRow="0" w:lastRow="0" w:firstColumn="0" w:lastColumn="0" w:oddVBand="1" w:evenVBand="0" w:oddHBand="0" w:evenHBand="0" w:firstRowFirstColumn="0" w:firstRowLastColumn="0" w:lastRowFirstColumn="0" w:lastRowLastColumn="0"/>
            <w:tcW w:w="964" w:type="dxa"/>
          </w:tcPr>
          <w:p w14:paraId="4710BD54"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31</w:t>
            </w:r>
          </w:p>
        </w:tc>
        <w:tc>
          <w:tcPr>
            <w:tcW w:w="964" w:type="dxa"/>
          </w:tcPr>
          <w:p w14:paraId="683C2C02"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30</w:t>
            </w:r>
          </w:p>
        </w:tc>
        <w:tc>
          <w:tcPr>
            <w:cnfStyle w:val="000010000000" w:firstRow="0" w:lastRow="0" w:firstColumn="0" w:lastColumn="0" w:oddVBand="1" w:evenVBand="0" w:oddHBand="0" w:evenHBand="0" w:firstRowFirstColumn="0" w:firstRowLastColumn="0" w:lastRowFirstColumn="0" w:lastRowLastColumn="0"/>
            <w:tcW w:w="964" w:type="dxa"/>
          </w:tcPr>
          <w:p w14:paraId="67714987"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17</w:t>
            </w:r>
          </w:p>
        </w:tc>
        <w:tc>
          <w:tcPr>
            <w:tcW w:w="964" w:type="dxa"/>
          </w:tcPr>
          <w:p w14:paraId="001EA31A"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000000" w:firstRow="0" w:lastRow="0" w:firstColumn="0" w:lastColumn="0" w:oddVBand="0" w:evenVBand="0" w:oddHBand="0"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25</w:t>
            </w:r>
          </w:p>
        </w:tc>
        <w:tc>
          <w:tcPr>
            <w:cnfStyle w:val="000010000000" w:firstRow="0" w:lastRow="0" w:firstColumn="0" w:lastColumn="0" w:oddVBand="1" w:evenVBand="0" w:oddHBand="0" w:evenHBand="0" w:firstRowFirstColumn="0" w:firstRowLastColumn="0" w:lastRowFirstColumn="0" w:lastRowLastColumn="0"/>
            <w:tcW w:w="963" w:type="dxa"/>
          </w:tcPr>
          <w:p w14:paraId="3263D4DE"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26</w:t>
            </w:r>
          </w:p>
        </w:tc>
      </w:tr>
      <w:tr w:rsidR="0077375F" w:rsidRPr="0077375F" w14:paraId="6A011716" w14:textId="77777777" w:rsidTr="00EF2338">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022" w:type="dxa"/>
          </w:tcPr>
          <w:p w14:paraId="41EF6457" w14:textId="77777777" w:rsidR="0077375F" w:rsidRPr="0077375F" w:rsidRDefault="0077375F" w:rsidP="0077375F">
            <w:pPr>
              <w:pStyle w:val="VEOHRCBodytext"/>
              <w:rPr>
                <w:lang w:eastAsia="en-US"/>
              </w:rPr>
            </w:pPr>
            <w:r w:rsidRPr="0077375F">
              <w:rPr>
                <w:lang w:eastAsia="en-US"/>
              </w:rPr>
              <w:t>Interventions</w:t>
            </w:r>
          </w:p>
        </w:tc>
        <w:tc>
          <w:tcPr>
            <w:tcW w:w="964" w:type="dxa"/>
          </w:tcPr>
          <w:p w14:paraId="17E93FC4"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5</w:t>
            </w:r>
          </w:p>
        </w:tc>
        <w:tc>
          <w:tcPr>
            <w:cnfStyle w:val="000010000000" w:firstRow="0" w:lastRow="0" w:firstColumn="0" w:lastColumn="0" w:oddVBand="1" w:evenVBand="0" w:oddHBand="0" w:evenHBand="0" w:firstRowFirstColumn="0" w:firstRowLastColumn="0" w:lastRowFirstColumn="0" w:lastRowLastColumn="0"/>
            <w:tcW w:w="964" w:type="dxa"/>
          </w:tcPr>
          <w:p w14:paraId="6A3FF3BA"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7</w:t>
            </w:r>
          </w:p>
        </w:tc>
        <w:tc>
          <w:tcPr>
            <w:tcW w:w="963" w:type="dxa"/>
          </w:tcPr>
          <w:p w14:paraId="3276293F"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9</w:t>
            </w:r>
          </w:p>
        </w:tc>
        <w:tc>
          <w:tcPr>
            <w:cnfStyle w:val="000010000000" w:firstRow="0" w:lastRow="0" w:firstColumn="0" w:lastColumn="0" w:oddVBand="1" w:evenVBand="0" w:oddHBand="0" w:evenHBand="0" w:firstRowFirstColumn="0" w:firstRowLastColumn="0" w:lastRowFirstColumn="0" w:lastRowLastColumn="0"/>
            <w:tcW w:w="964" w:type="dxa"/>
          </w:tcPr>
          <w:p w14:paraId="7A192755"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5</w:t>
            </w:r>
          </w:p>
        </w:tc>
        <w:tc>
          <w:tcPr>
            <w:tcW w:w="964" w:type="dxa"/>
          </w:tcPr>
          <w:p w14:paraId="3206D2BA"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MT-Light" w:hAnsi="ArialMT-Light" w:cs="ArialMT-Light"/>
                <w:color w:val="000000"/>
                <w:sz w:val="21"/>
                <w:szCs w:val="21"/>
                <w:lang w:val="en-GB" w:eastAsia="en-US"/>
              </w:rPr>
            </w:pPr>
            <w:r w:rsidRPr="0077375F">
              <w:rPr>
                <w:rStyle w:val="VEOHRCBodytextChar"/>
                <w:lang w:eastAsia="en-US"/>
              </w:rPr>
              <w:t>6</w:t>
            </w:r>
            <w:r w:rsidRPr="0077375F">
              <w:rPr>
                <w:rFonts w:ascii="ArialMT-Light" w:hAnsi="ArialMT-Light" w:cs="ArialMT-Light"/>
                <w:color w:val="000000"/>
                <w:sz w:val="21"/>
                <w:szCs w:val="21"/>
                <w:vertAlign w:val="superscript"/>
                <w:lang w:eastAsia="en-US"/>
              </w:rPr>
              <w:t>2</w:t>
            </w:r>
          </w:p>
        </w:tc>
        <w:tc>
          <w:tcPr>
            <w:cnfStyle w:val="000010000000" w:firstRow="0" w:lastRow="0" w:firstColumn="0" w:lastColumn="0" w:oddVBand="1" w:evenVBand="0" w:oddHBand="0" w:evenHBand="0" w:firstRowFirstColumn="0" w:firstRowLastColumn="0" w:lastRowFirstColumn="0" w:lastRowLastColumn="0"/>
            <w:tcW w:w="964" w:type="dxa"/>
          </w:tcPr>
          <w:p w14:paraId="4ACF044F"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5</w:t>
            </w:r>
          </w:p>
        </w:tc>
        <w:tc>
          <w:tcPr>
            <w:tcW w:w="964" w:type="dxa"/>
          </w:tcPr>
          <w:p w14:paraId="02E52345"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cnfStyle w:val="000000100000" w:firstRow="0" w:lastRow="0" w:firstColumn="0" w:lastColumn="0" w:oddVBand="0" w:evenVBand="0" w:oddHBand="1" w:evenHBand="0" w:firstRowFirstColumn="0" w:firstRowLastColumn="0" w:lastRowFirstColumn="0" w:lastRowLastColumn="0"/>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3</w:t>
            </w:r>
          </w:p>
        </w:tc>
        <w:tc>
          <w:tcPr>
            <w:cnfStyle w:val="000010000000" w:firstRow="0" w:lastRow="0" w:firstColumn="0" w:lastColumn="0" w:oddVBand="1" w:evenVBand="0" w:oddHBand="0" w:evenHBand="0" w:firstRowFirstColumn="0" w:firstRowLastColumn="0" w:lastRowFirstColumn="0" w:lastRowLastColumn="0"/>
            <w:tcW w:w="963" w:type="dxa"/>
          </w:tcPr>
          <w:p w14:paraId="2B86B601" w14:textId="77777777" w:rsidR="0077375F" w:rsidRPr="0077375F" w:rsidRDefault="0077375F" w:rsidP="0077375F">
            <w:pPr>
              <w:widowControl w:val="0"/>
              <w:suppressAutoHyphens/>
              <w:autoSpaceDE w:val="0"/>
              <w:autoSpaceDN w:val="0"/>
              <w:adjustRightInd w:val="0"/>
              <w:spacing w:after="113" w:line="250" w:lineRule="atLeast"/>
              <w:jc w:val="right"/>
              <w:textAlignment w:val="center"/>
              <w:rPr>
                <w:rFonts w:ascii="ArialMT-Light" w:hAnsi="ArialMT-Light" w:cs="ArialMT-Light"/>
                <w:color w:val="000000"/>
                <w:sz w:val="21"/>
                <w:szCs w:val="21"/>
                <w:lang w:val="en-GB" w:eastAsia="en-US"/>
              </w:rPr>
            </w:pPr>
            <w:r w:rsidRPr="0077375F">
              <w:rPr>
                <w:rFonts w:ascii="ArialMT-Light" w:hAnsi="ArialMT-Light" w:cs="ArialMT-Light"/>
                <w:color w:val="000000"/>
                <w:sz w:val="21"/>
                <w:szCs w:val="21"/>
                <w:lang w:val="en-GB" w:eastAsia="en-US"/>
              </w:rPr>
              <w:t>4</w:t>
            </w:r>
          </w:p>
        </w:tc>
      </w:tr>
    </w:tbl>
    <w:p w14:paraId="081ED464" w14:textId="77777777" w:rsidR="0077375F" w:rsidRPr="0077375F" w:rsidRDefault="0077375F" w:rsidP="0077375F">
      <w:pPr>
        <w:pStyle w:val="VEOHRCHeading2"/>
        <w:rPr>
          <w:lang w:eastAsia="en-US"/>
        </w:rPr>
      </w:pPr>
      <w:proofErr w:type="spellStart"/>
      <w:r w:rsidRPr="0077375F">
        <w:rPr>
          <w:lang w:eastAsia="en-US"/>
        </w:rPr>
        <w:lastRenderedPageBreak/>
        <w:t>Ongoing</w:t>
      </w:r>
      <w:proofErr w:type="spellEnd"/>
      <w:r w:rsidRPr="0077375F">
        <w:rPr>
          <w:lang w:eastAsia="en-US"/>
        </w:rPr>
        <w:t xml:space="preserve"> interventions</w:t>
      </w:r>
    </w:p>
    <w:p w14:paraId="21C6ABCA" w14:textId="77777777" w:rsidR="0077375F" w:rsidRPr="0077375F" w:rsidRDefault="0077375F" w:rsidP="0077375F">
      <w:pPr>
        <w:pStyle w:val="VEOHRCBodytext"/>
        <w:rPr>
          <w:lang w:eastAsia="en-US"/>
        </w:rPr>
      </w:pPr>
      <w:r w:rsidRPr="0077375F">
        <w:rPr>
          <w:lang w:eastAsia="en-US"/>
        </w:rPr>
        <w:t xml:space="preserve">The Commission intervened in one case that was </w:t>
      </w:r>
      <w:proofErr w:type="spellStart"/>
      <w:r w:rsidRPr="0077375F">
        <w:rPr>
          <w:lang w:eastAsia="en-US"/>
        </w:rPr>
        <w:t>ongoing</w:t>
      </w:r>
      <w:proofErr w:type="spellEnd"/>
      <w:r w:rsidRPr="0077375F">
        <w:rPr>
          <w:lang w:eastAsia="en-US"/>
        </w:rPr>
        <w:t xml:space="preserve"> from the 2014/15 financial </w:t>
      </w:r>
      <w:proofErr w:type="gramStart"/>
      <w:r w:rsidRPr="0077375F">
        <w:rPr>
          <w:lang w:eastAsia="en-US"/>
        </w:rPr>
        <w:t>year</w:t>
      </w:r>
      <w:proofErr w:type="gramEnd"/>
      <w:r w:rsidRPr="0077375F">
        <w:rPr>
          <w:lang w:eastAsia="en-US"/>
        </w:rPr>
        <w:t xml:space="preserve">. </w:t>
      </w:r>
    </w:p>
    <w:p w14:paraId="5DB92558"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i/>
          <w:lang w:eastAsia="en-US"/>
        </w:rPr>
        <w:t>Goode v Common Equity Housing Limited</w:t>
      </w:r>
      <w:r w:rsidRPr="0077375F">
        <w:rPr>
          <w:rFonts w:ascii="ArialMT-Medium" w:hAnsi="ArialMT-Medium" w:cs="ArialMT-Medium"/>
          <w:color w:val="000000"/>
          <w:sz w:val="26"/>
          <w:szCs w:val="26"/>
          <w:lang w:val="en-GB" w:eastAsia="en-US"/>
        </w:rPr>
        <w:t xml:space="preserve"> </w:t>
      </w:r>
      <w:r w:rsidRPr="0077375F">
        <w:rPr>
          <w:rStyle w:val="VEOHRCBodytextChar"/>
          <w:lang w:eastAsia="en-US"/>
        </w:rPr>
        <w:t>(Human Rights) [2015] VCAT 269</w:t>
      </w:r>
    </w:p>
    <w:p w14:paraId="22DA8D51" w14:textId="77777777" w:rsidR="0077375F" w:rsidRPr="0077375F" w:rsidRDefault="0077375F" w:rsidP="0077375F">
      <w:pPr>
        <w:pStyle w:val="VEOHRCBodytext"/>
        <w:rPr>
          <w:lang w:eastAsia="en-US"/>
        </w:rPr>
      </w:pPr>
      <w:r w:rsidRPr="0077375F">
        <w:rPr>
          <w:lang w:eastAsia="en-US"/>
        </w:rPr>
        <w:t>The Commission intervened in this VCAT proceeding because there was a significant Charter question as to whether Common Equity Housing Limited (a registered community housing association) was a public authority bound by the Charter’s obligations. The Commission intervened to submit that it was.</w:t>
      </w:r>
    </w:p>
    <w:p w14:paraId="356C28EE"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decision confirmed that Common Equity Housing Limited is a public authority under the Charter when it provides affordable social or community housing for low-income tenants and when this provision is regulated under the </w:t>
      </w:r>
      <w:r w:rsidRPr="0077375F">
        <w:rPr>
          <w:rStyle w:val="VEOHRCBodytextChar"/>
          <w:i/>
          <w:lang w:eastAsia="en-US"/>
        </w:rPr>
        <w:t>Housing Act 1983</w:t>
      </w:r>
      <w:r w:rsidRPr="0077375F">
        <w:rPr>
          <w:rStyle w:val="VEOHRCBodytextChar"/>
          <w:lang w:eastAsia="en-US"/>
        </w:rPr>
        <w:t>.</w:t>
      </w:r>
    </w:p>
    <w:p w14:paraId="116AF766" w14:textId="77777777" w:rsidR="0077375F" w:rsidRPr="0077375F" w:rsidRDefault="0077375F" w:rsidP="0077375F">
      <w:pPr>
        <w:pStyle w:val="VEOHRCBodytext"/>
        <w:rPr>
          <w:lang w:eastAsia="en-US"/>
        </w:rPr>
      </w:pPr>
      <w:r w:rsidRPr="0077375F">
        <w:rPr>
          <w:lang w:eastAsia="en-US"/>
        </w:rPr>
        <w:t xml:space="preserve">The decision will have a broad impact on the human rights of Victorians, because other community housing associations regulated under the Housing Act will need to consider their Charter obligations, as they are likely to be public authorities under the Charter when they provide social housing. </w:t>
      </w:r>
    </w:p>
    <w:p w14:paraId="4FA1BBBA" w14:textId="77777777" w:rsidR="0077375F" w:rsidRPr="0077375F" w:rsidRDefault="0077375F" w:rsidP="0077375F">
      <w:pPr>
        <w:pStyle w:val="VEOHRCHeading2"/>
        <w:rPr>
          <w:lang w:eastAsia="en-US"/>
        </w:rPr>
      </w:pPr>
      <w:r w:rsidRPr="0077375F">
        <w:rPr>
          <w:lang w:eastAsia="en-US"/>
        </w:rPr>
        <w:t>Interventions under the Equal Opportunity Act</w:t>
      </w:r>
    </w:p>
    <w:p w14:paraId="0AABA6D7" w14:textId="77777777" w:rsidR="0077375F" w:rsidRPr="0077375F" w:rsidRDefault="0077375F" w:rsidP="0077375F">
      <w:pPr>
        <w:pStyle w:val="VEOHRCBodytext"/>
        <w:rPr>
          <w:rFonts w:ascii="ArialMT-Medium" w:hAnsi="ArialMT-Medium" w:cs="ArialMT-Medium"/>
          <w:lang w:eastAsia="en-US"/>
        </w:rPr>
      </w:pPr>
      <w:r w:rsidRPr="0077375F">
        <w:rPr>
          <w:lang w:eastAsia="en-US"/>
        </w:rPr>
        <w:t>Under sections 159 and 160 of the Equal Opportunity Act, the Commission may seek leave to intervene or appear as amicus curiae in proceedings before a court or tribunal in cases that raise issues of equality, discrimination, sexual harassment or victimisation. This function is an integral part of the Commission’s role to advocate for the objectives of the Act and to be of assistance to the court or tribunal.</w:t>
      </w:r>
    </w:p>
    <w:p w14:paraId="762C3887" w14:textId="77777777" w:rsidR="0077375F" w:rsidRPr="0077375F" w:rsidRDefault="0077375F" w:rsidP="0077375F">
      <w:pPr>
        <w:pStyle w:val="VEOHRCHeading3"/>
        <w:rPr>
          <w:lang w:eastAsia="en-US"/>
        </w:rPr>
      </w:pPr>
      <w:r w:rsidRPr="0077375F">
        <w:rPr>
          <w:lang w:eastAsia="en-US"/>
        </w:rPr>
        <w:t xml:space="preserve">Equal Opportunity Act exemption applications </w:t>
      </w:r>
    </w:p>
    <w:p w14:paraId="19819C9D"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Under certain circumstances an organisation or entity will be allowed an exemption to undertake otherwise discriminatory conduct, for a period of up to five years.</w:t>
      </w:r>
      <w:r w:rsidRPr="0077375F">
        <w:rPr>
          <w:rFonts w:ascii="ArialMT-Light" w:hAnsi="ArialMT-Light" w:cs="ArialMT-Light"/>
          <w:color w:val="000000"/>
          <w:sz w:val="21"/>
          <w:szCs w:val="21"/>
          <w:vertAlign w:val="superscript"/>
          <w:lang w:val="en-GB" w:eastAsia="en-US"/>
        </w:rPr>
        <w:footnoteReference w:id="3"/>
      </w:r>
      <w:r w:rsidRPr="0077375F">
        <w:rPr>
          <w:rStyle w:val="VEOHRCBodytextChar"/>
          <w:lang w:eastAsia="en-US"/>
        </w:rPr>
        <w:t xml:space="preserve"> Exemption applications will only be granted by VCAT where:</w:t>
      </w:r>
    </w:p>
    <w:p w14:paraId="1C61F965" w14:textId="73E13A7A" w:rsidR="0077375F" w:rsidRPr="0077375F" w:rsidRDefault="0077375F" w:rsidP="0077375F">
      <w:pPr>
        <w:pStyle w:val="VEOHRCListBullet"/>
        <w:rPr>
          <w:lang w:eastAsia="en-US"/>
        </w:rPr>
      </w:pPr>
      <w:proofErr w:type="gramStart"/>
      <w:r w:rsidRPr="0077375F">
        <w:rPr>
          <w:lang w:eastAsia="en-US"/>
        </w:rPr>
        <w:t>the</w:t>
      </w:r>
      <w:proofErr w:type="gramEnd"/>
      <w:r w:rsidRPr="0077375F">
        <w:rPr>
          <w:lang w:eastAsia="en-US"/>
        </w:rPr>
        <w:t xml:space="preserve"> exemption is necessary because the conduct would amount to unlawful discrimination, and no other exception</w:t>
      </w:r>
      <w:r w:rsidR="001B0C5C">
        <w:rPr>
          <w:lang w:eastAsia="en-US"/>
        </w:rPr>
        <w:t xml:space="preserve"> </w:t>
      </w:r>
      <w:r w:rsidRPr="0077375F">
        <w:rPr>
          <w:lang w:eastAsia="en-US"/>
        </w:rPr>
        <w:t>or exemption applies to the conduct</w:t>
      </w:r>
    </w:p>
    <w:p w14:paraId="75A960AB"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Fonts w:ascii="ArialMT-Light" w:hAnsi="ArialMT-Light" w:cs="ArialMT-Light"/>
          <w:color w:val="000000"/>
          <w:sz w:val="21"/>
          <w:szCs w:val="21"/>
          <w:vertAlign w:val="superscript"/>
          <w:lang w:val="en-GB" w:eastAsia="en-US"/>
        </w:rPr>
      </w:pPr>
      <w:proofErr w:type="gramStart"/>
      <w:r w:rsidRPr="0077375F">
        <w:rPr>
          <w:rStyle w:val="VEOHRCBodytextChar"/>
          <w:lang w:eastAsia="en-US"/>
        </w:rPr>
        <w:t>the</w:t>
      </w:r>
      <w:proofErr w:type="gramEnd"/>
      <w:r w:rsidRPr="0077375F">
        <w:rPr>
          <w:rStyle w:val="VEOHRCBodytextChar"/>
          <w:lang w:eastAsia="en-US"/>
        </w:rPr>
        <w:t xml:space="preserve"> proposed conduct is a reasonable limitation on the right to equality in the Charter.</w:t>
      </w:r>
      <w:r w:rsidRPr="0077375F">
        <w:rPr>
          <w:rFonts w:ascii="ArialMT-Light" w:hAnsi="ArialMT-Light" w:cs="ArialMT-Light"/>
          <w:color w:val="000000"/>
          <w:sz w:val="21"/>
          <w:szCs w:val="21"/>
          <w:vertAlign w:val="superscript"/>
          <w:lang w:val="en-GB" w:eastAsia="en-US"/>
        </w:rPr>
        <w:footnoteReference w:id="4"/>
      </w:r>
    </w:p>
    <w:p w14:paraId="7DEE7D2C" w14:textId="77777777" w:rsidR="0077375F" w:rsidRPr="0077375F" w:rsidRDefault="0077375F" w:rsidP="0077375F">
      <w:pPr>
        <w:pStyle w:val="VEOHRCBodytext"/>
        <w:rPr>
          <w:lang w:eastAsia="en-US"/>
        </w:rPr>
      </w:pPr>
      <w:r w:rsidRPr="0077375F">
        <w:rPr>
          <w:lang w:eastAsia="en-US"/>
        </w:rPr>
        <w:t xml:space="preserve">The Act states that the Commission must be notified of all applications for exemption (including renewals and revocation). </w:t>
      </w:r>
    </w:p>
    <w:p w14:paraId="41450755" w14:textId="20B57511" w:rsidR="0077375F" w:rsidRPr="0077375F" w:rsidRDefault="0077375F" w:rsidP="0077375F">
      <w:pPr>
        <w:pStyle w:val="VEOHRCBodytext"/>
        <w:rPr>
          <w:lang w:eastAsia="en-US"/>
        </w:rPr>
      </w:pPr>
      <w:r w:rsidRPr="0077375F">
        <w:rPr>
          <w:lang w:eastAsia="en-US"/>
        </w:rPr>
        <w:t>In 2015/16 the Commission was notified of</w:t>
      </w:r>
      <w:r w:rsidR="001B0C5C">
        <w:rPr>
          <w:lang w:eastAsia="en-US"/>
        </w:rPr>
        <w:t xml:space="preserve"> </w:t>
      </w:r>
      <w:r w:rsidRPr="0077375F">
        <w:rPr>
          <w:lang w:eastAsia="en-US"/>
        </w:rPr>
        <w:t>30 exemption applications to VCAT under the Equal Opportunity Act and has intervened in</w:t>
      </w:r>
      <w:r w:rsidR="001B0C5C">
        <w:rPr>
          <w:lang w:eastAsia="en-US"/>
        </w:rPr>
        <w:t xml:space="preserve"> </w:t>
      </w:r>
      <w:r w:rsidRPr="0077375F">
        <w:rPr>
          <w:lang w:eastAsia="en-US"/>
        </w:rPr>
        <w:t>two exemption applications:</w:t>
      </w:r>
    </w:p>
    <w:p w14:paraId="10371595"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lang w:eastAsia="en-US"/>
        </w:rPr>
      </w:pPr>
      <w:r w:rsidRPr="0077375F">
        <w:rPr>
          <w:rStyle w:val="VEOHRCBodytextChar"/>
          <w:lang w:eastAsia="en-US"/>
        </w:rPr>
        <w:t xml:space="preserve">Judo Federation of Victoria: On the interpretation of the provisions relating to discrimination in sporting activities and whether judo </w:t>
      </w:r>
      <w:proofErr w:type="spellStart"/>
      <w:r w:rsidRPr="0077375F">
        <w:rPr>
          <w:rStyle w:val="VEOHRCBodytextChar"/>
          <w:lang w:eastAsia="en-US"/>
        </w:rPr>
        <w:t>gradings</w:t>
      </w:r>
      <w:proofErr w:type="spellEnd"/>
      <w:r w:rsidRPr="0077375F">
        <w:rPr>
          <w:rStyle w:val="VEOHRCBodytextChar"/>
          <w:lang w:eastAsia="en-US"/>
        </w:rPr>
        <w:t xml:space="preserve"> that have age-based criteria are a ‘competitive sporting activity’ for the purposes of section 72(2)(b) allowing discrimination by restricting participation on the basis of age.</w:t>
      </w:r>
    </w:p>
    <w:p w14:paraId="39D3B57C" w14:textId="77777777" w:rsid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lang w:eastAsia="en-US"/>
        </w:rPr>
      </w:pPr>
      <w:r w:rsidRPr="0077375F">
        <w:rPr>
          <w:rStyle w:val="VEOHRCBodytextChar"/>
          <w:lang w:eastAsia="en-US"/>
        </w:rPr>
        <w:t xml:space="preserve">Waite Group Pty Ltd: On the interpretation of section 12 of the Act relating to special measures and the criteria required to show that specific conduct, in this case relating to the recruitment of women into executive and leadership positions, is indeed a special measure under the Act. A decision in this case was handed down on 28 July 2016, and more information on this can be found on the </w:t>
      </w:r>
      <w:r w:rsidRPr="0077375F">
        <w:rPr>
          <w:rStyle w:val="VEOHRCBodytextChar"/>
          <w:lang w:eastAsia="en-US"/>
        </w:rPr>
        <w:lastRenderedPageBreak/>
        <w:t xml:space="preserve">Commission’s website, </w:t>
      </w:r>
      <w:r w:rsidRPr="0077375F">
        <w:rPr>
          <w:rStyle w:val="VEOHRCURLChar"/>
          <w:lang w:val="en-GB" w:eastAsia="en-US"/>
        </w:rPr>
        <w:t>humanrightscommission.vic.gov.au</w:t>
      </w:r>
      <w:r w:rsidRPr="0077375F">
        <w:rPr>
          <w:rStyle w:val="VEOHRCBodytextChar"/>
          <w:lang w:eastAsia="en-US"/>
        </w:rPr>
        <w:t xml:space="preserve">. </w:t>
      </w:r>
    </w:p>
    <w:p w14:paraId="0DF5E359" w14:textId="6CD81CBF" w:rsidR="0077375F" w:rsidRPr="0077375F" w:rsidRDefault="0077375F" w:rsidP="0077375F">
      <w:pPr>
        <w:pStyle w:val="VEOHRCBodytext"/>
        <w:rPr>
          <w:lang w:eastAsia="en-US"/>
        </w:rPr>
      </w:pPr>
      <w:r w:rsidRPr="0077375F">
        <w:rPr>
          <w:lang w:eastAsia="en-US"/>
        </w:rPr>
        <w:t xml:space="preserve">The Commission also had two </w:t>
      </w:r>
      <w:proofErr w:type="spellStart"/>
      <w:r w:rsidRPr="0077375F">
        <w:rPr>
          <w:lang w:eastAsia="en-US"/>
        </w:rPr>
        <w:t>ongoing</w:t>
      </w:r>
      <w:proofErr w:type="spellEnd"/>
      <w:r w:rsidRPr="0077375F">
        <w:rPr>
          <w:lang w:eastAsia="en-US"/>
        </w:rPr>
        <w:t xml:space="preserve"> interventions in exemption matters from the previous financial year:</w:t>
      </w:r>
    </w:p>
    <w:p w14:paraId="2D1F9424"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lang w:eastAsia="en-US"/>
        </w:rPr>
      </w:pPr>
      <w:r w:rsidRPr="0077375F">
        <w:rPr>
          <w:rStyle w:val="VEOHRCBodytextChar"/>
          <w:lang w:eastAsia="en-US"/>
        </w:rPr>
        <w:t xml:space="preserve">Bowls Victoria, Albert Park Bowls Club </w:t>
      </w:r>
      <w:proofErr w:type="spellStart"/>
      <w:r w:rsidRPr="0077375F">
        <w:rPr>
          <w:rStyle w:val="VEOHRCBodytextChar"/>
          <w:lang w:eastAsia="en-US"/>
        </w:rPr>
        <w:t>Inc</w:t>
      </w:r>
      <w:proofErr w:type="spellEnd"/>
      <w:r w:rsidRPr="0077375F">
        <w:rPr>
          <w:rStyle w:val="VEOHRCBodytextChar"/>
          <w:lang w:eastAsia="en-US"/>
        </w:rPr>
        <w:t xml:space="preserve">: On the interpretation of the provisions relating to discrimination in sporting activities, specifically the exception relating to the exclusion of competitors on the basis of sex because it is necessary for progression to an elite level competition, or because the restriction intends to facilitate participation in the sporting activity by people of a particular sex. This matter is still </w:t>
      </w:r>
      <w:proofErr w:type="spellStart"/>
      <w:r w:rsidRPr="0077375F">
        <w:rPr>
          <w:rStyle w:val="VEOHRCBodytextChar"/>
          <w:lang w:eastAsia="en-US"/>
        </w:rPr>
        <w:t>ongoing</w:t>
      </w:r>
      <w:proofErr w:type="spellEnd"/>
      <w:r w:rsidRPr="0077375F">
        <w:rPr>
          <w:rStyle w:val="VEOHRCBodytextChar"/>
          <w:lang w:eastAsia="en-US"/>
        </w:rPr>
        <w:t>.</w:t>
      </w:r>
    </w:p>
    <w:p w14:paraId="2F82F582" w14:textId="77777777" w:rsidR="0077375F" w:rsidRPr="0077375F" w:rsidRDefault="0077375F" w:rsidP="0077375F">
      <w:pPr>
        <w:widowControl w:val="0"/>
        <w:numPr>
          <w:ilvl w:val="0"/>
          <w:numId w:val="14"/>
        </w:numPr>
        <w:tabs>
          <w:tab w:val="clear" w:pos="360"/>
          <w:tab w:val="left" w:pos="255"/>
        </w:tabs>
        <w:suppressAutoHyphens/>
        <w:autoSpaceDE w:val="0"/>
        <w:autoSpaceDN w:val="0"/>
        <w:adjustRightInd w:val="0"/>
        <w:spacing w:after="85" w:line="250" w:lineRule="atLeast"/>
        <w:ind w:left="255" w:hanging="255"/>
        <w:textAlignment w:val="center"/>
        <w:rPr>
          <w:rStyle w:val="VEOHRCBodytextChar"/>
          <w:lang w:eastAsia="en-US"/>
        </w:rPr>
      </w:pPr>
      <w:proofErr w:type="spellStart"/>
      <w:r w:rsidRPr="0077375F">
        <w:rPr>
          <w:rStyle w:val="VEOHRCBodytextChar"/>
          <w:lang w:eastAsia="en-US"/>
        </w:rPr>
        <w:t>Harkaway</w:t>
      </w:r>
      <w:proofErr w:type="spellEnd"/>
      <w:r w:rsidRPr="0077375F">
        <w:rPr>
          <w:rStyle w:val="VEOHRCBodytextChar"/>
          <w:lang w:eastAsia="en-US"/>
        </w:rPr>
        <w:t xml:space="preserve"> Hall: On the issue of age discrimination in provision of services, and particularly on the issue of the conditions that VCAT could impose in granting an exemption allowing age restrictions on the use of a community hall. The exemption in this application was granted, but with conditions. </w:t>
      </w:r>
    </w:p>
    <w:p w14:paraId="4E113A31" w14:textId="77777777" w:rsidR="0077375F" w:rsidRPr="0077375F" w:rsidRDefault="0077375F" w:rsidP="0077375F">
      <w:pPr>
        <w:pStyle w:val="VEOHRCHeading3"/>
        <w:rPr>
          <w:lang w:eastAsia="en-US"/>
        </w:rPr>
      </w:pPr>
      <w:r w:rsidRPr="0077375F">
        <w:rPr>
          <w:lang w:eastAsia="en-US"/>
        </w:rPr>
        <w:t xml:space="preserve">Substantive Equal Opportunity Act proceedings </w:t>
      </w:r>
    </w:p>
    <w:p w14:paraId="05F24BF6"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In 2015/16 the Commission intervened in </w:t>
      </w:r>
      <w:r w:rsidRPr="0077375F">
        <w:rPr>
          <w:rStyle w:val="VEOHRCBodytextChar"/>
          <w:i/>
          <w:lang w:eastAsia="en-US"/>
        </w:rPr>
        <w:t xml:space="preserve">Collins v Smith </w:t>
      </w:r>
      <w:r w:rsidRPr="0077375F">
        <w:rPr>
          <w:rStyle w:val="VEOHRCBodytextChar"/>
          <w:lang w:eastAsia="en-US"/>
        </w:rPr>
        <w:t>(Human Rights) [2015] VCAT 1992. The Tribunal had already made a determination that the applicant’s complaints of sexual harassment were proven, and that the respondent had breached sections 92 and 93 of the Act. VCAT allowed the parties to provide submissions on how much compensation should be awarded, and whether costs ought to be awarded.</w:t>
      </w:r>
    </w:p>
    <w:p w14:paraId="5FF2DBAF" w14:textId="77777777" w:rsidR="0077375F" w:rsidRDefault="0077375F" w:rsidP="0077375F">
      <w:pPr>
        <w:pStyle w:val="VEOHRCBodytext"/>
        <w:rPr>
          <w:lang w:eastAsia="en-US"/>
        </w:rPr>
      </w:pPr>
      <w:r w:rsidRPr="0077375F">
        <w:rPr>
          <w:lang w:eastAsia="en-US"/>
        </w:rPr>
        <w:t>The Commission made submissions addressing two issues: the principles for calculating compensation; and the issue of whether the workers’ compensation laws fetter the power of VCAT to make an award of damages under the Equal Opportunity Act.</w:t>
      </w:r>
    </w:p>
    <w:p w14:paraId="17037450" w14:textId="09E637AF" w:rsidR="0077375F" w:rsidRPr="0077375F" w:rsidRDefault="0077375F" w:rsidP="0077375F">
      <w:pPr>
        <w:pStyle w:val="VEOHRCBodytext"/>
        <w:rPr>
          <w:lang w:eastAsia="en-US"/>
        </w:rPr>
      </w:pPr>
      <w:r w:rsidRPr="0077375F">
        <w:rPr>
          <w:lang w:eastAsia="en-US"/>
        </w:rPr>
        <w:t>The respondent argued that workers’ compensation laws fettered the ability of VCAT to award compensation under the Act and that it could only make an award in relation to hurt, humiliation and distress (but not in relation to financial loss caused by the sexual harassment). The Commission disagreed and submitted that the Act was capable of operating harmoniously with workers’ compensation laws. It argued that it covered a different field to those laws and that it should be used by the applicant to seek remedies for her sexual harassment within the scope provided by the Act, including financial loss.</w:t>
      </w:r>
    </w:p>
    <w:p w14:paraId="7A91E58B" w14:textId="77777777" w:rsidR="0077375F" w:rsidRPr="0077375F" w:rsidRDefault="0077375F" w:rsidP="0077375F">
      <w:pPr>
        <w:pStyle w:val="VEOHRCBodytext"/>
        <w:rPr>
          <w:lang w:eastAsia="en-US"/>
        </w:rPr>
      </w:pPr>
      <w:r w:rsidRPr="0077375F">
        <w:rPr>
          <w:lang w:eastAsia="en-US"/>
        </w:rPr>
        <w:t xml:space="preserve">The matter was determined ‘on the papers’ (that is, without a hearing and based only on the written submissions provided by the parties). Judge Jenkins agreed with the Commission’s submissions and applied them, in relation to the interaction of the Act and workers’ compensation legislation. The judge was also guided by the Commission’s submissions in respect of damages which included that VCAT ought to have regard to contemporary community standards when determining the amount of compensation payable. </w:t>
      </w:r>
    </w:p>
    <w:p w14:paraId="4AD55CC5" w14:textId="27CECB35" w:rsidR="0077375F" w:rsidRDefault="0077375F" w:rsidP="0077375F">
      <w:pPr>
        <w:pStyle w:val="VEOHRCBodytext"/>
        <w:rPr>
          <w:lang w:eastAsia="en-US"/>
        </w:rPr>
      </w:pPr>
      <w:r w:rsidRPr="0077375F">
        <w:rPr>
          <w:lang w:eastAsia="en-US"/>
        </w:rPr>
        <w:t>The applicant was awarded $332,280. This is was the highest award of general damages by VCAT in the past 15 years for a claim under the Act. The award of aggravated damages was also significant, as this type of compensation</w:t>
      </w:r>
      <w:r w:rsidR="001B0C5C">
        <w:rPr>
          <w:lang w:eastAsia="en-US"/>
        </w:rPr>
        <w:t xml:space="preserve"> </w:t>
      </w:r>
      <w:r w:rsidRPr="0077375F">
        <w:rPr>
          <w:lang w:eastAsia="en-US"/>
        </w:rPr>
        <w:t>is not often awarded.</w:t>
      </w:r>
    </w:p>
    <w:p w14:paraId="730BBC03" w14:textId="5CDAA413" w:rsidR="0077375F" w:rsidRPr="0077375F" w:rsidRDefault="0077375F" w:rsidP="00EF2338">
      <w:pPr>
        <w:pStyle w:val="VEOHRCHeading1"/>
        <w:rPr>
          <w:lang w:eastAsia="en-US"/>
        </w:rPr>
      </w:pPr>
      <w:r w:rsidRPr="0077375F">
        <w:rPr>
          <w:lang w:eastAsia="en-US"/>
        </w:rPr>
        <w:lastRenderedPageBreak/>
        <w:t>Submissions</w:t>
      </w:r>
    </w:p>
    <w:p w14:paraId="2438B4BB" w14:textId="77777777" w:rsidR="0077375F" w:rsidRPr="0077375F" w:rsidRDefault="0077375F" w:rsidP="0077375F">
      <w:pPr>
        <w:pStyle w:val="VEOHRCBodytext"/>
        <w:rPr>
          <w:lang w:eastAsia="en-US"/>
        </w:rPr>
      </w:pPr>
      <w:r w:rsidRPr="0077375F">
        <w:rPr>
          <w:lang w:eastAsia="en-US"/>
        </w:rPr>
        <w:t>The Commission has a role in commenting on proposed amendments to and the development of law and policy to ensure the principles of equality and human rights are prioritised. In 2015/16 the Commission made submissions to the following inquiries, reviews and committees:</w:t>
      </w:r>
    </w:p>
    <w:p w14:paraId="2E7A244E" w14:textId="77777777" w:rsidR="0077375F" w:rsidRPr="0077375F" w:rsidRDefault="0077375F" w:rsidP="0077375F">
      <w:pPr>
        <w:pStyle w:val="VEOHRCListBullet"/>
        <w:rPr>
          <w:lang w:eastAsia="en-US"/>
        </w:rPr>
      </w:pPr>
      <w:r w:rsidRPr="0077375F">
        <w:rPr>
          <w:lang w:eastAsia="en-US"/>
        </w:rPr>
        <w:t>Submission to the Inquiry into the Human Rights Amendment Bill 2015 (ACT) (July 2015)</w:t>
      </w:r>
    </w:p>
    <w:p w14:paraId="1ECF8AEC" w14:textId="77777777" w:rsidR="0077375F" w:rsidRPr="0077375F" w:rsidRDefault="0077375F" w:rsidP="0077375F">
      <w:pPr>
        <w:pStyle w:val="VEOHRCListBullet"/>
        <w:rPr>
          <w:lang w:eastAsia="en-US"/>
        </w:rPr>
      </w:pPr>
      <w:r w:rsidRPr="0077375F">
        <w:rPr>
          <w:lang w:eastAsia="en-US"/>
        </w:rPr>
        <w:t>Submission to the Expert Advisory Group on discrimination, bullying and sexual harassment Advising the Royal Australasian College of Surgeons (August 2015)</w:t>
      </w:r>
    </w:p>
    <w:p w14:paraId="1B113742" w14:textId="671CAD7F" w:rsidR="0077375F" w:rsidRPr="0077375F" w:rsidRDefault="0077375F" w:rsidP="0077375F">
      <w:pPr>
        <w:pStyle w:val="VEOHRCListBullet"/>
        <w:rPr>
          <w:lang w:eastAsia="en-US"/>
        </w:rPr>
      </w:pPr>
      <w:r w:rsidRPr="0077375F">
        <w:rPr>
          <w:lang w:eastAsia="en-US"/>
        </w:rPr>
        <w:t>Submission to the Scrutiny of Acts and Regulations Committee on the Public Health and Wellbeing Amendment (Safe Access)</w:t>
      </w:r>
      <w:r w:rsidR="001B0C5C">
        <w:rPr>
          <w:lang w:eastAsia="en-US"/>
        </w:rPr>
        <w:t xml:space="preserve"> </w:t>
      </w:r>
      <w:r w:rsidRPr="0077375F">
        <w:rPr>
          <w:lang w:eastAsia="en-US"/>
        </w:rPr>
        <w:t xml:space="preserve">Bill 2015 (August 2015) </w:t>
      </w:r>
    </w:p>
    <w:p w14:paraId="7E81A94D" w14:textId="77777777" w:rsidR="0077375F" w:rsidRPr="0077375F" w:rsidRDefault="0077375F" w:rsidP="0077375F">
      <w:pPr>
        <w:pStyle w:val="VEOHRCListBullet"/>
        <w:rPr>
          <w:lang w:eastAsia="en-US"/>
        </w:rPr>
      </w:pPr>
      <w:r w:rsidRPr="0077375F">
        <w:rPr>
          <w:lang w:eastAsia="en-US"/>
        </w:rPr>
        <w:t>The Commission led a submission to the Senate Committee Inquiry into current levels of access and attainment for students with disability in the school system on behalf of the Australian Council of Human Rights Agencies (August 2015)</w:t>
      </w:r>
    </w:p>
    <w:p w14:paraId="4F48F65E" w14:textId="68387A29" w:rsidR="0077375F" w:rsidRPr="0077375F" w:rsidRDefault="0077375F" w:rsidP="0077375F">
      <w:pPr>
        <w:pStyle w:val="VEOHRCListBullet"/>
        <w:rPr>
          <w:lang w:eastAsia="en-US"/>
        </w:rPr>
      </w:pPr>
      <w:r w:rsidRPr="0077375F">
        <w:rPr>
          <w:lang w:eastAsia="en-US"/>
        </w:rPr>
        <w:t>Submission to the Victorian Law Reform Commission review on the role of victims of crime in the criminal trial process</w:t>
      </w:r>
      <w:r w:rsidR="001B0C5C">
        <w:rPr>
          <w:lang w:eastAsia="en-US"/>
        </w:rPr>
        <w:t xml:space="preserve"> </w:t>
      </w:r>
      <w:r w:rsidRPr="0077375F">
        <w:rPr>
          <w:lang w:eastAsia="en-US"/>
        </w:rPr>
        <w:t>(September 2015)</w:t>
      </w:r>
    </w:p>
    <w:p w14:paraId="3D2056AE" w14:textId="77777777" w:rsidR="0077375F" w:rsidRPr="0077375F" w:rsidRDefault="0077375F" w:rsidP="0077375F">
      <w:pPr>
        <w:pStyle w:val="VEOHRCListBullet"/>
        <w:rPr>
          <w:lang w:eastAsia="en-US"/>
        </w:rPr>
      </w:pPr>
      <w:r w:rsidRPr="0077375F">
        <w:rPr>
          <w:lang w:eastAsia="en-US"/>
        </w:rPr>
        <w:t>Willing to Work: Submission to the National Inquiry into Employment Discrimination against Older Australians and Australians with Disability – Older people (December 2015)</w:t>
      </w:r>
    </w:p>
    <w:p w14:paraId="1CAA2595" w14:textId="4FF0852D" w:rsidR="0077375F" w:rsidRPr="0077375F" w:rsidRDefault="0077375F" w:rsidP="0077375F">
      <w:pPr>
        <w:pStyle w:val="VEOHRCListBullet"/>
        <w:rPr>
          <w:lang w:eastAsia="en-US"/>
        </w:rPr>
      </w:pPr>
      <w:r w:rsidRPr="0077375F">
        <w:rPr>
          <w:lang w:eastAsia="en-US"/>
        </w:rPr>
        <w:t>Willing to Work: Submission to the National Inquiry into Employment Discrimination against Older Australians and Australians with Disability – People with disabilities</w:t>
      </w:r>
      <w:r w:rsidR="001B0C5C">
        <w:rPr>
          <w:lang w:eastAsia="en-US"/>
        </w:rPr>
        <w:t xml:space="preserve"> </w:t>
      </w:r>
      <w:r w:rsidRPr="0077375F">
        <w:rPr>
          <w:lang w:eastAsia="en-US"/>
        </w:rPr>
        <w:t>(December 2015)</w:t>
      </w:r>
    </w:p>
    <w:p w14:paraId="46708CD6" w14:textId="77777777" w:rsidR="0077375F" w:rsidRPr="0077375F" w:rsidRDefault="0077375F" w:rsidP="0077375F">
      <w:pPr>
        <w:pStyle w:val="VEOHRCListBullet"/>
        <w:rPr>
          <w:lang w:eastAsia="en-US"/>
        </w:rPr>
      </w:pPr>
      <w:r w:rsidRPr="0077375F">
        <w:rPr>
          <w:lang w:eastAsia="en-US"/>
        </w:rPr>
        <w:t>Submission to Improving transport for Victorians with limited mobility: A better Multi Purpose Taxi Program Discussion Paper (December 2015)</w:t>
      </w:r>
    </w:p>
    <w:p w14:paraId="66D7C10F" w14:textId="68F9FD0F" w:rsidR="0077375F" w:rsidRPr="0077375F" w:rsidRDefault="0077375F" w:rsidP="0077375F">
      <w:pPr>
        <w:pStyle w:val="VEOHRCListBullet"/>
        <w:rPr>
          <w:lang w:eastAsia="en-US"/>
        </w:rPr>
      </w:pPr>
      <w:r w:rsidRPr="0077375F">
        <w:rPr>
          <w:lang w:eastAsia="en-US"/>
        </w:rPr>
        <w:t>Submission to the Queensland Legal Affairs and Community Safety Committee’s inquiry into a Human Rights Act in Queensland</w:t>
      </w:r>
      <w:r w:rsidR="001B0C5C">
        <w:rPr>
          <w:lang w:eastAsia="en-US"/>
        </w:rPr>
        <w:t xml:space="preserve"> </w:t>
      </w:r>
      <w:r w:rsidRPr="0077375F">
        <w:rPr>
          <w:lang w:eastAsia="en-US"/>
        </w:rPr>
        <w:t>(April 2016)</w:t>
      </w:r>
    </w:p>
    <w:p w14:paraId="7E165C0C" w14:textId="6E9988B0" w:rsidR="0077375F" w:rsidRPr="0077375F" w:rsidRDefault="0077375F" w:rsidP="0077375F">
      <w:pPr>
        <w:pStyle w:val="VEOHRCListBullet"/>
        <w:rPr>
          <w:lang w:eastAsia="en-US"/>
        </w:rPr>
      </w:pPr>
      <w:r w:rsidRPr="0077375F">
        <w:rPr>
          <w:lang w:eastAsia="en-US"/>
        </w:rPr>
        <w:t>Submission to the Victorian Government Gender Equality Strategy Consultation</w:t>
      </w:r>
      <w:r w:rsidR="001B0C5C">
        <w:rPr>
          <w:lang w:eastAsia="en-US"/>
        </w:rPr>
        <w:t xml:space="preserve"> </w:t>
      </w:r>
      <w:r w:rsidRPr="0077375F">
        <w:rPr>
          <w:lang w:eastAsia="en-US"/>
        </w:rPr>
        <w:t xml:space="preserve">(April 2016) </w:t>
      </w:r>
    </w:p>
    <w:p w14:paraId="2B76436E" w14:textId="77777777" w:rsidR="0077375F" w:rsidRDefault="0077375F" w:rsidP="0077375F">
      <w:pPr>
        <w:pStyle w:val="VEOHRCListBullet"/>
        <w:rPr>
          <w:lang w:eastAsia="en-US"/>
        </w:rPr>
      </w:pPr>
      <w:r w:rsidRPr="0077375F">
        <w:rPr>
          <w:lang w:eastAsia="en-US"/>
        </w:rPr>
        <w:t>Submission to Victorian Government Gender Equality Strategy (April 2016)</w:t>
      </w:r>
    </w:p>
    <w:p w14:paraId="47C33CDE" w14:textId="77777777" w:rsidR="0077375F" w:rsidRPr="0077375F" w:rsidRDefault="0077375F" w:rsidP="00EF2338">
      <w:pPr>
        <w:pStyle w:val="VEOHRCHeading1"/>
        <w:rPr>
          <w:lang w:eastAsia="en-US"/>
        </w:rPr>
      </w:pPr>
      <w:r w:rsidRPr="0077375F">
        <w:rPr>
          <w:lang w:eastAsia="en-US"/>
        </w:rPr>
        <w:lastRenderedPageBreak/>
        <w:t>Compliance reporting</w:t>
      </w:r>
    </w:p>
    <w:p w14:paraId="2802E8C4" w14:textId="77777777" w:rsidR="0077375F" w:rsidRPr="0077375F" w:rsidRDefault="0077375F" w:rsidP="0077375F">
      <w:pPr>
        <w:pStyle w:val="VEOHRCHeading2"/>
        <w:rPr>
          <w:lang w:eastAsia="en-US"/>
        </w:rPr>
      </w:pPr>
      <w:r w:rsidRPr="0077375F">
        <w:rPr>
          <w:lang w:eastAsia="en-US"/>
        </w:rPr>
        <w:t>Attestation of compliance with the Ministerial Standing Direction 4.5.5 ñ Risk Management Framework and Processes</w:t>
      </w:r>
    </w:p>
    <w:p w14:paraId="7A8C592E" w14:textId="77777777" w:rsid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I, Kristen Hilton, Commissioner of the Victorian Equal Opportunity and Human Rights Commission, certify that the Commission has complied with the </w:t>
      </w:r>
      <w:r w:rsidRPr="0077375F">
        <w:rPr>
          <w:rStyle w:val="VEOHRCBodytextChar"/>
          <w:i/>
          <w:lang w:eastAsia="en-US"/>
        </w:rPr>
        <w:t>Ministerial Standing Direction 4.5.5 – Risk Management Framework and Processes</w:t>
      </w:r>
      <w:r w:rsidRPr="0077375F">
        <w:rPr>
          <w:rStyle w:val="VEOHRCBodytextChar"/>
          <w:lang w:eastAsia="en-US"/>
        </w:rPr>
        <w:t>.</w:t>
      </w:r>
    </w:p>
    <w:p w14:paraId="0DA1736F" w14:textId="5BAFDA7E" w:rsidR="0077375F" w:rsidRPr="0077375F" w:rsidRDefault="0077375F" w:rsidP="0077375F">
      <w:pPr>
        <w:pStyle w:val="VEOHRCBodytext"/>
        <w:rPr>
          <w:lang w:eastAsia="en-US"/>
        </w:rPr>
      </w:pPr>
      <w:r w:rsidRPr="0077375F">
        <w:rPr>
          <w:lang w:eastAsia="en-US"/>
        </w:rPr>
        <w:t>Kristen Hilton</w:t>
      </w:r>
      <w:r w:rsidR="001B0C5C">
        <w:rPr>
          <w:lang w:eastAsia="en-US"/>
        </w:rPr>
        <w:t xml:space="preserve"> </w:t>
      </w:r>
      <w:r w:rsidR="00EF2338">
        <w:rPr>
          <w:lang w:eastAsia="en-US"/>
        </w:rPr>
        <w:br/>
      </w:r>
      <w:r w:rsidRPr="0077375F">
        <w:rPr>
          <w:lang w:eastAsia="en-US"/>
        </w:rPr>
        <w:t>Commissioner</w:t>
      </w:r>
      <w:r w:rsidR="001B0C5C">
        <w:rPr>
          <w:lang w:eastAsia="en-US"/>
        </w:rPr>
        <w:t xml:space="preserve"> </w:t>
      </w:r>
      <w:r w:rsidR="00EF2338">
        <w:rPr>
          <w:lang w:eastAsia="en-US"/>
        </w:rPr>
        <w:br/>
      </w:r>
      <w:proofErr w:type="gramStart"/>
      <w:r w:rsidRPr="0077375F">
        <w:rPr>
          <w:lang w:eastAsia="en-US"/>
        </w:rPr>
        <w:t>Victorian</w:t>
      </w:r>
      <w:proofErr w:type="gramEnd"/>
      <w:r w:rsidRPr="0077375F">
        <w:rPr>
          <w:lang w:eastAsia="en-US"/>
        </w:rPr>
        <w:t xml:space="preserve"> Equal Opportunity</w:t>
      </w:r>
      <w:r w:rsidR="001B0C5C">
        <w:rPr>
          <w:lang w:eastAsia="en-US"/>
        </w:rPr>
        <w:t xml:space="preserve"> </w:t>
      </w:r>
      <w:r w:rsidRPr="0077375F">
        <w:rPr>
          <w:lang w:eastAsia="en-US"/>
        </w:rPr>
        <w:t>and Human Rights Commission</w:t>
      </w:r>
      <w:r w:rsidR="001B0C5C">
        <w:rPr>
          <w:lang w:eastAsia="en-US"/>
        </w:rPr>
        <w:t xml:space="preserve"> </w:t>
      </w:r>
      <w:r w:rsidRPr="0077375F">
        <w:rPr>
          <w:lang w:eastAsia="en-US"/>
        </w:rPr>
        <w:t>5 October 2016</w:t>
      </w:r>
    </w:p>
    <w:p w14:paraId="05D60FB1" w14:textId="77777777" w:rsidR="0077375F" w:rsidRPr="0077375F" w:rsidRDefault="0077375F" w:rsidP="0077375F">
      <w:pPr>
        <w:pStyle w:val="VEOHRCHeading2"/>
        <w:rPr>
          <w:lang w:eastAsia="en-US"/>
        </w:rPr>
      </w:pPr>
      <w:r w:rsidRPr="0077375F">
        <w:rPr>
          <w:lang w:eastAsia="en-US"/>
        </w:rPr>
        <w:t>Audit and risk management committee report</w:t>
      </w:r>
    </w:p>
    <w:p w14:paraId="0024ACC8" w14:textId="59DC6DC9" w:rsidR="0077375F" w:rsidRPr="0077375F" w:rsidRDefault="0077375F" w:rsidP="0077375F">
      <w:pPr>
        <w:pStyle w:val="VEOHRCBodytext"/>
        <w:rPr>
          <w:lang w:eastAsia="en-US"/>
        </w:rPr>
      </w:pPr>
      <w:r w:rsidRPr="0077375F">
        <w:rPr>
          <w:lang w:eastAsia="en-US"/>
        </w:rPr>
        <w:t>The primary role of the Audit and Risk Management Committee is to provide independent oversight of the Commission’s financial and business processes. The Committee considers reports from the Commission and auditors that provide assurance about the integrity of the financial processes, systems and reporting of the Commission. The Audit and Risk Management Committee oversees and advises the Commission on matters of accountability,</w:t>
      </w:r>
      <w:r w:rsidR="001B0C5C">
        <w:rPr>
          <w:lang w:eastAsia="en-US"/>
        </w:rPr>
        <w:t xml:space="preserve"> </w:t>
      </w:r>
      <w:r w:rsidRPr="0077375F">
        <w:rPr>
          <w:lang w:eastAsia="en-US"/>
        </w:rPr>
        <w:t>risk management and internal controls</w:t>
      </w:r>
      <w:r w:rsidR="001B0C5C">
        <w:rPr>
          <w:lang w:eastAsia="en-US"/>
        </w:rPr>
        <w:t xml:space="preserve"> </w:t>
      </w:r>
      <w:r w:rsidRPr="0077375F">
        <w:rPr>
          <w:lang w:eastAsia="en-US"/>
        </w:rPr>
        <w:t xml:space="preserve">affecting operations. </w:t>
      </w:r>
    </w:p>
    <w:p w14:paraId="1A051FF8" w14:textId="7BA82E1D" w:rsidR="0077375F" w:rsidRPr="0077375F" w:rsidRDefault="0077375F" w:rsidP="0077375F">
      <w:pPr>
        <w:pStyle w:val="VEOHRCBodytext"/>
        <w:rPr>
          <w:lang w:eastAsia="en-US"/>
        </w:rPr>
      </w:pPr>
      <w:r w:rsidRPr="0077375F">
        <w:rPr>
          <w:lang w:eastAsia="en-US"/>
        </w:rPr>
        <w:t>The Audit and Risk Management Committee consists of three board members and two independent representatives. 2015/16</w:t>
      </w:r>
      <w:r w:rsidR="001B0C5C">
        <w:rPr>
          <w:lang w:eastAsia="en-US"/>
        </w:rPr>
        <w:t xml:space="preserve"> </w:t>
      </w:r>
      <w:r w:rsidRPr="0077375F">
        <w:rPr>
          <w:lang w:eastAsia="en-US"/>
        </w:rPr>
        <w:t xml:space="preserve">members were as follows: Megan Boston (Chair), John Searle and </w:t>
      </w:r>
      <w:proofErr w:type="spellStart"/>
      <w:r w:rsidRPr="0077375F">
        <w:rPr>
          <w:lang w:eastAsia="en-US"/>
        </w:rPr>
        <w:t>Abeselom</w:t>
      </w:r>
      <w:proofErr w:type="spellEnd"/>
      <w:r w:rsidRPr="0077375F">
        <w:rPr>
          <w:lang w:eastAsia="en-US"/>
        </w:rPr>
        <w:t xml:space="preserve"> </w:t>
      </w:r>
      <w:proofErr w:type="spellStart"/>
      <w:r w:rsidRPr="0077375F">
        <w:rPr>
          <w:lang w:eastAsia="en-US"/>
        </w:rPr>
        <w:t>Nega</w:t>
      </w:r>
      <w:proofErr w:type="spellEnd"/>
      <w:r w:rsidRPr="0077375F">
        <w:rPr>
          <w:lang w:eastAsia="en-US"/>
        </w:rPr>
        <w:t>. Independent representatives: Jeff Floyd and Sue Madden. External audits of the Commission are undertaken by the Victorian Auditor-General’s Office.</w:t>
      </w:r>
    </w:p>
    <w:p w14:paraId="51A8201F" w14:textId="77777777" w:rsidR="0077375F" w:rsidRPr="0077375F" w:rsidRDefault="0077375F" w:rsidP="0077375F">
      <w:pPr>
        <w:pStyle w:val="VEOHRCHeading2"/>
        <w:rPr>
          <w:lang w:eastAsia="en-US"/>
        </w:rPr>
      </w:pPr>
      <w:r w:rsidRPr="0077375F">
        <w:rPr>
          <w:lang w:eastAsia="en-US"/>
        </w:rPr>
        <w:t>Application and operation of the Freedom of Information Act 1982</w:t>
      </w:r>
    </w:p>
    <w:p w14:paraId="39E521DB"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Victoria’s </w:t>
      </w:r>
      <w:r w:rsidRPr="0077375F">
        <w:rPr>
          <w:rStyle w:val="VEOHRCBodytextChar"/>
          <w:i/>
          <w:lang w:eastAsia="en-US"/>
        </w:rPr>
        <w:t>Freedom of Information Act 1982</w:t>
      </w:r>
      <w:r w:rsidRPr="0077375F">
        <w:rPr>
          <w:rStyle w:val="VEOHRCBodytextChar"/>
          <w:lang w:eastAsia="en-US"/>
        </w:rPr>
        <w:t xml:space="preserve"> (FOI Act) gives members of the public the right to apply for access to information held by ministers, state government departments, local councils, public hospitals, most semi–government agencies and statutory authorities.</w:t>
      </w:r>
    </w:p>
    <w:p w14:paraId="26509D63" w14:textId="77777777" w:rsidR="0077375F" w:rsidRPr="0077375F" w:rsidRDefault="0077375F" w:rsidP="0077375F">
      <w:pPr>
        <w:pStyle w:val="VEOHRCBodytext"/>
        <w:rPr>
          <w:lang w:eastAsia="en-US"/>
        </w:rPr>
      </w:pPr>
      <w:r w:rsidRPr="0077375F">
        <w:rPr>
          <w:lang w:eastAsia="en-US"/>
        </w:rPr>
        <w:t>The FOI Act allows people to apply for access to documents held by an agency, including documents containing their personal information, irrespective of how the documentation is stored. This includes paper and electronic documents. The two main categories of requests the Commission receives under the FOI Act are individuals asking for documents containing their own personal information, or documents relating to the activities of the Commission.</w:t>
      </w:r>
    </w:p>
    <w:p w14:paraId="7DB295BC"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maintains a filing system in paper form and on an electronic document management system. Files stored by the Commission can be broadly categorised as personnel files, procedure and policy, project files, operational and administrative responsibilities, and general correspondence files. Certain documents are destroyed or transferred to the Public Records Office in accordance with the </w:t>
      </w:r>
      <w:r w:rsidRPr="0077375F">
        <w:rPr>
          <w:rStyle w:val="VEOHRCBodytextChar"/>
          <w:i/>
          <w:lang w:eastAsia="en-US"/>
        </w:rPr>
        <w:t>Public Records Act 1973</w:t>
      </w:r>
      <w:r w:rsidRPr="0077375F">
        <w:rPr>
          <w:rStyle w:val="VEOHRCBodytextChar"/>
          <w:lang w:eastAsia="en-US"/>
        </w:rPr>
        <w:t>.</w:t>
      </w:r>
    </w:p>
    <w:p w14:paraId="47274508" w14:textId="77777777" w:rsidR="0077375F" w:rsidRPr="0077375F" w:rsidRDefault="0077375F" w:rsidP="0077375F">
      <w:pPr>
        <w:pStyle w:val="VEOHRCBodytext"/>
        <w:rPr>
          <w:lang w:eastAsia="en-US"/>
        </w:rPr>
      </w:pPr>
      <w:r w:rsidRPr="0077375F">
        <w:rPr>
          <w:lang w:eastAsia="en-US"/>
        </w:rPr>
        <w:t xml:space="preserve">The Commission has published a statement on its website described as a “Part II Information Statement” which is a snapshot of the types of documents held by the Commission, an outline of what the Commission does and how a person can access the information they require. For example, most of the Commission’s documents relating to its activities and decision-making are publicly available on our website. </w:t>
      </w:r>
    </w:p>
    <w:p w14:paraId="355730C7" w14:textId="7E5E9F9A" w:rsidR="0077375F" w:rsidRDefault="0077375F" w:rsidP="0077375F">
      <w:pPr>
        <w:pStyle w:val="VEOHRCBodytext"/>
        <w:rPr>
          <w:lang w:eastAsia="en-US"/>
        </w:rPr>
      </w:pPr>
      <w:r w:rsidRPr="0077375F">
        <w:rPr>
          <w:lang w:eastAsia="en-US"/>
        </w:rPr>
        <w:t>However, a person may make a request to</w:t>
      </w:r>
      <w:r w:rsidR="001B0C5C">
        <w:rPr>
          <w:lang w:eastAsia="en-US"/>
        </w:rPr>
        <w:t xml:space="preserve"> </w:t>
      </w:r>
      <w:r w:rsidRPr="0077375F">
        <w:rPr>
          <w:lang w:eastAsia="en-US"/>
        </w:rPr>
        <w:t>the Commission under section 17 of the</w:t>
      </w:r>
      <w:r w:rsidR="001B0C5C">
        <w:rPr>
          <w:lang w:eastAsia="en-US"/>
        </w:rPr>
        <w:t xml:space="preserve"> </w:t>
      </w:r>
      <w:r w:rsidRPr="0077375F">
        <w:rPr>
          <w:lang w:eastAsia="en-US"/>
        </w:rPr>
        <w:t xml:space="preserve">FOI Act for access to </w:t>
      </w:r>
      <w:proofErr w:type="gramStart"/>
      <w:r w:rsidRPr="0077375F">
        <w:rPr>
          <w:lang w:eastAsia="en-US"/>
        </w:rPr>
        <w:t>documents which</w:t>
      </w:r>
      <w:proofErr w:type="gramEnd"/>
      <w:r w:rsidRPr="0077375F">
        <w:rPr>
          <w:lang w:eastAsia="en-US"/>
        </w:rPr>
        <w:t xml:space="preserve"> are</w:t>
      </w:r>
      <w:r w:rsidR="001B0C5C">
        <w:rPr>
          <w:lang w:eastAsia="en-US"/>
        </w:rPr>
        <w:t xml:space="preserve"> </w:t>
      </w:r>
      <w:r w:rsidRPr="0077375F">
        <w:rPr>
          <w:lang w:eastAsia="en-US"/>
        </w:rPr>
        <w:t>not publicly available.</w:t>
      </w:r>
    </w:p>
    <w:p w14:paraId="36DB2BF8" w14:textId="4D0E36C0" w:rsidR="0077375F" w:rsidRPr="0077375F" w:rsidRDefault="0077375F" w:rsidP="0077375F">
      <w:pPr>
        <w:pStyle w:val="VEOHRCHeading2"/>
        <w:rPr>
          <w:lang w:eastAsia="en-US"/>
        </w:rPr>
      </w:pPr>
      <w:r w:rsidRPr="0077375F">
        <w:rPr>
          <w:lang w:eastAsia="en-US"/>
        </w:rPr>
        <w:lastRenderedPageBreak/>
        <w:t>What happens when I make a request under section 17 of the FOI Act?</w:t>
      </w:r>
    </w:p>
    <w:p w14:paraId="1132A3E9" w14:textId="77777777" w:rsidR="0077375F" w:rsidRPr="0077375F" w:rsidRDefault="0077375F" w:rsidP="0077375F">
      <w:pPr>
        <w:pStyle w:val="VEOHRCBodytext"/>
        <w:rPr>
          <w:lang w:eastAsia="en-US"/>
        </w:rPr>
      </w:pPr>
      <w:r w:rsidRPr="0077375F">
        <w:rPr>
          <w:lang w:eastAsia="en-US"/>
        </w:rPr>
        <w:t>When a document request is received, the Commission’s FOI Officer completes an assessment of the request to ascertain if the request is for information that can be released to the person administratively without requiring a valid FOI request. Where possible, the Commission provides information administratively without requiring an FOI request or fee.</w:t>
      </w:r>
    </w:p>
    <w:p w14:paraId="5EC6DAD0" w14:textId="77777777" w:rsidR="0077375F" w:rsidRPr="0077375F" w:rsidRDefault="0077375F" w:rsidP="0077375F">
      <w:pPr>
        <w:pStyle w:val="VEOHRCBodytext"/>
        <w:rPr>
          <w:lang w:eastAsia="en-US"/>
        </w:rPr>
      </w:pPr>
      <w:r w:rsidRPr="0077375F">
        <w:rPr>
          <w:lang w:eastAsia="en-US"/>
        </w:rPr>
        <w:t>If it is not appropriate to release a document or documents administratively, the FOI Officer will assess whether the FOI request is valid under section 17 of the FOI Act. If so, the FOI Officer will conduct a search for documents requested and if they exist, assess whether they are suitable for release or whether any material requested is exempt from release under the FOI Act.</w:t>
      </w:r>
    </w:p>
    <w:p w14:paraId="0DC54E1C" w14:textId="77777777" w:rsidR="0077375F" w:rsidRPr="0077375F" w:rsidRDefault="0077375F" w:rsidP="0077375F">
      <w:pPr>
        <w:pStyle w:val="VEOHRCBodytext"/>
        <w:rPr>
          <w:lang w:eastAsia="en-US"/>
        </w:rPr>
      </w:pPr>
      <w:r w:rsidRPr="0077375F">
        <w:rPr>
          <w:lang w:eastAsia="en-US"/>
        </w:rPr>
        <w:t>The FOI Act outlines general categories of information that are exempt. They include, among others, information relating to the personal or business affairs of third parties, information provided in confidence, documents affecting legal proceedings, information which if released might endanger the lives or physical safety of individuals, cabinet documents and internal working documents, the release of which would be contrary to the public interest.</w:t>
      </w:r>
    </w:p>
    <w:p w14:paraId="5D6CA821" w14:textId="77777777" w:rsidR="0077375F" w:rsidRDefault="0077375F" w:rsidP="0077375F">
      <w:pPr>
        <w:widowControl w:val="0"/>
        <w:suppressAutoHyphens/>
        <w:autoSpaceDE w:val="0"/>
        <w:autoSpaceDN w:val="0"/>
        <w:adjustRightInd w:val="0"/>
        <w:spacing w:after="113" w:line="250" w:lineRule="atLeast"/>
        <w:textAlignment w:val="center"/>
        <w:rPr>
          <w:rStyle w:val="VEOHRCBodytextChar"/>
          <w:i/>
          <w:lang w:eastAsia="en-US"/>
        </w:rPr>
      </w:pPr>
      <w:r w:rsidRPr="0077375F">
        <w:rPr>
          <w:rStyle w:val="VEOHRCBodytextChar"/>
          <w:lang w:eastAsia="en-US"/>
        </w:rPr>
        <w:t xml:space="preserve">The Commission is also subject to a secrecy provision in the </w:t>
      </w:r>
      <w:r w:rsidRPr="0077375F">
        <w:rPr>
          <w:rStyle w:val="VEOHRCBodytextChar"/>
          <w:i/>
          <w:lang w:eastAsia="en-US"/>
        </w:rPr>
        <w:t xml:space="preserve">Equal Opportunity Act </w:t>
      </w:r>
      <w:proofErr w:type="gramStart"/>
      <w:r w:rsidRPr="0077375F">
        <w:rPr>
          <w:rStyle w:val="VEOHRCBodytextChar"/>
          <w:i/>
          <w:lang w:eastAsia="en-US"/>
        </w:rPr>
        <w:t xml:space="preserve">2010 </w:t>
      </w:r>
      <w:r w:rsidRPr="0077375F">
        <w:rPr>
          <w:rStyle w:val="VEOHRCBodytextChar"/>
          <w:lang w:eastAsia="en-US"/>
        </w:rPr>
        <w:t>which</w:t>
      </w:r>
      <w:proofErr w:type="gramEnd"/>
      <w:r w:rsidRPr="0077375F">
        <w:rPr>
          <w:rStyle w:val="VEOHRCBodytextChar"/>
          <w:lang w:eastAsia="en-US"/>
        </w:rPr>
        <w:t xml:space="preserve"> is an exemption under the FOI Act. This means, broadly speaking, that the Commission cannot release information relating to the affairs of any person without their consent, where </w:t>
      </w:r>
      <w:proofErr w:type="gramStart"/>
      <w:r w:rsidRPr="0077375F">
        <w:rPr>
          <w:rStyle w:val="VEOHRCBodytextChar"/>
          <w:lang w:eastAsia="en-US"/>
        </w:rPr>
        <w:t>that information was obtained by the Commission in the course of performing its functions under the Equal Opportunity Act</w:t>
      </w:r>
      <w:proofErr w:type="gramEnd"/>
      <w:r w:rsidRPr="0077375F">
        <w:rPr>
          <w:rStyle w:val="VEOHRCBodytextChar"/>
          <w:i/>
          <w:lang w:eastAsia="en-US"/>
        </w:rPr>
        <w:t>.</w:t>
      </w:r>
    </w:p>
    <w:p w14:paraId="1387B60E" w14:textId="04107E5F" w:rsidR="0077375F" w:rsidRPr="0077375F" w:rsidRDefault="0077375F" w:rsidP="0077375F">
      <w:pPr>
        <w:pStyle w:val="VEOHRCHeading2"/>
        <w:rPr>
          <w:lang w:eastAsia="en-US"/>
        </w:rPr>
      </w:pPr>
      <w:r w:rsidRPr="0077375F">
        <w:rPr>
          <w:lang w:eastAsia="en-US"/>
        </w:rPr>
        <w:t>Lodging an FOI Request with</w:t>
      </w:r>
      <w:r w:rsidR="001B0C5C">
        <w:rPr>
          <w:lang w:eastAsia="en-US"/>
        </w:rPr>
        <w:t xml:space="preserve"> </w:t>
      </w:r>
      <w:r w:rsidRPr="0077375F">
        <w:rPr>
          <w:lang w:eastAsia="en-US"/>
        </w:rPr>
        <w:t>the Commission</w:t>
      </w:r>
    </w:p>
    <w:p w14:paraId="585FE398" w14:textId="77777777" w:rsidR="0077375F" w:rsidRPr="0077375F" w:rsidRDefault="0077375F" w:rsidP="0077375F">
      <w:pPr>
        <w:pStyle w:val="VEOHRCBodytext"/>
        <w:rPr>
          <w:lang w:eastAsia="en-US"/>
        </w:rPr>
      </w:pPr>
      <w:r w:rsidRPr="0077375F">
        <w:rPr>
          <w:lang w:eastAsia="en-US"/>
        </w:rPr>
        <w:t>A request must be made in writing and should be addressed to the Freedom of Information Officer either by post or email:</w:t>
      </w:r>
    </w:p>
    <w:p w14:paraId="71AB1402" w14:textId="1B84D009" w:rsidR="0077375F" w:rsidRP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Victorian Equal Opportunity and Human Rights Commission</w:t>
      </w:r>
      <w:r w:rsidR="001B0C5C">
        <w:rPr>
          <w:rStyle w:val="VEOHRCBodytextChar"/>
          <w:lang w:eastAsia="en-US"/>
        </w:rPr>
        <w:t xml:space="preserve"> </w:t>
      </w:r>
      <w:r w:rsidRPr="0077375F">
        <w:rPr>
          <w:rStyle w:val="VEOHRCBodytextChar"/>
          <w:lang w:eastAsia="en-US"/>
        </w:rPr>
        <w:t xml:space="preserve">Level 3, 204 </w:t>
      </w:r>
      <w:proofErr w:type="spellStart"/>
      <w:r w:rsidRPr="0077375F">
        <w:rPr>
          <w:rStyle w:val="VEOHRCBodytextChar"/>
          <w:lang w:eastAsia="en-US"/>
        </w:rPr>
        <w:t>Lygon</w:t>
      </w:r>
      <w:proofErr w:type="spellEnd"/>
      <w:r w:rsidRPr="0077375F">
        <w:rPr>
          <w:rStyle w:val="VEOHRCBodytextChar"/>
          <w:lang w:eastAsia="en-US"/>
        </w:rPr>
        <w:t xml:space="preserve"> Street</w:t>
      </w:r>
      <w:r w:rsidR="001B0C5C">
        <w:rPr>
          <w:rStyle w:val="VEOHRCBodytextChar"/>
          <w:lang w:eastAsia="en-US"/>
        </w:rPr>
        <w:t xml:space="preserve"> </w:t>
      </w:r>
      <w:r w:rsidRPr="0077375F">
        <w:rPr>
          <w:rStyle w:val="VEOHRCBodytextChar"/>
          <w:lang w:eastAsia="en-US"/>
        </w:rPr>
        <w:t>Carlton, Vic 3053</w:t>
      </w:r>
      <w:r w:rsidR="001B0C5C">
        <w:rPr>
          <w:rStyle w:val="VEOHRCBodytextChar"/>
          <w:lang w:eastAsia="en-US"/>
        </w:rPr>
        <w:t xml:space="preserve"> </w:t>
      </w:r>
      <w:r w:rsidRPr="0077375F">
        <w:rPr>
          <w:rStyle w:val="VEOHRCURLChar"/>
          <w:lang w:val="en-GB" w:eastAsia="en-US"/>
        </w:rPr>
        <w:t xml:space="preserve">foi@veohrc.vic.gov.au </w:t>
      </w:r>
    </w:p>
    <w:p w14:paraId="4B2B901B" w14:textId="77777777" w:rsidR="0077375F" w:rsidRPr="0077375F" w:rsidRDefault="0077375F" w:rsidP="0077375F">
      <w:pPr>
        <w:pStyle w:val="VEOHRCBodytext"/>
        <w:rPr>
          <w:lang w:eastAsia="en-US"/>
        </w:rPr>
      </w:pPr>
      <w:r w:rsidRPr="0077375F">
        <w:rPr>
          <w:lang w:eastAsia="en-US"/>
        </w:rPr>
        <w:t xml:space="preserve">An FOI request must be specific enough to allow an agency to identify documents considered relevant to a request. Where the terms of a request are vague, assistance will be provided to applicants to help determine the type of documentation being sought. </w:t>
      </w:r>
    </w:p>
    <w:p w14:paraId="61442D8E" w14:textId="77777777" w:rsidR="0077375F" w:rsidRPr="0077375F" w:rsidRDefault="0077375F" w:rsidP="0077375F">
      <w:pPr>
        <w:pStyle w:val="VEOHRCBodytext"/>
        <w:rPr>
          <w:lang w:eastAsia="en-US"/>
        </w:rPr>
      </w:pPr>
      <w:r w:rsidRPr="0077375F">
        <w:rPr>
          <w:lang w:eastAsia="en-US"/>
        </w:rPr>
        <w:t xml:space="preserve">All FOI requests are subject to an application fee. For the period 1 July 2015 to 30 June 2016, the fee was $27.20. The application fee may be waived in cases where payment would cause an applicant financial hardship. Where an applicant seeks a waiver of this fee, the request should indicate the grounds on which a waiver is being sought (for example, low income or holder of Commonwealth Health Care Card). </w:t>
      </w:r>
    </w:p>
    <w:p w14:paraId="0F9480F2" w14:textId="77777777" w:rsidR="0077375F" w:rsidRPr="0077375F" w:rsidRDefault="0077375F" w:rsidP="0077375F">
      <w:pPr>
        <w:pStyle w:val="VEOHRCBodytext"/>
        <w:rPr>
          <w:lang w:eastAsia="en-US"/>
        </w:rPr>
      </w:pPr>
      <w:r w:rsidRPr="0077375F">
        <w:t xml:space="preserve">Further information on current charges (including access charges) is available online at </w:t>
      </w:r>
      <w:r w:rsidRPr="00EF2338">
        <w:rPr>
          <w:rStyle w:val="VEOHRCURLChar"/>
        </w:rPr>
        <w:t>www.foi.vic.gov.au</w:t>
      </w:r>
      <w:r w:rsidRPr="0077375F">
        <w:rPr>
          <w:lang w:eastAsia="en-US"/>
        </w:rPr>
        <w:t xml:space="preserve">. It should be noted that, under certain circumstances, some of these charges </w:t>
      </w:r>
      <w:proofErr w:type="gramStart"/>
      <w:r w:rsidRPr="0077375F">
        <w:rPr>
          <w:lang w:eastAsia="en-US"/>
        </w:rPr>
        <w:t>can</w:t>
      </w:r>
      <w:proofErr w:type="gramEnd"/>
      <w:r w:rsidRPr="0077375F">
        <w:rPr>
          <w:lang w:eastAsia="en-US"/>
        </w:rPr>
        <w:t xml:space="preserve"> be waived.</w:t>
      </w:r>
    </w:p>
    <w:p w14:paraId="7F4B3B9D" w14:textId="5EA69443" w:rsidR="0077375F" w:rsidRPr="00EF2338" w:rsidRDefault="0077375F" w:rsidP="0077375F">
      <w:pPr>
        <w:pStyle w:val="VEOHRCBodytext"/>
        <w:rPr>
          <w:rStyle w:val="VEOHRCURLChar"/>
        </w:rPr>
      </w:pPr>
      <w:r w:rsidRPr="0077375F">
        <w:rPr>
          <w:lang w:eastAsia="en-US"/>
        </w:rPr>
        <w:t>Further information on making a request to the Commission can be found on our website</w:t>
      </w:r>
      <w:r w:rsidR="001B0C5C">
        <w:rPr>
          <w:lang w:eastAsia="en-US"/>
        </w:rPr>
        <w:t xml:space="preserve"> </w:t>
      </w:r>
      <w:r w:rsidRPr="00EF2338">
        <w:rPr>
          <w:rStyle w:val="VEOHRCURLChar"/>
        </w:rPr>
        <w:t>humanrightscommission.vic.gov.au/index.php/about-us/freedom-of-information</w:t>
      </w:r>
      <w:r w:rsidRPr="0077375F">
        <w:rPr>
          <w:rStyle w:val="VEOHRCBodytextChar"/>
          <w:lang w:eastAsia="en-US"/>
        </w:rPr>
        <w:t>.</w:t>
      </w:r>
    </w:p>
    <w:p w14:paraId="467F095F" w14:textId="2C7AD507" w:rsidR="0077375F" w:rsidRPr="0077375F" w:rsidRDefault="0077375F" w:rsidP="0077375F">
      <w:pPr>
        <w:pStyle w:val="VEOHRCHeading2"/>
        <w:rPr>
          <w:lang w:eastAsia="en-US"/>
        </w:rPr>
      </w:pPr>
      <w:r w:rsidRPr="0077375F">
        <w:rPr>
          <w:lang w:eastAsia="en-US"/>
        </w:rPr>
        <w:t>FOI Requests for the period 1 July 2015 to 30 June 2016</w:t>
      </w:r>
    </w:p>
    <w:p w14:paraId="12974DCB" w14:textId="77777777" w:rsidR="0077375F" w:rsidRPr="0077375F" w:rsidRDefault="0077375F" w:rsidP="0077375F">
      <w:pPr>
        <w:pStyle w:val="VEOHRCBodytext"/>
        <w:rPr>
          <w:lang w:eastAsia="en-US"/>
        </w:rPr>
      </w:pPr>
      <w:r w:rsidRPr="0077375F">
        <w:rPr>
          <w:lang w:eastAsia="en-US"/>
        </w:rPr>
        <w:t>The Commission received two formal FOI requests and finalised two formal FOI requests (one of which was received in the previous financial year).</w:t>
      </w:r>
    </w:p>
    <w:p w14:paraId="519014C6" w14:textId="77777777" w:rsidR="0077375F" w:rsidRPr="0077375F" w:rsidRDefault="0077375F" w:rsidP="0077375F">
      <w:pPr>
        <w:pStyle w:val="VEOHRCBodytext"/>
        <w:rPr>
          <w:lang w:eastAsia="en-US"/>
        </w:rPr>
      </w:pPr>
      <w:r w:rsidRPr="0077375F">
        <w:rPr>
          <w:lang w:eastAsia="en-US"/>
        </w:rPr>
        <w:lastRenderedPageBreak/>
        <w:t>The Commission received a further two requests under the FOI Act which did not proceed: one applicant did not pay the application fee, and the other did not clarify the terms of the FOI request as required by section 17(2) of the FOI Act.</w:t>
      </w:r>
    </w:p>
    <w:p w14:paraId="1F79DA55" w14:textId="77777777" w:rsidR="0077375F" w:rsidRPr="0077375F" w:rsidRDefault="0077375F" w:rsidP="0077375F">
      <w:pPr>
        <w:pStyle w:val="VEOHRCBodytext"/>
        <w:rPr>
          <w:lang w:eastAsia="en-US"/>
        </w:rPr>
      </w:pPr>
      <w:r w:rsidRPr="0077375F">
        <w:rPr>
          <w:lang w:eastAsia="en-US"/>
        </w:rPr>
        <w:t>The Commission received and finalised nine administrative requests for information. We have one further administrative request still awaiting finalisation.</w:t>
      </w:r>
    </w:p>
    <w:p w14:paraId="20B99FA9" w14:textId="77777777" w:rsidR="0077375F" w:rsidRPr="0077375F" w:rsidRDefault="0077375F" w:rsidP="0077375F">
      <w:pPr>
        <w:pStyle w:val="VEOHRCBodytext"/>
        <w:rPr>
          <w:sz w:val="16"/>
          <w:szCs w:val="16"/>
          <w:lang w:eastAsia="en-US"/>
        </w:rPr>
      </w:pPr>
      <w:r w:rsidRPr="0077375F">
        <w:rPr>
          <w:lang w:eastAsia="en-US"/>
        </w:rPr>
        <w:t xml:space="preserve">There were two requests for consultation under the FOI Act. </w:t>
      </w:r>
    </w:p>
    <w:p w14:paraId="6692020F" w14:textId="77777777" w:rsidR="0077375F" w:rsidRDefault="0077375F" w:rsidP="0077375F">
      <w:pPr>
        <w:pStyle w:val="VEOHRCBodytext"/>
        <w:rPr>
          <w:lang w:eastAsia="en-US"/>
        </w:rPr>
      </w:pPr>
      <w:r w:rsidRPr="0077375F">
        <w:rPr>
          <w:lang w:eastAsia="en-US"/>
        </w:rPr>
        <w:t xml:space="preserve">There were no complaints to the FOI Commissioner about a FOI decision, no applications for review by the FOI Commissioner and no applications to the Victorian Civil and Administrative Tribunal. </w:t>
      </w:r>
    </w:p>
    <w:p w14:paraId="1EEA3815" w14:textId="043B0095" w:rsidR="0077375F" w:rsidRPr="0077375F" w:rsidRDefault="0077375F" w:rsidP="0077375F">
      <w:pPr>
        <w:pStyle w:val="VEOHRCHeading2"/>
        <w:rPr>
          <w:lang w:eastAsia="en-US"/>
        </w:rPr>
      </w:pPr>
      <w:r w:rsidRPr="0077375F">
        <w:rPr>
          <w:lang w:eastAsia="en-US"/>
        </w:rPr>
        <w:t>Compliance with the Protected Disclosure Act 2012 (Vic)</w:t>
      </w:r>
    </w:p>
    <w:p w14:paraId="1A762EB6"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w:t>
      </w:r>
      <w:r w:rsidRPr="0077375F">
        <w:rPr>
          <w:rStyle w:val="VEOHRCBodytextChar"/>
          <w:i/>
          <w:lang w:eastAsia="en-US"/>
        </w:rPr>
        <w:t>Protected Disclosure Act 2012</w:t>
      </w:r>
      <w:r w:rsidRPr="0077375F">
        <w:rPr>
          <w:rStyle w:val="VEOHRCBodytextChar"/>
          <w:lang w:eastAsia="en-US"/>
        </w:rPr>
        <w:t xml:space="preserve"> encourages and assists people in making disclosures of improper conduct by public officers and public bodies. The Act provides protection to people who make disclosures in accordance with the Act and establishes a system for the matters </w:t>
      </w:r>
      <w:proofErr w:type="gramStart"/>
      <w:r w:rsidRPr="0077375F">
        <w:rPr>
          <w:rStyle w:val="VEOHRCBodytextChar"/>
          <w:lang w:eastAsia="en-US"/>
        </w:rPr>
        <w:t>disclosed to be investigated</w:t>
      </w:r>
      <w:proofErr w:type="gramEnd"/>
      <w:r w:rsidRPr="0077375F">
        <w:rPr>
          <w:rStyle w:val="VEOHRCBodytextChar"/>
          <w:lang w:eastAsia="en-US"/>
        </w:rPr>
        <w:t xml:space="preserve"> and rectifying action to be taken. The Commission does not tolerate improper conduct by employees, nor the taking of reprisals against those who come forward to disclose such conduct. We are committed to ensuring transparency and accountability in administrative and management practices. We support the making of disclosures that reveal:</w:t>
      </w:r>
    </w:p>
    <w:p w14:paraId="42EAAE9E" w14:textId="77777777" w:rsidR="0077375F" w:rsidRPr="0077375F" w:rsidRDefault="0077375F" w:rsidP="0077375F">
      <w:pPr>
        <w:pStyle w:val="VEOHRCListBullet"/>
        <w:rPr>
          <w:lang w:eastAsia="en-US"/>
        </w:rPr>
      </w:pPr>
      <w:proofErr w:type="gramStart"/>
      <w:r w:rsidRPr="0077375F">
        <w:rPr>
          <w:lang w:eastAsia="en-US"/>
        </w:rPr>
        <w:t>corrupt</w:t>
      </w:r>
      <w:proofErr w:type="gramEnd"/>
      <w:r w:rsidRPr="0077375F">
        <w:rPr>
          <w:lang w:eastAsia="en-US"/>
        </w:rPr>
        <w:t xml:space="preserve"> conduct</w:t>
      </w:r>
    </w:p>
    <w:p w14:paraId="4039CD92" w14:textId="77777777" w:rsidR="0077375F" w:rsidRPr="0077375F" w:rsidRDefault="0077375F" w:rsidP="0077375F">
      <w:pPr>
        <w:pStyle w:val="VEOHRCListBullet"/>
        <w:rPr>
          <w:lang w:eastAsia="en-US"/>
        </w:rPr>
      </w:pPr>
      <w:proofErr w:type="gramStart"/>
      <w:r w:rsidRPr="0077375F">
        <w:rPr>
          <w:lang w:eastAsia="en-US"/>
        </w:rPr>
        <w:t>conduct</w:t>
      </w:r>
      <w:proofErr w:type="gramEnd"/>
      <w:r w:rsidRPr="0077375F">
        <w:rPr>
          <w:lang w:eastAsia="en-US"/>
        </w:rPr>
        <w:t xml:space="preserve"> involving a substantial mismanagement of public resources</w:t>
      </w:r>
    </w:p>
    <w:p w14:paraId="049042A5" w14:textId="77777777" w:rsidR="0077375F" w:rsidRPr="0077375F" w:rsidRDefault="0077375F" w:rsidP="0077375F">
      <w:pPr>
        <w:pStyle w:val="VEOHRCListBullet"/>
        <w:rPr>
          <w:lang w:eastAsia="en-US"/>
        </w:rPr>
      </w:pPr>
      <w:proofErr w:type="gramStart"/>
      <w:r w:rsidRPr="0077375F">
        <w:rPr>
          <w:lang w:eastAsia="en-US"/>
        </w:rPr>
        <w:t>conduct</w:t>
      </w:r>
      <w:proofErr w:type="gramEnd"/>
      <w:r w:rsidRPr="0077375F">
        <w:rPr>
          <w:lang w:eastAsia="en-US"/>
        </w:rPr>
        <w:t xml:space="preserve"> involving a substantial risk to public</w:t>
      </w:r>
    </w:p>
    <w:p w14:paraId="2D5956EF" w14:textId="77777777" w:rsidR="0077375F" w:rsidRPr="0077375F" w:rsidRDefault="0077375F" w:rsidP="0077375F">
      <w:pPr>
        <w:pStyle w:val="VEOHRCListBullet"/>
        <w:rPr>
          <w:lang w:eastAsia="en-US"/>
        </w:rPr>
      </w:pPr>
      <w:proofErr w:type="gramStart"/>
      <w:r w:rsidRPr="0077375F">
        <w:rPr>
          <w:lang w:eastAsia="en-US"/>
        </w:rPr>
        <w:t>health</w:t>
      </w:r>
      <w:proofErr w:type="gramEnd"/>
      <w:r w:rsidRPr="0077375F">
        <w:rPr>
          <w:lang w:eastAsia="en-US"/>
        </w:rPr>
        <w:t xml:space="preserve"> and safety or the environment.</w:t>
      </w:r>
    </w:p>
    <w:p w14:paraId="5768E1FE" w14:textId="77777777" w:rsidR="0077375F" w:rsidRPr="0077375F" w:rsidRDefault="0077375F" w:rsidP="0077375F">
      <w:pPr>
        <w:pStyle w:val="VEOHRCBodytext"/>
        <w:rPr>
          <w:lang w:eastAsia="en-US"/>
        </w:rPr>
      </w:pPr>
      <w:r w:rsidRPr="0077375F">
        <w:rPr>
          <w:lang w:eastAsia="en-US"/>
        </w:rPr>
        <w:t>We will take all reasonable steps to protect people who make such disclosures from any detrimental action in reprisal for making the disclosure. We will also afford natural justice to the person who is the subject of the disclosure to the extent it is legally possible.</w:t>
      </w:r>
    </w:p>
    <w:p w14:paraId="6DB2BEF0"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Disclosures about the Commission or any of its employees can be made to the Independent </w:t>
      </w:r>
      <w:proofErr w:type="spellStart"/>
      <w:r w:rsidRPr="0077375F">
        <w:rPr>
          <w:rStyle w:val="VEOHRCBodytextChar"/>
          <w:lang w:eastAsia="en-US"/>
        </w:rPr>
        <w:t>Broadbased</w:t>
      </w:r>
      <w:proofErr w:type="spellEnd"/>
      <w:r w:rsidRPr="0077375F">
        <w:rPr>
          <w:rStyle w:val="VEOHRCBodytextChar"/>
          <w:lang w:eastAsia="en-US"/>
        </w:rPr>
        <w:t xml:space="preserve"> Anti-corruption Commission. See </w:t>
      </w:r>
      <w:r w:rsidRPr="0077375F">
        <w:rPr>
          <w:rStyle w:val="VEOHRCURLChar"/>
          <w:lang w:val="en-GB" w:eastAsia="en-US"/>
        </w:rPr>
        <w:t xml:space="preserve">ibac.vic.gov.au. </w:t>
      </w:r>
    </w:p>
    <w:p w14:paraId="016458AB" w14:textId="77777777" w:rsidR="0077375F" w:rsidRDefault="0077375F" w:rsidP="0077375F">
      <w:pPr>
        <w:widowControl w:val="0"/>
        <w:suppressAutoHyphens/>
        <w:autoSpaceDE w:val="0"/>
        <w:autoSpaceDN w:val="0"/>
        <w:adjustRightInd w:val="0"/>
        <w:spacing w:after="113" w:line="250" w:lineRule="atLeast"/>
        <w:textAlignment w:val="center"/>
        <w:rPr>
          <w:rStyle w:val="VEOHRCURLChar"/>
          <w:lang w:val="en-GB" w:eastAsia="en-US"/>
        </w:rPr>
      </w:pPr>
      <w:r w:rsidRPr="0077375F">
        <w:rPr>
          <w:rStyle w:val="VEOHRCBodytextChar"/>
          <w:lang w:eastAsia="en-US"/>
        </w:rPr>
        <w:t xml:space="preserve">For the Commission’s protected disclosure procedures and more information about reporting improper conduct go to </w:t>
      </w:r>
      <w:r w:rsidRPr="0077375F">
        <w:rPr>
          <w:rStyle w:val="VEOHRCURLChar"/>
          <w:lang w:val="en-GB" w:eastAsia="en-US"/>
        </w:rPr>
        <w:t>humanrightscommission.vic.gov.au.</w:t>
      </w:r>
    </w:p>
    <w:p w14:paraId="3EEBC7B9" w14:textId="0A65E08E" w:rsidR="0077375F" w:rsidRPr="0077375F" w:rsidRDefault="0077375F" w:rsidP="0077375F">
      <w:pPr>
        <w:pStyle w:val="VEOHRCHeading2"/>
        <w:rPr>
          <w:lang w:eastAsia="en-US"/>
        </w:rPr>
      </w:pPr>
      <w:r w:rsidRPr="0077375F">
        <w:rPr>
          <w:lang w:eastAsia="en-US"/>
        </w:rPr>
        <w:t>Further information</w:t>
      </w:r>
    </w:p>
    <w:p w14:paraId="7659CF95"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In accordance with Part 9 of the Protected Disclosure Act, the Commission has established Protected Disclosure Procedures, which are available on the Commission’s website at </w:t>
      </w:r>
      <w:r w:rsidRPr="0077375F">
        <w:rPr>
          <w:rStyle w:val="VEOHRCURLChar"/>
          <w:lang w:val="en-GB" w:eastAsia="en-US"/>
        </w:rPr>
        <w:t>humanrightscommission.vic.gov.au</w:t>
      </w:r>
      <w:r w:rsidRPr="0077375F">
        <w:rPr>
          <w:rStyle w:val="VEOHRCBodytextChar"/>
          <w:lang w:eastAsia="en-US"/>
        </w:rPr>
        <w:t>.</w:t>
      </w:r>
    </w:p>
    <w:p w14:paraId="6E7D7CFD" w14:textId="77777777" w:rsidR="0077375F" w:rsidRPr="0077375F" w:rsidRDefault="0077375F" w:rsidP="0077375F">
      <w:pPr>
        <w:pStyle w:val="VEOHRCBodytext"/>
        <w:rPr>
          <w:lang w:eastAsia="en-US"/>
        </w:rPr>
      </w:pPr>
      <w:r w:rsidRPr="0077375F">
        <w:rPr>
          <w:lang w:eastAsia="en-US"/>
        </w:rPr>
        <w:t>The Protected Disclosure Procedures outline the system for reporting disclosures of improper conduct or detrimental action by the Commission or any of its employees and/or officers and the welfare management of those who make or cooperate with protected disclosures. This includes procedures for the protection of persons from detrimental action taken by the Commission or members, officers or employees of the Commission.</w:t>
      </w:r>
    </w:p>
    <w:p w14:paraId="5F30EB79" w14:textId="77777777" w:rsidR="0077375F" w:rsidRPr="0077375F" w:rsidRDefault="0077375F" w:rsidP="00EF2338">
      <w:pPr>
        <w:pStyle w:val="VEOHRCHeading2"/>
        <w:rPr>
          <w:color w:val="00ADEF"/>
          <w:lang w:eastAsia="en-US"/>
        </w:rPr>
      </w:pPr>
      <w:r w:rsidRPr="0077375F">
        <w:rPr>
          <w:lang w:eastAsia="en-US"/>
        </w:rPr>
        <w:t>Compliance with the Carers Recognition Act 2012</w:t>
      </w:r>
    </w:p>
    <w:p w14:paraId="72C65AA5" w14:textId="77777777" w:rsidR="0077375F" w:rsidRPr="0077375F" w:rsidRDefault="0077375F" w:rsidP="0077375F">
      <w:pPr>
        <w:widowControl w:val="0"/>
        <w:suppressAutoHyphens/>
        <w:autoSpaceDE w:val="0"/>
        <w:autoSpaceDN w:val="0"/>
        <w:adjustRightInd w:val="0"/>
        <w:spacing w:after="113" w:line="250" w:lineRule="atLeast"/>
        <w:textAlignment w:val="center"/>
        <w:rPr>
          <w:rStyle w:val="VEOHRCBodytextChar"/>
          <w:lang w:eastAsia="en-US"/>
        </w:rPr>
      </w:pPr>
      <w:r w:rsidRPr="0077375F">
        <w:rPr>
          <w:rStyle w:val="VEOHRCBodytextChar"/>
          <w:lang w:eastAsia="en-US"/>
        </w:rPr>
        <w:t xml:space="preserve">The Commission has taken all practical measures to comply with its obligations under the </w:t>
      </w:r>
      <w:r w:rsidRPr="0077375F">
        <w:rPr>
          <w:rStyle w:val="VEOHRCBodytextChar"/>
          <w:i/>
          <w:lang w:eastAsia="en-US"/>
        </w:rPr>
        <w:t>Carers Recognition Act 2012</w:t>
      </w:r>
      <w:r w:rsidRPr="0077375F">
        <w:rPr>
          <w:rStyle w:val="VEOHRCBodytextChar"/>
          <w:lang w:eastAsia="en-US"/>
        </w:rPr>
        <w:t>. These include:</w:t>
      </w:r>
    </w:p>
    <w:p w14:paraId="3E90560A" w14:textId="77777777" w:rsidR="0077375F" w:rsidRPr="0077375F" w:rsidRDefault="0077375F" w:rsidP="0077375F">
      <w:pPr>
        <w:pStyle w:val="VEOHRCListBullet"/>
        <w:rPr>
          <w:lang w:eastAsia="en-US"/>
        </w:rPr>
      </w:pPr>
      <w:proofErr w:type="gramStart"/>
      <w:r w:rsidRPr="0077375F">
        <w:rPr>
          <w:lang w:eastAsia="en-US"/>
        </w:rPr>
        <w:t>promoting</w:t>
      </w:r>
      <w:proofErr w:type="gramEnd"/>
      <w:r w:rsidRPr="0077375F">
        <w:rPr>
          <w:lang w:eastAsia="en-US"/>
        </w:rPr>
        <w:t xml:space="preserve"> the principles of the Act to people in care relationships who receive our services, and to the wider community, by distributing printed information about the Act on our website for the benefit of members of the public; by continuing to </w:t>
      </w:r>
      <w:r w:rsidRPr="0077375F">
        <w:rPr>
          <w:lang w:eastAsia="en-US"/>
        </w:rPr>
        <w:lastRenderedPageBreak/>
        <w:t>educate the community about the rights of carers under the Equal Opportunity Act through our social media campaigns, project initiatives and training workshops; by providing a publicly available Enquiry Line for members of the public to make complaints about discrimination, including on the basis of their status as carer, as well as the opportunity to participate in dispute resolution at the Commission</w:t>
      </w:r>
    </w:p>
    <w:p w14:paraId="42419F44" w14:textId="77777777" w:rsidR="0077375F" w:rsidRPr="0077375F" w:rsidRDefault="0077375F" w:rsidP="0077375F">
      <w:pPr>
        <w:pStyle w:val="VEOHRCListBullet"/>
        <w:rPr>
          <w:lang w:eastAsia="en-US"/>
        </w:rPr>
      </w:pPr>
      <w:proofErr w:type="gramStart"/>
      <w:r w:rsidRPr="0077375F">
        <w:rPr>
          <w:lang w:eastAsia="en-US"/>
        </w:rPr>
        <w:t>ensuring</w:t>
      </w:r>
      <w:proofErr w:type="gramEnd"/>
      <w:r w:rsidRPr="0077375F">
        <w:rPr>
          <w:lang w:eastAsia="en-US"/>
        </w:rPr>
        <w:t xml:space="preserve"> our staff have an awareness and understanding of the care relationship principles set out in the Act by developing and implementing a staff awareness strategy about the principles and objects of the Act and what they mean for staff; by offering a presentation at a general staff meeting about the objects and principles of the Act; by forwarding an email to all staff following the presentation to reiterate the principles of the Act; by posting information on the internal staff intranet and by placing informative posters in communal staff areas; by nominating and alerting all staff to a contact person within the Commission who can provide further information about the Act</w:t>
      </w:r>
    </w:p>
    <w:p w14:paraId="6A87C12D" w14:textId="77777777" w:rsidR="0077375F" w:rsidRPr="0077375F" w:rsidRDefault="0077375F" w:rsidP="0077375F">
      <w:pPr>
        <w:pStyle w:val="VEOHRCListBullet"/>
        <w:rPr>
          <w:lang w:eastAsia="en-US"/>
        </w:rPr>
      </w:pPr>
      <w:proofErr w:type="gramStart"/>
      <w:r w:rsidRPr="0077375F">
        <w:rPr>
          <w:lang w:eastAsia="en-US"/>
        </w:rPr>
        <w:t>considering</w:t>
      </w:r>
      <w:proofErr w:type="gramEnd"/>
      <w:r w:rsidRPr="0077375F">
        <w:rPr>
          <w:lang w:eastAsia="en-US"/>
        </w:rPr>
        <w:t xml:space="preserve"> the carer relationships principles set out in the Act when setting policies and providing services by continuing employment policies that include flexible working arrangements and leave provisions that comply with the principles of the Act; by offering a dispute resolution service that is flexible and takes account of the specific needs of parties involved in conciliation including those in care relationships. The Commission received 111 complaints for dispute resolution relating specifically to carer status as an attribute under the Equal Opportunity Act. </w:t>
      </w:r>
    </w:p>
    <w:p w14:paraId="750AD481" w14:textId="511B775A" w:rsidR="0077375F" w:rsidRPr="0077375F" w:rsidRDefault="0077375F" w:rsidP="00EF2338">
      <w:pPr>
        <w:pStyle w:val="VEOHRCHeading2"/>
        <w:rPr>
          <w:color w:val="00ADEF"/>
          <w:lang w:eastAsia="en-US"/>
        </w:rPr>
      </w:pPr>
      <w:r w:rsidRPr="0077375F">
        <w:rPr>
          <w:lang w:eastAsia="en-US"/>
        </w:rPr>
        <w:t>Compliance with building and maintenance provisions of the</w:t>
      </w:r>
      <w:r w:rsidR="001B0C5C">
        <w:rPr>
          <w:lang w:eastAsia="en-US"/>
        </w:rPr>
        <w:t xml:space="preserve"> </w:t>
      </w:r>
      <w:r w:rsidRPr="0077375F">
        <w:rPr>
          <w:lang w:eastAsia="en-US"/>
        </w:rPr>
        <w:t>Building Act 1993</w:t>
      </w:r>
      <w:r w:rsidRPr="0077375F">
        <w:rPr>
          <w:color w:val="00ADEF"/>
          <w:lang w:eastAsia="en-US"/>
        </w:rPr>
        <w:t xml:space="preserve"> </w:t>
      </w:r>
    </w:p>
    <w:p w14:paraId="2B63B82C" w14:textId="77777777" w:rsidR="0077375F" w:rsidRDefault="0077375F" w:rsidP="0077375F">
      <w:pPr>
        <w:widowControl w:val="0"/>
        <w:suppressAutoHyphens/>
        <w:autoSpaceDE w:val="0"/>
        <w:autoSpaceDN w:val="0"/>
        <w:adjustRightInd w:val="0"/>
        <w:spacing w:after="113" w:line="250" w:lineRule="atLeast"/>
        <w:textAlignment w:val="center"/>
        <w:rPr>
          <w:rFonts w:ascii="ArialMT-Light" w:hAnsi="ArialMT-Light" w:cs="ArialMT-Light"/>
          <w:color w:val="000000"/>
          <w:lang w:val="en-GB" w:eastAsia="en-US"/>
        </w:rPr>
      </w:pPr>
      <w:r w:rsidRPr="0077375F">
        <w:rPr>
          <w:rStyle w:val="VEOHRCBodytextChar"/>
          <w:lang w:eastAsia="en-US"/>
        </w:rPr>
        <w:t xml:space="preserve">The Commission does not own or control any government buildings and is therefore </w:t>
      </w:r>
      <w:proofErr w:type="gramStart"/>
      <w:r w:rsidRPr="0077375F">
        <w:rPr>
          <w:rStyle w:val="VEOHRCBodytextChar"/>
          <w:lang w:eastAsia="en-US"/>
        </w:rPr>
        <w:t>exempt</w:t>
      </w:r>
      <w:proofErr w:type="gramEnd"/>
      <w:r w:rsidRPr="0077375F">
        <w:rPr>
          <w:rStyle w:val="VEOHRCBodytextChar"/>
          <w:lang w:eastAsia="en-US"/>
        </w:rPr>
        <w:t xml:space="preserve"> from notifying its compliance with the building and maintenance provisions of the </w:t>
      </w:r>
      <w:r w:rsidRPr="0077375F">
        <w:rPr>
          <w:rStyle w:val="VEOHRCBodytextChar"/>
          <w:i/>
          <w:lang w:eastAsia="en-US"/>
        </w:rPr>
        <w:t>Building Act 1993</w:t>
      </w:r>
      <w:r w:rsidRPr="0077375F">
        <w:rPr>
          <w:rStyle w:val="VEOHRCBodytextChar"/>
          <w:lang w:eastAsia="en-US"/>
        </w:rPr>
        <w:t>.</w:t>
      </w:r>
    </w:p>
    <w:p w14:paraId="4FECD050" w14:textId="77777777" w:rsidR="0077375F" w:rsidRDefault="0077375F" w:rsidP="00B5078A">
      <w:pPr>
        <w:pStyle w:val="VEOHRCBodytext"/>
        <w:sectPr w:rsidR="0077375F" w:rsidSect="00E2047F">
          <w:pgSz w:w="11906" w:h="16838" w:code="9"/>
          <w:pgMar w:top="1134" w:right="1418" w:bottom="1134" w:left="1418" w:header="709" w:footer="272" w:gutter="0"/>
          <w:cols w:space="708"/>
          <w:titlePg/>
          <w:docGrid w:linePitch="360"/>
        </w:sectPr>
      </w:pPr>
    </w:p>
    <w:p w14:paraId="5E05FB89" w14:textId="77777777" w:rsidR="0077375F" w:rsidRDefault="009A1D42" w:rsidP="00B5078A">
      <w:pPr>
        <w:pStyle w:val="VEOHRCBodytext"/>
      </w:pPr>
      <w:r>
        <w:rPr>
          <w:noProof/>
          <w:lang w:val="en-US" w:eastAsia="en-US"/>
        </w:rPr>
        <w:lastRenderedPageBreak/>
        <w:drawing>
          <wp:inline distT="0" distB="0" distL="0" distR="0" wp14:anchorId="61C01E0A" wp14:editId="224D55BA">
            <wp:extent cx="2166620" cy="590550"/>
            <wp:effectExtent l="0" t="0" r="0" b="0"/>
            <wp:docPr id="3" name="Picture 3"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90550"/>
                    </a:xfrm>
                    <a:prstGeom prst="rect">
                      <a:avLst/>
                    </a:prstGeom>
                    <a:noFill/>
                    <a:ln>
                      <a:noFill/>
                    </a:ln>
                  </pic:spPr>
                </pic:pic>
              </a:graphicData>
            </a:graphic>
          </wp:inline>
        </w:drawing>
      </w:r>
    </w:p>
    <w:p w14:paraId="648EEDAA" w14:textId="3B845036" w:rsidR="00B5078A" w:rsidRPr="00107E76" w:rsidRDefault="00B5078A" w:rsidP="00B5078A">
      <w:pPr>
        <w:pStyle w:val="VEOHRCHeading3"/>
      </w:pPr>
      <w:bookmarkStart w:id="0" w:name="_Toc287949169"/>
      <w:r w:rsidRPr="00107E76">
        <w:t>Contact us</w:t>
      </w:r>
      <w:bookmarkEnd w:id="0"/>
    </w:p>
    <w:p w14:paraId="6F2F655F" w14:textId="4FCC2298" w:rsidR="0077375F" w:rsidRDefault="00B5078A" w:rsidP="00E2047F">
      <w:pPr>
        <w:pStyle w:val="VEOHRCBodytext"/>
        <w:rPr>
          <w:color w:val="0000FF"/>
        </w:rPr>
      </w:pPr>
      <w:r w:rsidRPr="007514BD">
        <w:t xml:space="preserve">Enquiry Line </w:t>
      </w:r>
      <w:r w:rsidRPr="007514BD">
        <w:tab/>
        <w:t>1300 292 153 or (03) 9032 3583</w:t>
      </w:r>
      <w:r w:rsidR="001B0C5C">
        <w:t xml:space="preserve"> </w:t>
      </w:r>
      <w:r w:rsidRPr="007514BD">
        <w:t>Fax</w:t>
      </w:r>
      <w:r w:rsidRPr="007514BD">
        <w:tab/>
        <w:t>1300 891 858</w:t>
      </w:r>
      <w:r w:rsidR="001B0C5C">
        <w:t xml:space="preserve"> </w:t>
      </w:r>
      <w:r w:rsidRPr="007514BD">
        <w:t>Hearing impaired (TTY)</w:t>
      </w:r>
      <w:r w:rsidRPr="007514BD">
        <w:tab/>
        <w:t>1300 289 621</w:t>
      </w:r>
      <w:r w:rsidR="001B0C5C">
        <w:t xml:space="preserve"> </w:t>
      </w:r>
      <w:r w:rsidRPr="007514BD">
        <w:t>Interpreters</w:t>
      </w:r>
      <w:r w:rsidRPr="007514BD">
        <w:tab/>
        <w:t>1300 152 494</w:t>
      </w:r>
      <w:r w:rsidR="001B0C5C">
        <w:t xml:space="preserve"> </w:t>
      </w:r>
      <w:r w:rsidRPr="007514BD">
        <w:t>Email</w:t>
      </w:r>
      <w:r w:rsidRPr="007514BD">
        <w:tab/>
      </w:r>
      <w:hyperlink r:id="rId13" w:history="1">
        <w:r w:rsidRPr="007514BD">
          <w:t>information@veohrc.vic.gov.au</w:t>
        </w:r>
      </w:hyperlink>
      <w:r w:rsidR="001B0C5C">
        <w:t xml:space="preserve"> </w:t>
      </w:r>
      <w:r w:rsidRPr="007514BD">
        <w:t>Website</w:t>
      </w:r>
      <w:r w:rsidRPr="007514BD">
        <w:tab/>
      </w:r>
      <w:hyperlink r:id="rId14" w:history="1">
        <w:r w:rsidR="00E2047F" w:rsidRPr="00F77069">
          <w:rPr>
            <w:rStyle w:val="Hyperlink"/>
          </w:rPr>
          <w:t>www.humanrightscommission.vic.gov.au</w:t>
        </w:r>
      </w:hyperlink>
      <w:r w:rsidR="001B0C5C">
        <w:t xml:space="preserve"> </w:t>
      </w:r>
      <w:r w:rsidR="00E2047F" w:rsidRPr="00E2047F">
        <w:t>Follow us on Twitter</w:t>
      </w:r>
      <w:r w:rsidR="00E2047F" w:rsidRPr="00E2047F">
        <w:tab/>
      </w:r>
      <w:hyperlink r:id="rId15" w:history="1">
        <w:r w:rsidR="00E2047F" w:rsidRPr="00F77069">
          <w:rPr>
            <w:rStyle w:val="Hyperlink"/>
          </w:rPr>
          <w:t>www.twitter.com/VEOHRC</w:t>
        </w:r>
      </w:hyperlink>
      <w:r w:rsidR="001B0C5C">
        <w:t xml:space="preserve"> </w:t>
      </w:r>
      <w:r w:rsidR="00E2047F" w:rsidRPr="00E2047F">
        <w:t>Find us at</w:t>
      </w:r>
      <w:r w:rsidR="00E2047F" w:rsidRPr="00E2047F">
        <w:tab/>
      </w:r>
      <w:hyperlink r:id="rId16" w:history="1">
        <w:r w:rsidR="00E2047F" w:rsidRPr="00F77069">
          <w:rPr>
            <w:rStyle w:val="Hyperlink"/>
          </w:rPr>
          <w:t>www.facebook.com/VEOHRC</w:t>
        </w:r>
      </w:hyperlink>
      <w:r w:rsidR="00E2047F">
        <w:rPr>
          <w:color w:val="0000FF"/>
        </w:rPr>
        <w:t xml:space="preserve"> </w:t>
      </w:r>
    </w:p>
    <w:p w14:paraId="7C16BDC0" w14:textId="268FA165" w:rsidR="003A3EF4" w:rsidRPr="004D2862" w:rsidRDefault="00B5078A" w:rsidP="00B5078A">
      <w:pPr>
        <w:pStyle w:val="VEOHRCBodytext"/>
      </w:pPr>
      <w:proofErr w:type="gramStart"/>
      <w:r w:rsidRPr="00107E76">
        <w:rPr>
          <w:sz w:val="48"/>
          <w:szCs w:val="48"/>
        </w:rPr>
        <w:t>humanrightscommission.vic.gov.au</w:t>
      </w:r>
      <w:bookmarkStart w:id="1" w:name="_GoBack"/>
      <w:bookmarkEnd w:id="1"/>
      <w:proofErr w:type="gramEnd"/>
    </w:p>
    <w:sectPr w:rsidR="003A3EF4" w:rsidRPr="004D2862" w:rsidSect="00E2047F">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131C" w14:textId="77777777" w:rsidR="00632946" w:rsidRDefault="00632946">
      <w:r>
        <w:separator/>
      </w:r>
    </w:p>
  </w:endnote>
  <w:endnote w:type="continuationSeparator" w:id="0">
    <w:p w14:paraId="36D8A7B2" w14:textId="77777777" w:rsidR="00632946" w:rsidRDefault="0063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utiger 45 Light">
    <w:altName w:val="Cambria"/>
    <w:panose1 w:val="00000000000000000000"/>
    <w:charset w:val="00"/>
    <w:family w:val="auto"/>
    <w:notTrueType/>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MT-Light">
    <w:altName w:val="Arial MT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Dax-Medium">
    <w:panose1 w:val="02000506060000020004"/>
    <w:charset w:val="00"/>
    <w:family w:val="auto"/>
    <w:pitch w:val="variable"/>
    <w:sig w:usb0="8000002F" w:usb1="4000004A" w:usb2="00000000" w:usb3="00000000" w:csb0="00000001" w:csb1="00000000"/>
  </w:font>
  <w:font w:name="ArialMT-Medium">
    <w:altName w:val="Arial MT Medium"/>
    <w:panose1 w:val="00000000000000000000"/>
    <w:charset w:val="00"/>
    <w:family w:val="auto"/>
    <w:notTrueType/>
    <w:pitch w:val="default"/>
    <w:sig w:usb0="00000003" w:usb1="00000000" w:usb2="00000000" w:usb3="00000000" w:csb0="00000001" w:csb1="00000000"/>
  </w:font>
  <w:font w:name="ArialMT-LightItalic">
    <w:altName w:val="Arial MT Light"/>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A6DC" w14:textId="4F6665BC" w:rsidR="00632946" w:rsidRPr="00E10D10" w:rsidRDefault="00632946" w:rsidP="0031423E">
    <w:pPr>
      <w:pStyle w:val="Footer"/>
      <w:tabs>
        <w:tab w:val="clear" w:pos="4153"/>
        <w:tab w:val="clear" w:pos="8306"/>
        <w:tab w:val="right" w:pos="9000"/>
      </w:tabs>
      <w:rPr>
        <w:rFonts w:ascii="Arial" w:hAnsi="Arial" w:cs="Arial"/>
        <w:sz w:val="18"/>
        <w:szCs w:val="18"/>
      </w:rPr>
    </w:pPr>
    <w:r w:rsidRPr="008D23C6">
      <w:rPr>
        <w:rFonts w:ascii="Arial" w:hAnsi="Arial" w:cs="Arial"/>
        <w:i/>
        <w:sz w:val="18"/>
        <w:szCs w:val="18"/>
      </w:rPr>
      <w:t>Victorian Equal Opportunity and Human Rights Commission Annual Report 201</w:t>
    </w:r>
    <w:r>
      <w:rPr>
        <w:rFonts w:ascii="Arial" w:hAnsi="Arial" w:cs="Arial"/>
        <w:i/>
        <w:sz w:val="18"/>
        <w:szCs w:val="18"/>
      </w:rPr>
      <w:t>5</w:t>
    </w:r>
    <w:r w:rsidRPr="008D23C6">
      <w:rPr>
        <w:rFonts w:ascii="Arial" w:hAnsi="Arial" w:cs="Arial"/>
        <w:i/>
        <w:sz w:val="18"/>
        <w:szCs w:val="18"/>
      </w:rPr>
      <w:t>/1</w:t>
    </w:r>
    <w:r>
      <w:rPr>
        <w:rFonts w:ascii="Arial" w:hAnsi="Arial" w:cs="Arial"/>
        <w:i/>
        <w:sz w:val="18"/>
        <w:szCs w:val="18"/>
      </w:rPr>
      <w:t>6</w:t>
    </w:r>
    <w:r>
      <w:rPr>
        <w:rFonts w:ascii="Arial" w:hAnsi="Arial" w:cs="Arial"/>
        <w:sz w:val="18"/>
        <w:szCs w:val="18"/>
      </w:rPr>
      <w:tab/>
    </w:r>
    <w:r w:rsidRPr="00BD79E3">
      <w:rPr>
        <w:rFonts w:ascii="Arial" w:hAnsi="Arial" w:cs="Arial"/>
        <w:sz w:val="18"/>
        <w:szCs w:val="18"/>
      </w:rPr>
      <w:t xml:space="preserve">Page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PAGE </w:instrText>
    </w:r>
    <w:r w:rsidRPr="00BD79E3">
      <w:rPr>
        <w:rStyle w:val="PageNumber"/>
        <w:rFonts w:ascii="Arial" w:hAnsi="Arial" w:cs="Arial"/>
        <w:sz w:val="18"/>
        <w:szCs w:val="18"/>
      </w:rPr>
      <w:fldChar w:fldCharType="separate"/>
    </w:r>
    <w:r w:rsidR="00EB0419">
      <w:rPr>
        <w:rStyle w:val="PageNumber"/>
        <w:rFonts w:ascii="Arial" w:hAnsi="Arial" w:cs="Arial"/>
        <w:noProof/>
        <w:sz w:val="18"/>
        <w:szCs w:val="18"/>
      </w:rPr>
      <w:t>50</w:t>
    </w:r>
    <w:r w:rsidRPr="00BD79E3">
      <w:rPr>
        <w:rStyle w:val="PageNumber"/>
        <w:rFonts w:ascii="Arial" w:hAnsi="Arial" w:cs="Arial"/>
        <w:sz w:val="18"/>
        <w:szCs w:val="18"/>
      </w:rPr>
      <w:fldChar w:fldCharType="end"/>
    </w:r>
    <w:r w:rsidRPr="00BD79E3">
      <w:rPr>
        <w:rStyle w:val="PageNumber"/>
        <w:rFonts w:ascii="Arial" w:hAnsi="Arial" w:cs="Arial"/>
        <w:sz w:val="18"/>
        <w:szCs w:val="18"/>
      </w:rPr>
      <w:t xml:space="preserve"> of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NUMPAGES </w:instrText>
    </w:r>
    <w:r w:rsidRPr="00BD79E3">
      <w:rPr>
        <w:rStyle w:val="PageNumber"/>
        <w:rFonts w:ascii="Arial" w:hAnsi="Arial" w:cs="Arial"/>
        <w:sz w:val="18"/>
        <w:szCs w:val="18"/>
      </w:rPr>
      <w:fldChar w:fldCharType="separate"/>
    </w:r>
    <w:r w:rsidR="00EB0419">
      <w:rPr>
        <w:rStyle w:val="PageNumber"/>
        <w:rFonts w:ascii="Arial" w:hAnsi="Arial" w:cs="Arial"/>
        <w:noProof/>
        <w:sz w:val="18"/>
        <w:szCs w:val="18"/>
      </w:rPr>
      <w:t>51</w:t>
    </w:r>
    <w:r w:rsidRPr="00BD79E3">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9039" w14:textId="77777777" w:rsidR="00632946" w:rsidRDefault="00632946">
      <w:r>
        <w:separator/>
      </w:r>
    </w:p>
  </w:footnote>
  <w:footnote w:type="continuationSeparator" w:id="0">
    <w:p w14:paraId="2B8A0D30" w14:textId="77777777" w:rsidR="00632946" w:rsidRDefault="00632946">
      <w:r>
        <w:continuationSeparator/>
      </w:r>
    </w:p>
  </w:footnote>
  <w:footnote w:id="1">
    <w:p w14:paraId="07999E18" w14:textId="7BBA3AF2" w:rsidR="00632946" w:rsidRDefault="00632946" w:rsidP="0077375F">
      <w:pPr>
        <w:pStyle w:val="FootnoteText"/>
        <w:tabs>
          <w:tab w:val="left" w:pos="120"/>
        </w:tabs>
      </w:pPr>
      <w:r>
        <w:rPr>
          <w:vertAlign w:val="superscript"/>
        </w:rPr>
        <w:footnoteRef/>
      </w:r>
      <w:r>
        <w:tab/>
        <w:t xml:space="preserve"> This includes formal notification of Supreme Court and County Court proceedings under section 35 of the Charter and informal notification of proceedings in other courts or tribunals.</w:t>
      </w:r>
    </w:p>
    <w:p w14:paraId="2B52BF4F" w14:textId="77777777" w:rsidR="00632946" w:rsidRDefault="00632946" w:rsidP="0077375F">
      <w:pPr>
        <w:pStyle w:val="FootnoteText"/>
        <w:tabs>
          <w:tab w:val="left" w:pos="120"/>
        </w:tabs>
      </w:pPr>
    </w:p>
  </w:footnote>
  <w:footnote w:id="2">
    <w:p w14:paraId="20820335" w14:textId="120330F4" w:rsidR="00632946" w:rsidRDefault="00632946" w:rsidP="0077375F">
      <w:pPr>
        <w:pStyle w:val="FootnoteText"/>
        <w:tabs>
          <w:tab w:val="left" w:pos="280"/>
        </w:tabs>
      </w:pPr>
      <w:r>
        <w:rPr>
          <w:vertAlign w:val="superscript"/>
        </w:rPr>
        <w:footnoteRef/>
      </w:r>
      <w:r>
        <w:tab/>
        <w:t xml:space="preserve"> One of these interventions related to three Charter notifications received</w:t>
      </w:r>
    </w:p>
    <w:p w14:paraId="36C1C300" w14:textId="77777777" w:rsidR="00632946" w:rsidRDefault="00632946" w:rsidP="0077375F">
      <w:pPr>
        <w:pStyle w:val="FootnoteText"/>
        <w:tabs>
          <w:tab w:val="left" w:pos="280"/>
        </w:tabs>
      </w:pPr>
    </w:p>
  </w:footnote>
  <w:footnote w:id="3">
    <w:p w14:paraId="42629A10" w14:textId="77777777" w:rsidR="00632946" w:rsidRDefault="00632946" w:rsidP="0077375F">
      <w:pPr>
        <w:pStyle w:val="FootnoteText"/>
      </w:pPr>
      <w:r>
        <w:rPr>
          <w:vertAlign w:val="superscript"/>
        </w:rPr>
        <w:footnoteRef/>
      </w:r>
      <w:r>
        <w:tab/>
        <w:t xml:space="preserve"> </w:t>
      </w:r>
      <w:proofErr w:type="gramStart"/>
      <w:r>
        <w:rPr>
          <w:rFonts w:ascii="ArialMT-LightItalic" w:hAnsi="ArialMT-LightItalic" w:cs="ArialMT-LightItalic"/>
          <w:i/>
          <w:iCs/>
        </w:rPr>
        <w:t xml:space="preserve">Equal Opportunity Act 2010 </w:t>
      </w:r>
      <w:r>
        <w:t>(Vic), s 89.</w:t>
      </w:r>
      <w:proofErr w:type="gramEnd"/>
    </w:p>
    <w:p w14:paraId="5BBD2117" w14:textId="77777777" w:rsidR="00632946" w:rsidRDefault="00632946" w:rsidP="0077375F">
      <w:pPr>
        <w:pStyle w:val="FootnoteText"/>
      </w:pPr>
    </w:p>
  </w:footnote>
  <w:footnote w:id="4">
    <w:p w14:paraId="01AB61ED" w14:textId="77777777" w:rsidR="00632946" w:rsidRDefault="00632946" w:rsidP="0077375F">
      <w:pPr>
        <w:pStyle w:val="FootnoteText"/>
      </w:pPr>
      <w:r>
        <w:rPr>
          <w:vertAlign w:val="superscript"/>
        </w:rPr>
        <w:footnoteRef/>
      </w:r>
      <w:r>
        <w:tab/>
        <w:t xml:space="preserve"> </w:t>
      </w:r>
      <w:proofErr w:type="gramStart"/>
      <w:r>
        <w:rPr>
          <w:rFonts w:ascii="ArialMT-LightItalic" w:hAnsi="ArialMT-LightItalic" w:cs="ArialMT-LightItalic"/>
          <w:i/>
          <w:iCs/>
        </w:rPr>
        <w:t xml:space="preserve">Equal Opportunity Act 2010 </w:t>
      </w:r>
      <w:r>
        <w:t>(Vic), s 90.</w:t>
      </w:r>
      <w:proofErr w:type="gramEnd"/>
    </w:p>
    <w:p w14:paraId="26D86A29" w14:textId="77777777" w:rsidR="00632946" w:rsidRDefault="00632946" w:rsidP="0077375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nsid w:val="22281366"/>
    <w:multiLevelType w:val="hybridMultilevel"/>
    <w:tmpl w:val="ED2C472C"/>
    <w:lvl w:ilvl="0" w:tplc="77406118">
      <w:start w:val="1"/>
      <w:numFmt w:val="decimal"/>
      <w:lvlText w:val="%1."/>
      <w:lvlJc w:val="left"/>
      <w:pPr>
        <w:tabs>
          <w:tab w:val="num" w:pos="720"/>
        </w:tabs>
        <w:ind w:left="720" w:hanging="360"/>
      </w:pPr>
    </w:lvl>
    <w:lvl w:ilvl="1" w:tplc="5B74E9A4" w:tentative="1">
      <w:start w:val="1"/>
      <w:numFmt w:val="lowerLetter"/>
      <w:lvlText w:val="%2."/>
      <w:lvlJc w:val="left"/>
      <w:pPr>
        <w:tabs>
          <w:tab w:val="num" w:pos="1440"/>
        </w:tabs>
        <w:ind w:left="1440" w:hanging="360"/>
      </w:pPr>
    </w:lvl>
    <w:lvl w:ilvl="2" w:tplc="F8AC931E">
      <w:start w:val="1"/>
      <w:numFmt w:val="lowerRoman"/>
      <w:pStyle w:val="Handoutdotlist1"/>
      <w:lvlText w:val="%3."/>
      <w:lvlJc w:val="right"/>
      <w:pPr>
        <w:tabs>
          <w:tab w:val="num" w:pos="2340"/>
        </w:tabs>
        <w:ind w:left="2340" w:hanging="360"/>
      </w:pPr>
    </w:lvl>
    <w:lvl w:ilvl="3" w:tplc="699853FE" w:tentative="1">
      <w:start w:val="1"/>
      <w:numFmt w:val="decimal"/>
      <w:lvlText w:val="%4."/>
      <w:lvlJc w:val="left"/>
      <w:pPr>
        <w:tabs>
          <w:tab w:val="num" w:pos="2880"/>
        </w:tabs>
        <w:ind w:left="2880" w:hanging="360"/>
      </w:pPr>
    </w:lvl>
    <w:lvl w:ilvl="4" w:tplc="8CD2E2C6" w:tentative="1">
      <w:start w:val="1"/>
      <w:numFmt w:val="lowerLetter"/>
      <w:lvlText w:val="%5."/>
      <w:lvlJc w:val="left"/>
      <w:pPr>
        <w:tabs>
          <w:tab w:val="num" w:pos="3600"/>
        </w:tabs>
        <w:ind w:left="3600" w:hanging="360"/>
      </w:pPr>
    </w:lvl>
    <w:lvl w:ilvl="5" w:tplc="81C62250" w:tentative="1">
      <w:start w:val="1"/>
      <w:numFmt w:val="lowerRoman"/>
      <w:lvlText w:val="%6."/>
      <w:lvlJc w:val="right"/>
      <w:pPr>
        <w:tabs>
          <w:tab w:val="num" w:pos="4320"/>
        </w:tabs>
        <w:ind w:left="4320" w:hanging="180"/>
      </w:pPr>
    </w:lvl>
    <w:lvl w:ilvl="6" w:tplc="DEEEEC34" w:tentative="1">
      <w:start w:val="1"/>
      <w:numFmt w:val="decimal"/>
      <w:lvlText w:val="%7."/>
      <w:lvlJc w:val="left"/>
      <w:pPr>
        <w:tabs>
          <w:tab w:val="num" w:pos="5040"/>
        </w:tabs>
        <w:ind w:left="5040" w:hanging="360"/>
      </w:pPr>
    </w:lvl>
    <w:lvl w:ilvl="7" w:tplc="17DA6BDE" w:tentative="1">
      <w:start w:val="1"/>
      <w:numFmt w:val="lowerLetter"/>
      <w:lvlText w:val="%8."/>
      <w:lvlJc w:val="left"/>
      <w:pPr>
        <w:tabs>
          <w:tab w:val="num" w:pos="5760"/>
        </w:tabs>
        <w:ind w:left="5760" w:hanging="360"/>
      </w:pPr>
    </w:lvl>
    <w:lvl w:ilvl="8" w:tplc="A3F6C5D0" w:tentative="1">
      <w:start w:val="1"/>
      <w:numFmt w:val="lowerRoman"/>
      <w:lvlText w:val="%9."/>
      <w:lvlJc w:val="right"/>
      <w:pPr>
        <w:tabs>
          <w:tab w:val="num" w:pos="6480"/>
        </w:tabs>
        <w:ind w:left="6480" w:hanging="180"/>
      </w:pPr>
    </w:lvl>
  </w:abstractNum>
  <w:abstractNum w:abstractNumId="19">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14D51"/>
    <w:multiLevelType w:val="hybridMultilevel"/>
    <w:tmpl w:val="A0DCA972"/>
    <w:lvl w:ilvl="0" w:tplc="92ECCB68">
      <w:start w:val="1"/>
      <w:numFmt w:val="bullet"/>
      <w:pStyle w:val="Titlepagecontentslist1"/>
      <w:lvlText w:val=""/>
      <w:lvlJc w:val="left"/>
      <w:pPr>
        <w:tabs>
          <w:tab w:val="num" w:pos="417"/>
        </w:tabs>
        <w:ind w:left="340" w:hanging="283"/>
      </w:pPr>
      <w:rPr>
        <w:rFonts w:ascii="Symbol" w:hAnsi="Symbol" w:hint="default"/>
      </w:rPr>
    </w:lvl>
    <w:lvl w:ilvl="1" w:tplc="0F5A317A">
      <w:start w:val="1"/>
      <w:numFmt w:val="bullet"/>
      <w:lvlText w:val="o"/>
      <w:lvlJc w:val="left"/>
      <w:pPr>
        <w:tabs>
          <w:tab w:val="num" w:pos="2177"/>
        </w:tabs>
        <w:ind w:left="2177" w:hanging="360"/>
      </w:pPr>
      <w:rPr>
        <w:rFonts w:ascii="Courier New" w:hAnsi="Courier New" w:hint="default"/>
      </w:rPr>
    </w:lvl>
    <w:lvl w:ilvl="2" w:tplc="5E7C3022" w:tentative="1">
      <w:start w:val="1"/>
      <w:numFmt w:val="bullet"/>
      <w:lvlText w:val=""/>
      <w:lvlJc w:val="left"/>
      <w:pPr>
        <w:tabs>
          <w:tab w:val="num" w:pos="2897"/>
        </w:tabs>
        <w:ind w:left="2897" w:hanging="360"/>
      </w:pPr>
      <w:rPr>
        <w:rFonts w:ascii="Wingdings" w:hAnsi="Wingdings" w:hint="default"/>
      </w:rPr>
    </w:lvl>
    <w:lvl w:ilvl="3" w:tplc="DC8CA042" w:tentative="1">
      <w:start w:val="1"/>
      <w:numFmt w:val="bullet"/>
      <w:lvlText w:val=""/>
      <w:lvlJc w:val="left"/>
      <w:pPr>
        <w:tabs>
          <w:tab w:val="num" w:pos="3617"/>
        </w:tabs>
        <w:ind w:left="3617" w:hanging="360"/>
      </w:pPr>
      <w:rPr>
        <w:rFonts w:ascii="Symbol" w:hAnsi="Symbol" w:hint="default"/>
      </w:rPr>
    </w:lvl>
    <w:lvl w:ilvl="4" w:tplc="AD2AC95A" w:tentative="1">
      <w:start w:val="1"/>
      <w:numFmt w:val="bullet"/>
      <w:lvlText w:val="o"/>
      <w:lvlJc w:val="left"/>
      <w:pPr>
        <w:tabs>
          <w:tab w:val="num" w:pos="4337"/>
        </w:tabs>
        <w:ind w:left="4337" w:hanging="360"/>
      </w:pPr>
      <w:rPr>
        <w:rFonts w:ascii="Courier New" w:hAnsi="Courier New" w:hint="default"/>
      </w:rPr>
    </w:lvl>
    <w:lvl w:ilvl="5" w:tplc="29422322" w:tentative="1">
      <w:start w:val="1"/>
      <w:numFmt w:val="bullet"/>
      <w:lvlText w:val=""/>
      <w:lvlJc w:val="left"/>
      <w:pPr>
        <w:tabs>
          <w:tab w:val="num" w:pos="5057"/>
        </w:tabs>
        <w:ind w:left="5057" w:hanging="360"/>
      </w:pPr>
      <w:rPr>
        <w:rFonts w:ascii="Wingdings" w:hAnsi="Wingdings" w:hint="default"/>
      </w:rPr>
    </w:lvl>
    <w:lvl w:ilvl="6" w:tplc="4C2A649C" w:tentative="1">
      <w:start w:val="1"/>
      <w:numFmt w:val="bullet"/>
      <w:lvlText w:val=""/>
      <w:lvlJc w:val="left"/>
      <w:pPr>
        <w:tabs>
          <w:tab w:val="num" w:pos="5777"/>
        </w:tabs>
        <w:ind w:left="5777" w:hanging="360"/>
      </w:pPr>
      <w:rPr>
        <w:rFonts w:ascii="Symbol" w:hAnsi="Symbol" w:hint="default"/>
      </w:rPr>
    </w:lvl>
    <w:lvl w:ilvl="7" w:tplc="13285554" w:tentative="1">
      <w:start w:val="1"/>
      <w:numFmt w:val="bullet"/>
      <w:lvlText w:val="o"/>
      <w:lvlJc w:val="left"/>
      <w:pPr>
        <w:tabs>
          <w:tab w:val="num" w:pos="6497"/>
        </w:tabs>
        <w:ind w:left="6497" w:hanging="360"/>
      </w:pPr>
      <w:rPr>
        <w:rFonts w:ascii="Courier New" w:hAnsi="Courier New" w:hint="default"/>
      </w:rPr>
    </w:lvl>
    <w:lvl w:ilvl="8" w:tplc="F2485ADA" w:tentative="1">
      <w:start w:val="1"/>
      <w:numFmt w:val="bullet"/>
      <w:lvlText w:val=""/>
      <w:lvlJc w:val="left"/>
      <w:pPr>
        <w:tabs>
          <w:tab w:val="num" w:pos="7217"/>
        </w:tabs>
        <w:ind w:left="7217" w:hanging="360"/>
      </w:pPr>
      <w:rPr>
        <w:rFonts w:ascii="Wingdings" w:hAnsi="Wingdings" w:hint="default"/>
      </w:rPr>
    </w:lvl>
  </w:abstractNum>
  <w:abstractNum w:abstractNumId="21">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3D1375"/>
    <w:multiLevelType w:val="hybridMultilevel"/>
    <w:tmpl w:val="30D4C086"/>
    <w:lvl w:ilvl="0" w:tplc="618A6804">
      <w:start w:val="1"/>
      <w:numFmt w:val="bullet"/>
      <w:pStyle w:val="VEOHRCListBullet"/>
      <w:lvlText w:val=""/>
      <w:lvlJc w:val="left"/>
      <w:pPr>
        <w:tabs>
          <w:tab w:val="num" w:pos="360"/>
        </w:tabs>
        <w:ind w:left="360" w:hanging="360"/>
      </w:pPr>
      <w:rPr>
        <w:rFonts w:ascii="Symbol" w:hAnsi="Symbol" w:hint="default"/>
      </w:rPr>
    </w:lvl>
    <w:lvl w:ilvl="1" w:tplc="F020A318" w:tentative="1">
      <w:start w:val="1"/>
      <w:numFmt w:val="bullet"/>
      <w:lvlText w:val="o"/>
      <w:lvlJc w:val="left"/>
      <w:pPr>
        <w:tabs>
          <w:tab w:val="num" w:pos="1440"/>
        </w:tabs>
        <w:ind w:left="1440" w:hanging="360"/>
      </w:pPr>
      <w:rPr>
        <w:rFonts w:ascii="Courier New" w:hAnsi="Courier New" w:cs="Courier New" w:hint="default"/>
      </w:rPr>
    </w:lvl>
    <w:lvl w:ilvl="2" w:tplc="4EFA5D0A" w:tentative="1">
      <w:start w:val="1"/>
      <w:numFmt w:val="bullet"/>
      <w:lvlText w:val=""/>
      <w:lvlJc w:val="left"/>
      <w:pPr>
        <w:tabs>
          <w:tab w:val="num" w:pos="2160"/>
        </w:tabs>
        <w:ind w:left="2160" w:hanging="360"/>
      </w:pPr>
      <w:rPr>
        <w:rFonts w:ascii="Wingdings" w:hAnsi="Wingdings" w:hint="default"/>
      </w:rPr>
    </w:lvl>
    <w:lvl w:ilvl="3" w:tplc="9AC4E74A" w:tentative="1">
      <w:start w:val="1"/>
      <w:numFmt w:val="bullet"/>
      <w:lvlText w:val=""/>
      <w:lvlJc w:val="left"/>
      <w:pPr>
        <w:tabs>
          <w:tab w:val="num" w:pos="2880"/>
        </w:tabs>
        <w:ind w:left="2880" w:hanging="360"/>
      </w:pPr>
      <w:rPr>
        <w:rFonts w:ascii="Symbol" w:hAnsi="Symbol" w:hint="default"/>
      </w:rPr>
    </w:lvl>
    <w:lvl w:ilvl="4" w:tplc="9E326F6C" w:tentative="1">
      <w:start w:val="1"/>
      <w:numFmt w:val="bullet"/>
      <w:lvlText w:val="o"/>
      <w:lvlJc w:val="left"/>
      <w:pPr>
        <w:tabs>
          <w:tab w:val="num" w:pos="3600"/>
        </w:tabs>
        <w:ind w:left="3600" w:hanging="360"/>
      </w:pPr>
      <w:rPr>
        <w:rFonts w:ascii="Courier New" w:hAnsi="Courier New" w:cs="Courier New" w:hint="default"/>
      </w:rPr>
    </w:lvl>
    <w:lvl w:ilvl="5" w:tplc="051C6274" w:tentative="1">
      <w:start w:val="1"/>
      <w:numFmt w:val="bullet"/>
      <w:lvlText w:val=""/>
      <w:lvlJc w:val="left"/>
      <w:pPr>
        <w:tabs>
          <w:tab w:val="num" w:pos="4320"/>
        </w:tabs>
        <w:ind w:left="4320" w:hanging="360"/>
      </w:pPr>
      <w:rPr>
        <w:rFonts w:ascii="Wingdings" w:hAnsi="Wingdings" w:hint="default"/>
      </w:rPr>
    </w:lvl>
    <w:lvl w:ilvl="6" w:tplc="7B8ADF62" w:tentative="1">
      <w:start w:val="1"/>
      <w:numFmt w:val="bullet"/>
      <w:lvlText w:val=""/>
      <w:lvlJc w:val="left"/>
      <w:pPr>
        <w:tabs>
          <w:tab w:val="num" w:pos="5040"/>
        </w:tabs>
        <w:ind w:left="5040" w:hanging="360"/>
      </w:pPr>
      <w:rPr>
        <w:rFonts w:ascii="Symbol" w:hAnsi="Symbol" w:hint="default"/>
      </w:rPr>
    </w:lvl>
    <w:lvl w:ilvl="7" w:tplc="3B4C3702" w:tentative="1">
      <w:start w:val="1"/>
      <w:numFmt w:val="bullet"/>
      <w:lvlText w:val="o"/>
      <w:lvlJc w:val="left"/>
      <w:pPr>
        <w:tabs>
          <w:tab w:val="num" w:pos="5760"/>
        </w:tabs>
        <w:ind w:left="5760" w:hanging="360"/>
      </w:pPr>
      <w:rPr>
        <w:rFonts w:ascii="Courier New" w:hAnsi="Courier New" w:cs="Courier New" w:hint="default"/>
      </w:rPr>
    </w:lvl>
    <w:lvl w:ilvl="8" w:tplc="ABCAED62" w:tentative="1">
      <w:start w:val="1"/>
      <w:numFmt w:val="bullet"/>
      <w:lvlText w:val=""/>
      <w:lvlJc w:val="left"/>
      <w:pPr>
        <w:tabs>
          <w:tab w:val="num" w:pos="6480"/>
        </w:tabs>
        <w:ind w:left="6480" w:hanging="360"/>
      </w:pPr>
      <w:rPr>
        <w:rFonts w:ascii="Wingdings" w:hAnsi="Wingdings" w:hint="default"/>
      </w:rPr>
    </w:lvl>
  </w:abstractNum>
  <w:abstractNum w:abstractNumId="24">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nsid w:val="32B04E30"/>
    <w:multiLevelType w:val="hybridMultilevel"/>
    <w:tmpl w:val="BBEAAF48"/>
    <w:lvl w:ilvl="0" w:tplc="DF7676FC">
      <w:start w:val="1"/>
      <w:numFmt w:val="bullet"/>
      <w:pStyle w:val="TableText-ListIndent"/>
      <w:lvlText w:val=""/>
      <w:lvlJc w:val="left"/>
      <w:pPr>
        <w:tabs>
          <w:tab w:val="num" w:pos="284"/>
        </w:tabs>
        <w:ind w:left="284" w:hanging="142"/>
      </w:pPr>
      <w:rPr>
        <w:rFonts w:ascii="Symbol" w:hAnsi="Symbol" w:hint="default"/>
        <w:color w:val="auto"/>
        <w:sz w:val="12"/>
      </w:rPr>
    </w:lvl>
    <w:lvl w:ilvl="1" w:tplc="032E703A" w:tentative="1">
      <w:start w:val="1"/>
      <w:numFmt w:val="bullet"/>
      <w:lvlText w:val="o"/>
      <w:lvlJc w:val="left"/>
      <w:pPr>
        <w:tabs>
          <w:tab w:val="num" w:pos="1440"/>
        </w:tabs>
        <w:ind w:left="1440" w:hanging="360"/>
      </w:pPr>
      <w:rPr>
        <w:rFonts w:ascii="Courier New" w:hAnsi="Courier New" w:cs="Courier New" w:hint="default"/>
      </w:rPr>
    </w:lvl>
    <w:lvl w:ilvl="2" w:tplc="CDDAE2EE" w:tentative="1">
      <w:start w:val="1"/>
      <w:numFmt w:val="bullet"/>
      <w:lvlText w:val=""/>
      <w:lvlJc w:val="left"/>
      <w:pPr>
        <w:tabs>
          <w:tab w:val="num" w:pos="2160"/>
        </w:tabs>
        <w:ind w:left="2160" w:hanging="360"/>
      </w:pPr>
      <w:rPr>
        <w:rFonts w:ascii="Wingdings" w:hAnsi="Wingdings" w:hint="default"/>
      </w:rPr>
    </w:lvl>
    <w:lvl w:ilvl="3" w:tplc="87EC11F8" w:tentative="1">
      <w:start w:val="1"/>
      <w:numFmt w:val="bullet"/>
      <w:lvlText w:val=""/>
      <w:lvlJc w:val="left"/>
      <w:pPr>
        <w:tabs>
          <w:tab w:val="num" w:pos="2880"/>
        </w:tabs>
        <w:ind w:left="2880" w:hanging="360"/>
      </w:pPr>
      <w:rPr>
        <w:rFonts w:ascii="Symbol" w:hAnsi="Symbol" w:hint="default"/>
      </w:rPr>
    </w:lvl>
    <w:lvl w:ilvl="4" w:tplc="B2B8D4CE" w:tentative="1">
      <w:start w:val="1"/>
      <w:numFmt w:val="bullet"/>
      <w:lvlText w:val="o"/>
      <w:lvlJc w:val="left"/>
      <w:pPr>
        <w:tabs>
          <w:tab w:val="num" w:pos="3600"/>
        </w:tabs>
        <w:ind w:left="3600" w:hanging="360"/>
      </w:pPr>
      <w:rPr>
        <w:rFonts w:ascii="Courier New" w:hAnsi="Courier New" w:cs="Courier New" w:hint="default"/>
      </w:rPr>
    </w:lvl>
    <w:lvl w:ilvl="5" w:tplc="9236BCC6" w:tentative="1">
      <w:start w:val="1"/>
      <w:numFmt w:val="bullet"/>
      <w:lvlText w:val=""/>
      <w:lvlJc w:val="left"/>
      <w:pPr>
        <w:tabs>
          <w:tab w:val="num" w:pos="4320"/>
        </w:tabs>
        <w:ind w:left="4320" w:hanging="360"/>
      </w:pPr>
      <w:rPr>
        <w:rFonts w:ascii="Wingdings" w:hAnsi="Wingdings" w:hint="default"/>
      </w:rPr>
    </w:lvl>
    <w:lvl w:ilvl="6" w:tplc="A7F27B00" w:tentative="1">
      <w:start w:val="1"/>
      <w:numFmt w:val="bullet"/>
      <w:lvlText w:val=""/>
      <w:lvlJc w:val="left"/>
      <w:pPr>
        <w:tabs>
          <w:tab w:val="num" w:pos="5040"/>
        </w:tabs>
        <w:ind w:left="5040" w:hanging="360"/>
      </w:pPr>
      <w:rPr>
        <w:rFonts w:ascii="Symbol" w:hAnsi="Symbol" w:hint="default"/>
      </w:rPr>
    </w:lvl>
    <w:lvl w:ilvl="7" w:tplc="3D1017BE" w:tentative="1">
      <w:start w:val="1"/>
      <w:numFmt w:val="bullet"/>
      <w:lvlText w:val="o"/>
      <w:lvlJc w:val="left"/>
      <w:pPr>
        <w:tabs>
          <w:tab w:val="num" w:pos="5760"/>
        </w:tabs>
        <w:ind w:left="5760" w:hanging="360"/>
      </w:pPr>
      <w:rPr>
        <w:rFonts w:ascii="Courier New" w:hAnsi="Courier New" w:cs="Courier New" w:hint="default"/>
      </w:rPr>
    </w:lvl>
    <w:lvl w:ilvl="8" w:tplc="151E9838" w:tentative="1">
      <w:start w:val="1"/>
      <w:numFmt w:val="bullet"/>
      <w:lvlText w:val=""/>
      <w:lvlJc w:val="left"/>
      <w:pPr>
        <w:tabs>
          <w:tab w:val="num" w:pos="6480"/>
        </w:tabs>
        <w:ind w:left="6480" w:hanging="360"/>
      </w:pPr>
      <w:rPr>
        <w:rFonts w:ascii="Wingdings" w:hAnsi="Wingdings" w:hint="default"/>
      </w:rPr>
    </w:lvl>
  </w:abstractNum>
  <w:abstractNum w:abstractNumId="26">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pStyle w:val="VEOHRC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42"/>
    <w:rsid w:val="0003080D"/>
    <w:rsid w:val="00032B53"/>
    <w:rsid w:val="00042CA3"/>
    <w:rsid w:val="000735CB"/>
    <w:rsid w:val="00084487"/>
    <w:rsid w:val="000860D8"/>
    <w:rsid w:val="000A0CC8"/>
    <w:rsid w:val="000A4416"/>
    <w:rsid w:val="000E0FEE"/>
    <w:rsid w:val="000E2477"/>
    <w:rsid w:val="000F79BE"/>
    <w:rsid w:val="001044E4"/>
    <w:rsid w:val="00107865"/>
    <w:rsid w:val="001118B2"/>
    <w:rsid w:val="00124060"/>
    <w:rsid w:val="00124749"/>
    <w:rsid w:val="00130069"/>
    <w:rsid w:val="00132003"/>
    <w:rsid w:val="0015030A"/>
    <w:rsid w:val="00181097"/>
    <w:rsid w:val="001B0C5C"/>
    <w:rsid w:val="00205316"/>
    <w:rsid w:val="00205A10"/>
    <w:rsid w:val="00221679"/>
    <w:rsid w:val="00235BF0"/>
    <w:rsid w:val="00265A2C"/>
    <w:rsid w:val="00281D6F"/>
    <w:rsid w:val="00284921"/>
    <w:rsid w:val="0029662A"/>
    <w:rsid w:val="002A58FD"/>
    <w:rsid w:val="002B2223"/>
    <w:rsid w:val="002B4ECE"/>
    <w:rsid w:val="002C4CCE"/>
    <w:rsid w:val="002D732E"/>
    <w:rsid w:val="002E170F"/>
    <w:rsid w:val="002F016E"/>
    <w:rsid w:val="002F13A4"/>
    <w:rsid w:val="003001B3"/>
    <w:rsid w:val="00301490"/>
    <w:rsid w:val="00301FC7"/>
    <w:rsid w:val="0031423E"/>
    <w:rsid w:val="003271F0"/>
    <w:rsid w:val="00342C96"/>
    <w:rsid w:val="0035165B"/>
    <w:rsid w:val="00363B5B"/>
    <w:rsid w:val="003664FE"/>
    <w:rsid w:val="0038278D"/>
    <w:rsid w:val="003832C6"/>
    <w:rsid w:val="00395EEE"/>
    <w:rsid w:val="003965C3"/>
    <w:rsid w:val="003966A0"/>
    <w:rsid w:val="003A3EF4"/>
    <w:rsid w:val="003A7955"/>
    <w:rsid w:val="003C5E29"/>
    <w:rsid w:val="003D0A30"/>
    <w:rsid w:val="003D1E98"/>
    <w:rsid w:val="003E03C4"/>
    <w:rsid w:val="003E676F"/>
    <w:rsid w:val="00404E8A"/>
    <w:rsid w:val="00413AA3"/>
    <w:rsid w:val="00430C66"/>
    <w:rsid w:val="0044777B"/>
    <w:rsid w:val="00451A11"/>
    <w:rsid w:val="0048424B"/>
    <w:rsid w:val="00487E03"/>
    <w:rsid w:val="004919DD"/>
    <w:rsid w:val="004A38C5"/>
    <w:rsid w:val="004A3E78"/>
    <w:rsid w:val="004D2862"/>
    <w:rsid w:val="004E0C1F"/>
    <w:rsid w:val="00500F88"/>
    <w:rsid w:val="005256F7"/>
    <w:rsid w:val="00530F52"/>
    <w:rsid w:val="00531699"/>
    <w:rsid w:val="00535117"/>
    <w:rsid w:val="00540F42"/>
    <w:rsid w:val="00553F0F"/>
    <w:rsid w:val="0056016E"/>
    <w:rsid w:val="00560C1C"/>
    <w:rsid w:val="0056661D"/>
    <w:rsid w:val="0058484F"/>
    <w:rsid w:val="005A2471"/>
    <w:rsid w:val="005A27E1"/>
    <w:rsid w:val="005A7E22"/>
    <w:rsid w:val="005B4901"/>
    <w:rsid w:val="005B6A66"/>
    <w:rsid w:val="005C2970"/>
    <w:rsid w:val="005D2CD1"/>
    <w:rsid w:val="005D7169"/>
    <w:rsid w:val="005E5263"/>
    <w:rsid w:val="005F078D"/>
    <w:rsid w:val="0060657E"/>
    <w:rsid w:val="0061204D"/>
    <w:rsid w:val="0062600D"/>
    <w:rsid w:val="00632946"/>
    <w:rsid w:val="006412B2"/>
    <w:rsid w:val="00656E4C"/>
    <w:rsid w:val="00664BA8"/>
    <w:rsid w:val="00670438"/>
    <w:rsid w:val="00673E4B"/>
    <w:rsid w:val="006B61C2"/>
    <w:rsid w:val="006E0A3A"/>
    <w:rsid w:val="006E2C59"/>
    <w:rsid w:val="006F0298"/>
    <w:rsid w:val="00706CD4"/>
    <w:rsid w:val="007165B6"/>
    <w:rsid w:val="00731CF6"/>
    <w:rsid w:val="00755B46"/>
    <w:rsid w:val="007566E1"/>
    <w:rsid w:val="007650A3"/>
    <w:rsid w:val="0077375F"/>
    <w:rsid w:val="00776E77"/>
    <w:rsid w:val="007829B2"/>
    <w:rsid w:val="00783576"/>
    <w:rsid w:val="007A0508"/>
    <w:rsid w:val="007A7241"/>
    <w:rsid w:val="007C4C49"/>
    <w:rsid w:val="007E2B11"/>
    <w:rsid w:val="007F0781"/>
    <w:rsid w:val="007F75D7"/>
    <w:rsid w:val="00800CEB"/>
    <w:rsid w:val="00811901"/>
    <w:rsid w:val="0081292B"/>
    <w:rsid w:val="00821C20"/>
    <w:rsid w:val="00823603"/>
    <w:rsid w:val="00830F21"/>
    <w:rsid w:val="008346D8"/>
    <w:rsid w:val="00861587"/>
    <w:rsid w:val="00884525"/>
    <w:rsid w:val="00885849"/>
    <w:rsid w:val="008B70BD"/>
    <w:rsid w:val="008C5EBA"/>
    <w:rsid w:val="008D34B3"/>
    <w:rsid w:val="008D5C80"/>
    <w:rsid w:val="008E479F"/>
    <w:rsid w:val="008F0759"/>
    <w:rsid w:val="008F3D3A"/>
    <w:rsid w:val="008F51EC"/>
    <w:rsid w:val="0090133D"/>
    <w:rsid w:val="00903D99"/>
    <w:rsid w:val="00931B81"/>
    <w:rsid w:val="00951D20"/>
    <w:rsid w:val="009844FD"/>
    <w:rsid w:val="00986674"/>
    <w:rsid w:val="00997BA1"/>
    <w:rsid w:val="009A1D42"/>
    <w:rsid w:val="009A5A89"/>
    <w:rsid w:val="009B10AA"/>
    <w:rsid w:val="009B2975"/>
    <w:rsid w:val="009B740E"/>
    <w:rsid w:val="009C65F0"/>
    <w:rsid w:val="009D36E2"/>
    <w:rsid w:val="009E3F98"/>
    <w:rsid w:val="00A02656"/>
    <w:rsid w:val="00A0753A"/>
    <w:rsid w:val="00A11B0D"/>
    <w:rsid w:val="00A2617E"/>
    <w:rsid w:val="00A3373D"/>
    <w:rsid w:val="00A422D8"/>
    <w:rsid w:val="00A54CA6"/>
    <w:rsid w:val="00A61B90"/>
    <w:rsid w:val="00A7211B"/>
    <w:rsid w:val="00A740AC"/>
    <w:rsid w:val="00A76969"/>
    <w:rsid w:val="00A93E5F"/>
    <w:rsid w:val="00AB5A2C"/>
    <w:rsid w:val="00AC43E1"/>
    <w:rsid w:val="00AC5975"/>
    <w:rsid w:val="00AC7D7A"/>
    <w:rsid w:val="00AD0A30"/>
    <w:rsid w:val="00AD2279"/>
    <w:rsid w:val="00AD6660"/>
    <w:rsid w:val="00AF1CE6"/>
    <w:rsid w:val="00AF4EF5"/>
    <w:rsid w:val="00B02BB1"/>
    <w:rsid w:val="00B1216E"/>
    <w:rsid w:val="00B13F96"/>
    <w:rsid w:val="00B31395"/>
    <w:rsid w:val="00B41301"/>
    <w:rsid w:val="00B5078A"/>
    <w:rsid w:val="00B61E6A"/>
    <w:rsid w:val="00B70977"/>
    <w:rsid w:val="00B800C1"/>
    <w:rsid w:val="00B84636"/>
    <w:rsid w:val="00B97EDE"/>
    <w:rsid w:val="00BA39A3"/>
    <w:rsid w:val="00BB3EF0"/>
    <w:rsid w:val="00BC5960"/>
    <w:rsid w:val="00BE0F95"/>
    <w:rsid w:val="00BF450E"/>
    <w:rsid w:val="00C01AF5"/>
    <w:rsid w:val="00C0302F"/>
    <w:rsid w:val="00C2020B"/>
    <w:rsid w:val="00C9179A"/>
    <w:rsid w:val="00C9550D"/>
    <w:rsid w:val="00CB03AF"/>
    <w:rsid w:val="00CD3E56"/>
    <w:rsid w:val="00CD4BE6"/>
    <w:rsid w:val="00CD4C53"/>
    <w:rsid w:val="00CF0AC2"/>
    <w:rsid w:val="00D25A32"/>
    <w:rsid w:val="00D90CCD"/>
    <w:rsid w:val="00D91B72"/>
    <w:rsid w:val="00D92AF5"/>
    <w:rsid w:val="00D9783F"/>
    <w:rsid w:val="00DA7BD6"/>
    <w:rsid w:val="00DB554F"/>
    <w:rsid w:val="00DB75CA"/>
    <w:rsid w:val="00DC42E2"/>
    <w:rsid w:val="00E04077"/>
    <w:rsid w:val="00E06B8E"/>
    <w:rsid w:val="00E10D10"/>
    <w:rsid w:val="00E1621B"/>
    <w:rsid w:val="00E2047F"/>
    <w:rsid w:val="00E22B2F"/>
    <w:rsid w:val="00E35A63"/>
    <w:rsid w:val="00E37D4D"/>
    <w:rsid w:val="00E51435"/>
    <w:rsid w:val="00E669E7"/>
    <w:rsid w:val="00EA3E95"/>
    <w:rsid w:val="00EA4FAE"/>
    <w:rsid w:val="00EB0419"/>
    <w:rsid w:val="00EB0BE6"/>
    <w:rsid w:val="00ED53C6"/>
    <w:rsid w:val="00EE1FE3"/>
    <w:rsid w:val="00EE697D"/>
    <w:rsid w:val="00EF2338"/>
    <w:rsid w:val="00EF25B2"/>
    <w:rsid w:val="00F1597F"/>
    <w:rsid w:val="00F22CAE"/>
    <w:rsid w:val="00F34618"/>
    <w:rsid w:val="00F455ED"/>
    <w:rsid w:val="00F456E0"/>
    <w:rsid w:val="00F5336A"/>
    <w:rsid w:val="00FB16EC"/>
    <w:rsid w:val="00FC70E2"/>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ru v:ext="edit" colors="#00a5e6,#454545,#f3f4ea"/>
    </o:shapedefaults>
    <o:shapelayout v:ext="edit">
      <o:idmap v:ext="edit" data="1"/>
    </o:shapelayout>
  </w:shapeDefaults>
  <w:decimalSymbol w:val="."/>
  <w:listSeparator w:val=","/>
  <w14:docId w14:val="24811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4"/>
      <w:szCs w:val="24"/>
      <w:lang w:eastAsia="en-AU"/>
    </w:rPr>
  </w:style>
  <w:style w:type="paragraph" w:styleId="Heading1">
    <w:name w:val="heading 1"/>
    <w:basedOn w:val="Normal"/>
    <w:next w:val="Normal"/>
    <w:link w:val="Heading1Char"/>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qFormat/>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qFormat/>
    <w:rsid w:val="00221679"/>
    <w:pPr>
      <w:keepNext/>
      <w:numPr>
        <w:ilvl w:val="3"/>
        <w:numId w:val="16"/>
      </w:numPr>
      <w:spacing w:before="240" w:after="60"/>
      <w:outlineLvl w:val="3"/>
    </w:pPr>
    <w:rPr>
      <w:bCs/>
      <w:i/>
      <w:szCs w:val="28"/>
    </w:rPr>
  </w:style>
  <w:style w:type="paragraph" w:styleId="Heading5">
    <w:name w:val="heading 5"/>
    <w:basedOn w:val="Normal"/>
    <w:next w:val="Normal"/>
    <w:qFormat/>
    <w:rsid w:val="00221679"/>
    <w:pPr>
      <w:numPr>
        <w:ilvl w:val="4"/>
        <w:numId w:val="16"/>
      </w:numPr>
      <w:spacing w:before="240" w:after="60"/>
      <w:outlineLvl w:val="4"/>
    </w:pPr>
    <w:rPr>
      <w:b/>
      <w:bCs/>
      <w:i/>
      <w:iCs/>
      <w:sz w:val="26"/>
      <w:szCs w:val="26"/>
    </w:rPr>
  </w:style>
  <w:style w:type="paragraph" w:styleId="Heading6">
    <w:name w:val="heading 6"/>
    <w:basedOn w:val="Normal"/>
    <w:next w:val="Normal"/>
    <w:qFormat/>
    <w:rsid w:val="00221679"/>
    <w:pPr>
      <w:numPr>
        <w:ilvl w:val="5"/>
        <w:numId w:val="16"/>
      </w:numPr>
      <w:spacing w:before="240" w:after="60"/>
      <w:outlineLvl w:val="5"/>
    </w:pPr>
    <w:rPr>
      <w:b/>
      <w:bCs/>
      <w:sz w:val="22"/>
      <w:szCs w:val="22"/>
    </w:rPr>
  </w:style>
  <w:style w:type="paragraph" w:styleId="Heading7">
    <w:name w:val="heading 7"/>
    <w:basedOn w:val="Normal"/>
    <w:next w:val="Normal"/>
    <w:qFormat/>
    <w:rsid w:val="00221679"/>
    <w:pPr>
      <w:numPr>
        <w:ilvl w:val="6"/>
        <w:numId w:val="16"/>
      </w:numPr>
      <w:spacing w:before="240" w:after="60"/>
      <w:outlineLvl w:val="6"/>
    </w:pPr>
  </w:style>
  <w:style w:type="paragraph" w:styleId="Heading8">
    <w:name w:val="heading 8"/>
    <w:basedOn w:val="Normal"/>
    <w:next w:val="Normal"/>
    <w:qFormat/>
    <w:rsid w:val="00221679"/>
    <w:pPr>
      <w:numPr>
        <w:ilvl w:val="7"/>
        <w:numId w:val="16"/>
      </w:numPr>
      <w:spacing w:before="240" w:after="60"/>
      <w:outlineLvl w:val="7"/>
    </w:pPr>
    <w:rPr>
      <w:i/>
      <w:iCs/>
    </w:rPr>
  </w:style>
  <w:style w:type="paragraph" w:styleId="Heading9">
    <w:name w:val="heading 9"/>
    <w:basedOn w:val="Normal"/>
    <w:next w:val="Normal"/>
    <w:qFormat/>
    <w:rsid w:val="00221679"/>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basedOn w:val="DefaultParagraphFont"/>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uiPriority w:val="99"/>
    <w:rsid w:val="00205316"/>
    <w:rPr>
      <w:sz w:val="20"/>
      <w:szCs w:val="20"/>
    </w:rPr>
  </w:style>
  <w:style w:type="paragraph" w:customStyle="1" w:styleId="VEOHRCListBullet">
    <w:name w:val="VEOHRC List Bullet"/>
    <w:basedOn w:val="Normal"/>
    <w:uiPriority w:val="99"/>
    <w:rsid w:val="00A2617E"/>
    <w:pPr>
      <w:numPr>
        <w:numId w:val="14"/>
      </w:numPr>
      <w:spacing w:after="60" w:line="240" w:lineRule="atLeast"/>
    </w:pPr>
    <w:rPr>
      <w:rFonts w:ascii="Arial" w:hAnsi="Arial"/>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basedOn w:val="DefaultParagraphFont"/>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rFonts w:ascii="Arial" w:hAnsi="Arial"/>
      <w:sz w:val="20"/>
      <w:szCs w:val="20"/>
    </w:rPr>
  </w:style>
  <w:style w:type="paragraph" w:customStyle="1" w:styleId="VEOHRCQuotation">
    <w:name w:val="VEOHRC Quotation"/>
    <w:basedOn w:val="Normal"/>
    <w:rsid w:val="00301490"/>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uiPriority w:val="99"/>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uiPriority w:val="99"/>
    <w:rsid w:val="00E2047F"/>
    <w:pPr>
      <w:tabs>
        <w:tab w:val="left" w:pos="2640"/>
      </w:tabs>
      <w:spacing w:before="80" w:after="120"/>
    </w:pPr>
    <w:rPr>
      <w:rFonts w:ascii="Arial" w:eastAsia="Arial Unicode MS" w:hAnsi="Arial"/>
      <w:sz w:val="24"/>
      <w:szCs w:val="24"/>
      <w:lang w:val="en-GB" w:eastAsia="en-AU"/>
    </w:rPr>
  </w:style>
  <w:style w:type="paragraph" w:styleId="ListBullet">
    <w:name w:val="List Bullet"/>
    <w:basedOn w:val="Normal"/>
    <w:semiHidden/>
    <w:rsid w:val="00EF25B2"/>
    <w:pPr>
      <w:numPr>
        <w:numId w:val="1"/>
      </w:numPr>
    </w:pPr>
  </w:style>
  <w:style w:type="character" w:styleId="FootnoteReference">
    <w:name w:val="footnote reference"/>
    <w:basedOn w:val="DefaultParagraphFont"/>
    <w:semiHidden/>
    <w:rsid w:val="00205316"/>
    <w:rPr>
      <w:vertAlign w:val="superscript"/>
    </w:rPr>
  </w:style>
  <w:style w:type="paragraph" w:customStyle="1" w:styleId="VEOHRCChapterTitle">
    <w:name w:val="VEOHRC Chapter Title"/>
    <w:basedOn w:val="Normal"/>
    <w:uiPriority w:val="99"/>
    <w:rsid w:val="0061204D"/>
    <w:pPr>
      <w:pageBreakBefore/>
      <w:spacing w:after="120" w:line="360" w:lineRule="atLeast"/>
    </w:pPr>
    <w:rPr>
      <w:rFonts w:ascii="Arial" w:hAnsi="Arial"/>
      <w:sz w:val="48"/>
      <w:lang w:val="en-GB"/>
    </w:rPr>
  </w:style>
  <w:style w:type="paragraph" w:customStyle="1" w:styleId="VEOHRCHeading2">
    <w:name w:val="VEOHRC Heading 2"/>
    <w:uiPriority w:val="99"/>
    <w:rsid w:val="004919DD"/>
    <w:pPr>
      <w:keepNext/>
      <w:spacing w:before="240" w:line="280" w:lineRule="atLeast"/>
    </w:pPr>
    <w:rPr>
      <w:rFonts w:ascii="Arial" w:eastAsia="Arial Unicode MS" w:hAnsi="Arial" w:cs="Arial"/>
      <w:bCs/>
      <w:iCs/>
      <w:sz w:val="28"/>
      <w:szCs w:val="28"/>
      <w:lang w:val="en-GB" w:eastAsia="en-AU"/>
    </w:rPr>
  </w:style>
  <w:style w:type="paragraph" w:customStyle="1" w:styleId="VEOHRCHeading3">
    <w:name w:val="VEOHRC Heading 3"/>
    <w:basedOn w:val="Heading3"/>
    <w:next w:val="Normal"/>
    <w:link w:val="VEOHRCHeading3Char"/>
    <w:uiPriority w:val="99"/>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basedOn w:val="DefaultParagraphFont"/>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uiPriority w:val="99"/>
    <w:rsid w:val="00205316"/>
    <w:rPr>
      <w:rFonts w:ascii="Arial" w:hAnsi="Arial"/>
      <w:vertAlign w:val="superscript"/>
      <w:lang w:val="en-AU" w:eastAsia="en-AU" w:bidi="ar-SA"/>
    </w:rPr>
  </w:style>
  <w:style w:type="paragraph" w:customStyle="1" w:styleId="VEOHRCNumberedlist">
    <w:name w:val="VEOHRC Numbered list"/>
    <w:basedOn w:val="VEOHRCListBullet"/>
    <w:rsid w:val="00A2617E"/>
    <w:pPr>
      <w:numPr>
        <w:numId w:val="15"/>
      </w:numPr>
    </w:pPr>
  </w:style>
  <w:style w:type="paragraph" w:customStyle="1" w:styleId="NoParagraphStyle">
    <w:name w:val="[No Paragraph Style]"/>
    <w:rsid w:val="0077375F"/>
    <w:pPr>
      <w:widowControl w:val="0"/>
      <w:autoSpaceDE w:val="0"/>
      <w:autoSpaceDN w:val="0"/>
      <w:adjustRightInd w:val="0"/>
      <w:spacing w:line="288" w:lineRule="auto"/>
      <w:textAlignment w:val="center"/>
    </w:pPr>
    <w:rPr>
      <w:rFonts w:ascii="ArialMT-Light" w:hAnsi="ArialMT-Light" w:cs="ArialMT-Light"/>
      <w:color w:val="000000"/>
      <w:sz w:val="24"/>
      <w:szCs w:val="24"/>
      <w:lang w:val="en-GB"/>
    </w:r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semiHidden/>
    <w:rsid w:val="00FD4638"/>
    <w:pPr>
      <w:tabs>
        <w:tab w:val="right" w:pos="9072"/>
      </w:tabs>
      <w:spacing w:before="360"/>
    </w:pPr>
    <w:rPr>
      <w:rFonts w:ascii="Arial" w:hAnsi="Arial" w:cs="Arial"/>
      <w:b/>
      <w:bCs/>
      <w:caps/>
    </w:rPr>
  </w:style>
  <w:style w:type="paragraph" w:styleId="TOC2">
    <w:name w:val="toc 2"/>
    <w:basedOn w:val="Normal"/>
    <w:next w:val="Normal"/>
    <w:autoRedefine/>
    <w:semiHidden/>
    <w:rsid w:val="00487E03"/>
    <w:pPr>
      <w:spacing w:before="240"/>
    </w:pPr>
    <w:rPr>
      <w:rFonts w:ascii="Times New Roman" w:hAnsi="Times New Roman"/>
      <w:b/>
      <w:bCs/>
      <w:sz w:val="20"/>
      <w:szCs w:val="20"/>
    </w:rPr>
  </w:style>
  <w:style w:type="paragraph" w:styleId="TOC3">
    <w:name w:val="toc 3"/>
    <w:basedOn w:val="Normal"/>
    <w:next w:val="Normal"/>
    <w:autoRedefine/>
    <w:semiHidden/>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0">
    <w:name w:val="Body text"/>
    <w:semiHidden/>
    <w:rsid w:val="00D9783F"/>
    <w:pPr>
      <w:tabs>
        <w:tab w:val="left" w:pos="567"/>
        <w:tab w:val="left" w:pos="1134"/>
      </w:tabs>
      <w:spacing w:after="170" w:line="280" w:lineRule="atLeast"/>
    </w:pPr>
    <w:rPr>
      <w:rFonts w:ascii="Times" w:hAnsi="Times"/>
      <w:sz w:val="24"/>
    </w:rPr>
  </w:style>
  <w:style w:type="paragraph" w:customStyle="1" w:styleId="bull">
    <w:name w:val="bull"/>
    <w:basedOn w:val="Normal"/>
    <w:semiHidden/>
    <w:rsid w:val="00D9783F"/>
    <w:pPr>
      <w:tabs>
        <w:tab w:val="num" w:pos="851"/>
      </w:tabs>
      <w:spacing w:line="300" w:lineRule="atLeast"/>
      <w:ind w:right="237"/>
    </w:pPr>
    <w:rPr>
      <w:rFonts w:ascii="Arial" w:hAnsi="Arial"/>
      <w:sz w:val="21"/>
      <w:szCs w:val="20"/>
      <w:lang w:eastAsia="en-US"/>
    </w:rPr>
  </w:style>
  <w:style w:type="paragraph" w:customStyle="1" w:styleId="Bullet">
    <w:name w:val="Bullet"/>
    <w:basedOn w:val="Bodytext0"/>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rFonts w:ascii="Arial" w:hAnsi="Arial"/>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basedOn w:val="DefaultParagraphFont"/>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rFonts w:ascii="Arial" w:hAnsi="Arial"/>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rFonts w:ascii="Arial" w:hAnsi="Arial"/>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basedOn w:val="DefaultParagraphFont"/>
    <w:link w:val="VEOHRCBodytext"/>
    <w:uiPriority w:val="99"/>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rPr>
  </w:style>
  <w:style w:type="paragraph" w:customStyle="1" w:styleId="Level0-Recitals">
    <w:name w:val="Level 0 - Recitals"/>
    <w:semiHidden/>
    <w:rsid w:val="00D9783F"/>
    <w:pPr>
      <w:numPr>
        <w:numId w:val="32"/>
      </w:numPr>
      <w:tabs>
        <w:tab w:val="left" w:pos="851"/>
      </w:tabs>
      <w:spacing w:before="120" w:after="120"/>
    </w:pPr>
    <w:rPr>
      <w:rFonts w:ascii="Verdana" w:hAnsi="Verdana"/>
    </w:rPr>
  </w:style>
  <w:style w:type="paragraph" w:customStyle="1" w:styleId="BodyText-Bold">
    <w:name w:val="Body Text - Bold"/>
    <w:link w:val="BodyText-BoldChar"/>
    <w:semiHidden/>
    <w:rsid w:val="00D9783F"/>
    <w:pPr>
      <w:spacing w:before="120" w:after="120"/>
      <w:ind w:left="567"/>
    </w:pPr>
    <w:rPr>
      <w:rFonts w:ascii="Verdana" w:hAnsi="Verdana"/>
      <w:b/>
      <w:szCs w:val="24"/>
    </w:rPr>
  </w:style>
  <w:style w:type="paragraph" w:customStyle="1" w:styleId="Default">
    <w:name w:val="Default"/>
    <w:semiHidden/>
    <w:rsid w:val="00D9783F"/>
    <w:pPr>
      <w:autoSpaceDE w:val="0"/>
      <w:autoSpaceDN w:val="0"/>
      <w:adjustRightInd w:val="0"/>
    </w:pPr>
    <w:rPr>
      <w:rFonts w:ascii="Arial" w:hAnsi="Arial" w:cs="Arial"/>
      <w:color w:val="000000"/>
      <w:sz w:val="24"/>
      <w:szCs w:val="24"/>
      <w:lang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ascii="Arial" w:hAnsi="Arial"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rPr>
  </w:style>
  <w:style w:type="paragraph" w:customStyle="1" w:styleId="TableText-List">
    <w:name w:val="Table Text - List"/>
    <w:semiHidden/>
    <w:rsid w:val="00D9783F"/>
    <w:pPr>
      <w:numPr>
        <w:numId w:val="25"/>
      </w:numPr>
      <w:spacing w:before="60" w:after="60"/>
    </w:pPr>
    <w:rPr>
      <w:rFonts w:ascii="Verdana" w:hAnsi="Verdana"/>
      <w:kern w:val="22"/>
      <w:sz w:val="18"/>
      <w:szCs w:val="18"/>
    </w:rPr>
  </w:style>
  <w:style w:type="paragraph" w:customStyle="1" w:styleId="TableText-Centred">
    <w:name w:val="Table Text - Centred"/>
    <w:semiHidden/>
    <w:rsid w:val="00D9783F"/>
    <w:pPr>
      <w:spacing w:before="60" w:after="60"/>
      <w:jc w:val="center"/>
    </w:pPr>
    <w:rPr>
      <w:rFonts w:ascii="Verdana" w:hAnsi="Verdana"/>
      <w:sz w:val="18"/>
      <w:szCs w:val="18"/>
    </w:rPr>
  </w:style>
  <w:style w:type="paragraph" w:customStyle="1" w:styleId="TableHeader">
    <w:name w:val="Table Header"/>
    <w:semiHidden/>
    <w:rsid w:val="00D9783F"/>
    <w:pPr>
      <w:keepNext/>
      <w:spacing w:before="120" w:after="120"/>
    </w:pPr>
    <w:rPr>
      <w:rFonts w:ascii="Verdana" w:hAnsi="Verdana"/>
      <w:b/>
      <w:color w:val="002B45"/>
    </w:rPr>
  </w:style>
  <w:style w:type="paragraph" w:customStyle="1" w:styleId="TableText-CentredBold">
    <w:name w:val="Table Text - Centred / Bold"/>
    <w:semiHidden/>
    <w:rsid w:val="00D9783F"/>
    <w:pPr>
      <w:spacing w:before="60" w:after="60"/>
      <w:jc w:val="center"/>
    </w:pPr>
    <w:rPr>
      <w:rFonts w:ascii="Verdana" w:hAnsi="Verdana"/>
      <w:b/>
      <w:sz w:val="18"/>
      <w:szCs w:val="18"/>
    </w:rPr>
  </w:style>
  <w:style w:type="paragraph" w:customStyle="1" w:styleId="Spacer">
    <w:name w:val="Spacer"/>
    <w:semiHidden/>
    <w:rsid w:val="00D9783F"/>
    <w:pPr>
      <w:ind w:left="567"/>
    </w:pPr>
    <w:rPr>
      <w:rFonts w:ascii="Verdana" w:hAnsi="Verdana"/>
      <w:sz w:val="12"/>
      <w:szCs w:val="12"/>
    </w:rPr>
  </w:style>
  <w:style w:type="paragraph" w:customStyle="1" w:styleId="TableText-Bold">
    <w:name w:val="Table Text - Bold"/>
    <w:semiHidden/>
    <w:rsid w:val="00D9783F"/>
    <w:pPr>
      <w:spacing w:before="60" w:after="60"/>
    </w:pPr>
    <w:rPr>
      <w:rFonts w:ascii="Verdana" w:hAnsi="Verdana"/>
      <w:b/>
      <w:sz w:val="18"/>
      <w:szCs w:val="18"/>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Figure-List">
    <w:name w:val="Figure - List"/>
    <w:semiHidden/>
    <w:rsid w:val="00D9783F"/>
    <w:pPr>
      <w:numPr>
        <w:numId w:val="24"/>
      </w:numPr>
      <w:tabs>
        <w:tab w:val="left" w:pos="142"/>
      </w:tabs>
      <w:spacing w:after="60"/>
    </w:pPr>
    <w:rPr>
      <w:rFonts w:ascii="Arial" w:hAnsi="Arial"/>
      <w:sz w:val="18"/>
      <w:szCs w:val="18"/>
    </w:rPr>
  </w:style>
  <w:style w:type="paragraph" w:customStyle="1" w:styleId="BodyText-RestrictedRelease">
    <w:name w:val="Body Text - Restricted Release"/>
    <w:semiHidden/>
    <w:rsid w:val="00D9783F"/>
    <w:pPr>
      <w:spacing w:after="120"/>
    </w:pPr>
    <w:rPr>
      <w:rFonts w:ascii="Verdana" w:eastAsia="Times" w:hAnsi="Verdana"/>
      <w:sz w:val="16"/>
      <w:szCs w:val="30"/>
      <w:lang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rPr>
  </w:style>
  <w:style w:type="paragraph" w:customStyle="1" w:styleId="TableText-List-Nolinespacing">
    <w:name w:val="Table Text - List - No line spacing"/>
    <w:semiHidden/>
    <w:rsid w:val="00D9783F"/>
    <w:pPr>
      <w:numPr>
        <w:numId w:val="28"/>
      </w:numPr>
    </w:pPr>
    <w:rPr>
      <w:rFonts w:ascii="Verdana" w:hAnsi="Verdana"/>
      <w:kern w:val="22"/>
      <w:sz w:val="18"/>
      <w:szCs w:val="18"/>
    </w:rPr>
  </w:style>
  <w:style w:type="paragraph" w:customStyle="1" w:styleId="BodyText-List-Indent">
    <w:name w:val="Body Text - List - Indent"/>
    <w:semiHidden/>
    <w:rsid w:val="00D9783F"/>
    <w:pPr>
      <w:numPr>
        <w:numId w:val="27"/>
      </w:numPr>
      <w:spacing w:after="120"/>
    </w:pPr>
    <w:rPr>
      <w:rFonts w:ascii="Verdana" w:eastAsia="Times" w:hAnsi="Verdana"/>
      <w:szCs w:val="24"/>
    </w:rPr>
  </w:style>
  <w:style w:type="paragraph" w:customStyle="1" w:styleId="FinalorDraft">
    <w:name w:val="Final or Draft"/>
    <w:semiHidden/>
    <w:rsid w:val="00D9783F"/>
    <w:pPr>
      <w:jc w:val="center"/>
    </w:pPr>
    <w:rPr>
      <w:rFonts w:ascii="Verdana" w:hAnsi="Verdana"/>
      <w:b/>
      <w:bCs/>
      <w:snapToGrid w:val="0"/>
      <w:color w:val="52006B"/>
      <w:sz w:val="24"/>
      <w:szCs w:val="16"/>
    </w:rPr>
  </w:style>
  <w:style w:type="paragraph" w:customStyle="1" w:styleId="BodyText-Italics">
    <w:name w:val="Body Text - Italics"/>
    <w:semiHidden/>
    <w:rsid w:val="00D9783F"/>
    <w:pPr>
      <w:spacing w:before="120" w:after="120"/>
      <w:ind w:left="567"/>
    </w:pPr>
    <w:rPr>
      <w:rFonts w:ascii="Verdana" w:eastAsia="Times" w:hAnsi="Verdana"/>
      <w:i/>
      <w:szCs w:val="24"/>
    </w:rPr>
  </w:style>
  <w:style w:type="paragraph" w:customStyle="1" w:styleId="FigureHeading">
    <w:name w:val="Figure Heading"/>
    <w:semiHidden/>
    <w:rsid w:val="00D9783F"/>
    <w:pPr>
      <w:spacing w:after="120"/>
      <w:jc w:val="center"/>
    </w:pPr>
    <w:rPr>
      <w:rFonts w:ascii="Arial" w:hAnsi="Arial"/>
      <w:b/>
      <w:sz w:val="18"/>
      <w:szCs w:val="18"/>
    </w:rPr>
  </w:style>
  <w:style w:type="paragraph" w:customStyle="1" w:styleId="BodyText-SmallText">
    <w:name w:val="Body Text - Small Text"/>
    <w:semiHidden/>
    <w:rsid w:val="00D9783F"/>
    <w:pPr>
      <w:spacing w:before="120"/>
      <w:ind w:left="567"/>
    </w:pPr>
    <w:rPr>
      <w:rFonts w:ascii="Verdana" w:hAnsi="Verdana"/>
      <w:sz w:val="16"/>
      <w:szCs w:val="24"/>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Cs w:val="24"/>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eastAsia="en-AU"/>
    </w:rPr>
  </w:style>
  <w:style w:type="paragraph" w:customStyle="1" w:styleId="Titledateandversion">
    <w:name w:val="Title date and version"/>
    <w:semiHidden/>
    <w:rsid w:val="00D9783F"/>
    <w:rPr>
      <w:rFonts w:ascii="Times" w:eastAsia="Times" w:hAnsi="Times"/>
      <w:color w:val="87ADB0"/>
      <w:sz w:val="22"/>
      <w:szCs w:val="30"/>
      <w:lang w:eastAsia="en-AU"/>
    </w:rPr>
  </w:style>
  <w:style w:type="paragraph" w:customStyle="1" w:styleId="Subtitle0">
    <w:name w:val="Sub title"/>
    <w:semiHidden/>
    <w:rsid w:val="00D9783F"/>
    <w:pPr>
      <w:spacing w:after="240"/>
    </w:pPr>
    <w:rPr>
      <w:rFonts w:ascii="Times" w:eastAsia="Times" w:hAnsi="Times"/>
      <w:color w:val="52006B"/>
      <w:sz w:val="40"/>
      <w:szCs w:val="40"/>
      <w:lang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eastAsia="en-AU"/>
    </w:rPr>
  </w:style>
  <w:style w:type="paragraph" w:customStyle="1" w:styleId="TableText-Italics">
    <w:name w:val="Table Text - Italics"/>
    <w:semiHidden/>
    <w:rsid w:val="00D9783F"/>
    <w:pPr>
      <w:spacing w:before="60" w:after="60"/>
    </w:pPr>
    <w:rPr>
      <w:rFonts w:ascii="Verdana" w:hAnsi="Verdana"/>
      <w:i/>
      <w:sz w:val="18"/>
      <w:szCs w:val="18"/>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rPr>
  </w:style>
  <w:style w:type="paragraph" w:customStyle="1" w:styleId="TableText-BoldColour">
    <w:name w:val="Table Text - Bold Colour"/>
    <w:semiHidden/>
    <w:rsid w:val="00D9783F"/>
    <w:pPr>
      <w:spacing w:before="60" w:after="60"/>
    </w:pPr>
    <w:rPr>
      <w:rFonts w:ascii="Verdana" w:hAnsi="Verdana"/>
      <w:b/>
      <w:color w:val="52006B"/>
      <w:sz w:val="18"/>
      <w:szCs w:val="18"/>
    </w:rPr>
  </w:style>
  <w:style w:type="paragraph" w:customStyle="1" w:styleId="Organisationname">
    <w:name w:val="Organisation name"/>
    <w:semiHidden/>
    <w:rsid w:val="00D9783F"/>
    <w:rPr>
      <w:rFonts w:ascii="Times" w:hAnsi="Times"/>
      <w:b/>
      <w:color w:val="52006B"/>
      <w:sz w:val="23"/>
      <w:szCs w:val="26"/>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eastAsia="en-AU"/>
    </w:rPr>
  </w:style>
  <w:style w:type="paragraph" w:customStyle="1" w:styleId="NoStyle">
    <w:name w:val="No Style"/>
    <w:link w:val="NoStyleCharChar"/>
    <w:semiHidden/>
    <w:rsid w:val="00D9783F"/>
    <w:pPr>
      <w:ind w:left="567"/>
    </w:pPr>
    <w:rPr>
      <w:rFonts w:ascii="Verdana" w:eastAsia="Times" w:hAnsi="Verdana"/>
      <w:szCs w:val="30"/>
      <w:lang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rPr>
  </w:style>
  <w:style w:type="paragraph" w:customStyle="1" w:styleId="TableTextSmall">
    <w:name w:val="Table Text Small"/>
    <w:semiHidden/>
    <w:rsid w:val="00D9783F"/>
    <w:pPr>
      <w:spacing w:before="60" w:after="60"/>
    </w:pPr>
    <w:rPr>
      <w:rFonts w:ascii="Verdana" w:hAnsi="Verdana"/>
      <w:sz w:val="16"/>
      <w:szCs w:val="18"/>
    </w:rPr>
  </w:style>
  <w:style w:type="paragraph" w:customStyle="1" w:styleId="BodyText-List-RestrictedRelease">
    <w:name w:val="Body Text - List - Restricted Release"/>
    <w:semiHidden/>
    <w:rsid w:val="00D9783F"/>
    <w:pPr>
      <w:numPr>
        <w:numId w:val="26"/>
      </w:numPr>
      <w:spacing w:after="120"/>
    </w:pPr>
    <w:rPr>
      <w:rFonts w:ascii="Verdana" w:hAnsi="Verdana"/>
      <w:sz w:val="16"/>
      <w:lang w:val="en-US"/>
    </w:rPr>
  </w:style>
  <w:style w:type="character" w:customStyle="1" w:styleId="NoStyleCharChar">
    <w:name w:val="No Style Char Char"/>
    <w:basedOn w:val="DefaultParagraphFont"/>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rPr>
  </w:style>
  <w:style w:type="paragraph" w:customStyle="1" w:styleId="FigureText">
    <w:name w:val="Figure Text"/>
    <w:semiHidden/>
    <w:rsid w:val="00D9783F"/>
    <w:pPr>
      <w:spacing w:after="120"/>
    </w:pPr>
    <w:rPr>
      <w:rFonts w:ascii="Verdana" w:hAnsi="Verdana"/>
      <w:sz w:val="18"/>
    </w:rPr>
  </w:style>
  <w:style w:type="paragraph" w:customStyle="1" w:styleId="BodyText-Centred">
    <w:name w:val="Body Text - Centred"/>
    <w:semiHidden/>
    <w:rsid w:val="00D9783F"/>
    <w:pPr>
      <w:spacing w:before="120" w:after="120"/>
      <w:ind w:left="567"/>
      <w:jc w:val="center"/>
    </w:pPr>
    <w:rPr>
      <w:rFonts w:ascii="Verdana" w:eastAsia="Times" w:hAnsi="Verdana"/>
      <w:szCs w:val="24"/>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rPr>
  </w:style>
  <w:style w:type="character" w:styleId="EndnoteReference">
    <w:name w:val="endnote reference"/>
    <w:basedOn w:val="DefaultParagraphFont"/>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u w:val="single"/>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rPr>
  </w:style>
  <w:style w:type="character" w:customStyle="1" w:styleId="BodyText-RestrictedReleaseCharCharChar">
    <w:name w:val="Body Text - Restricted Release Char Char Char"/>
    <w:basedOn w:val="DefaultParagraphFont"/>
    <w:semiHidden/>
    <w:rsid w:val="00D9783F"/>
    <w:rPr>
      <w:rFonts w:ascii="Verdana" w:eastAsia="Times" w:hAnsi="Verdana"/>
      <w:szCs w:val="30"/>
      <w:lang w:val="en-AU" w:eastAsia="en-AU" w:bidi="ar-SA"/>
    </w:rPr>
  </w:style>
  <w:style w:type="character" w:customStyle="1" w:styleId="NoStyleCharacter">
    <w:name w:val="No Style Character"/>
    <w:basedOn w:val="DefaultParagraphFont"/>
    <w:semiHidden/>
    <w:rsid w:val="00D9783F"/>
    <w:rPr>
      <w:rFonts w:eastAsia="Times"/>
    </w:rPr>
  </w:style>
  <w:style w:type="character" w:customStyle="1" w:styleId="BodyText-NumberedListaCharChar">
    <w:name w:val="Body Text - Numbered List a Char Char"/>
    <w:basedOn w:val="DefaultParagraphFont"/>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rPr>
  </w:style>
  <w:style w:type="character" w:customStyle="1" w:styleId="BodyText-NumberedListiCharChar">
    <w:name w:val="Body Text - Numbered List i Char Char"/>
    <w:basedOn w:val="BodyText-NumberedListaChar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qFormat/>
    <w:rsid w:val="00D9783F"/>
    <w:rPr>
      <w:rFonts w:ascii="Script MT Bold" w:hAnsi="Script MT Bold"/>
      <w:b/>
      <w:bCs/>
      <w:sz w:val="20"/>
      <w:szCs w:val="20"/>
      <w:lang w:eastAsia="en-US"/>
    </w:rPr>
  </w:style>
  <w:style w:type="character" w:customStyle="1" w:styleId="Bullet-Orange">
    <w:name w:val="Bullet - Orange"/>
    <w:basedOn w:val="DefaultParagraphFont"/>
    <w:semiHidden/>
    <w:rsid w:val="00D9783F"/>
    <w:rPr>
      <w:rFonts w:eastAsia="Times"/>
      <w:color w:val="FF9900"/>
    </w:rPr>
  </w:style>
  <w:style w:type="character" w:customStyle="1" w:styleId="Bullet-Red">
    <w:name w:val="Bullet - Red"/>
    <w:basedOn w:val="DefaultParagraphFont"/>
    <w:semiHidden/>
    <w:rsid w:val="00D9783F"/>
    <w:rPr>
      <w:rFonts w:eastAsia="Times"/>
      <w:color w:val="FF0000"/>
    </w:rPr>
  </w:style>
  <w:style w:type="character" w:customStyle="1" w:styleId="Bullet-Blue">
    <w:name w:val="Bullet - Blue"/>
    <w:basedOn w:val="DefaultParagraphFont"/>
    <w:semiHidden/>
    <w:rsid w:val="00D9783F"/>
    <w:rPr>
      <w:rFonts w:eastAsia="Times"/>
      <w:color w:val="0000FF"/>
    </w:rPr>
  </w:style>
  <w:style w:type="character" w:customStyle="1" w:styleId="Bullet-Green">
    <w:name w:val="Bullet - Green"/>
    <w:basedOn w:val="DefaultParagraphFont"/>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Cs w:val="24"/>
    </w:rPr>
  </w:style>
  <w:style w:type="character" w:customStyle="1" w:styleId="GuidanceTextChar">
    <w:name w:val="Guidance Text Char"/>
    <w:basedOn w:val="DefaultParagraphFont"/>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eastAsia="en-AU"/>
    </w:rPr>
  </w:style>
  <w:style w:type="character" w:customStyle="1" w:styleId="HeaderChar">
    <w:name w:val="Header Char"/>
    <w:basedOn w:val="DefaultParagraphFont"/>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rPr>
  </w:style>
  <w:style w:type="character" w:customStyle="1" w:styleId="InstructionBlue">
    <w:name w:val="Instruction Blue"/>
    <w:basedOn w:val="NoStyleCharacter"/>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Cs w:val="21"/>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Cs w:val="24"/>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Cs w:val="24"/>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Cs w:val="24"/>
    </w:rPr>
  </w:style>
  <w:style w:type="paragraph" w:customStyle="1" w:styleId="LevelBody1-a">
    <w:name w:val="Level Body 1 - (a)"/>
    <w:semiHidden/>
    <w:rsid w:val="00D9783F"/>
    <w:pPr>
      <w:numPr>
        <w:ilvl w:val="4"/>
        <w:numId w:val="33"/>
      </w:numPr>
      <w:spacing w:before="120" w:after="120"/>
    </w:pPr>
    <w:rPr>
      <w:rFonts w:ascii="Verdana" w:hAnsi="Verdana"/>
    </w:rPr>
  </w:style>
  <w:style w:type="paragraph" w:customStyle="1" w:styleId="LevelBody1-atext">
    <w:name w:val="Level Body 1 - (a) text"/>
    <w:link w:val="LevelBody1-atextChar"/>
    <w:semiHidden/>
    <w:rsid w:val="00D9783F"/>
    <w:pPr>
      <w:spacing w:before="120" w:after="120"/>
      <w:ind w:left="1418"/>
    </w:pPr>
    <w:rPr>
      <w:rFonts w:ascii="Verdana" w:hAnsi="Verdana"/>
    </w:rPr>
  </w:style>
  <w:style w:type="paragraph" w:customStyle="1" w:styleId="LevelBody2-i">
    <w:name w:val="Level Body 2 - (i)"/>
    <w:semiHidden/>
    <w:rsid w:val="00D9783F"/>
    <w:pPr>
      <w:numPr>
        <w:ilvl w:val="5"/>
        <w:numId w:val="33"/>
      </w:numPr>
      <w:spacing w:before="120" w:after="120"/>
    </w:pPr>
    <w:rPr>
      <w:rFonts w:ascii="Verdana" w:hAnsi="Verdana"/>
    </w:rPr>
  </w:style>
  <w:style w:type="paragraph" w:customStyle="1" w:styleId="LevelBody2-itext">
    <w:name w:val="Level Body 2 - (i) text"/>
    <w:link w:val="LevelBody2-itextChar"/>
    <w:semiHidden/>
    <w:rsid w:val="00D9783F"/>
    <w:pPr>
      <w:spacing w:before="120" w:after="120"/>
      <w:ind w:left="1985"/>
    </w:pPr>
    <w:rPr>
      <w:rFonts w:ascii="Verdana" w:hAnsi="Verdana"/>
    </w:rPr>
  </w:style>
  <w:style w:type="paragraph" w:customStyle="1" w:styleId="LevelBody3-A">
    <w:name w:val="Level Body 3 - (A)"/>
    <w:semiHidden/>
    <w:rsid w:val="00D9783F"/>
    <w:pPr>
      <w:numPr>
        <w:ilvl w:val="6"/>
        <w:numId w:val="33"/>
      </w:numPr>
      <w:spacing w:before="120" w:after="120"/>
    </w:pPr>
    <w:rPr>
      <w:rFonts w:ascii="Verdana" w:hAnsi="Verdana"/>
    </w:rPr>
  </w:style>
  <w:style w:type="paragraph" w:customStyle="1" w:styleId="LevelBody3-Atext">
    <w:name w:val="Level Body 3 - (A) text"/>
    <w:semiHidden/>
    <w:rsid w:val="00D9783F"/>
    <w:pPr>
      <w:spacing w:before="120" w:after="120"/>
      <w:ind w:left="2552"/>
    </w:pPr>
    <w:rPr>
      <w:rFonts w:ascii="Verdana" w:hAnsi="Verdana"/>
    </w:rPr>
  </w:style>
  <w:style w:type="paragraph" w:customStyle="1" w:styleId="LevelBody4-I">
    <w:name w:val="Level Body 4 - (I)"/>
    <w:semiHidden/>
    <w:rsid w:val="00D9783F"/>
    <w:pPr>
      <w:numPr>
        <w:ilvl w:val="7"/>
        <w:numId w:val="33"/>
      </w:numPr>
      <w:spacing w:before="120" w:after="120"/>
    </w:pPr>
    <w:rPr>
      <w:rFonts w:ascii="Verdana" w:hAnsi="Verdana"/>
    </w:rPr>
  </w:style>
  <w:style w:type="paragraph" w:customStyle="1" w:styleId="LevelBody4-Itext">
    <w:name w:val="Level Body 4 - (I) text"/>
    <w:link w:val="LevelBody4-ItextChar"/>
    <w:semiHidden/>
    <w:rsid w:val="00D9783F"/>
    <w:pPr>
      <w:spacing w:before="120" w:after="120"/>
      <w:ind w:left="3119"/>
    </w:pPr>
    <w:rPr>
      <w:rFonts w:ascii="Verdana" w:hAnsi="Verdana"/>
    </w:rPr>
  </w:style>
  <w:style w:type="paragraph" w:customStyle="1" w:styleId="Table-Number">
    <w:name w:val="Table - Number"/>
    <w:semiHidden/>
    <w:rsid w:val="00D9783F"/>
    <w:pPr>
      <w:numPr>
        <w:numId w:val="36"/>
      </w:numPr>
      <w:spacing w:before="60" w:after="60"/>
    </w:pPr>
    <w:rPr>
      <w:rFonts w:ascii="Verdana" w:hAnsi="Verdana"/>
      <w:sz w:val="18"/>
      <w:szCs w:val="18"/>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basedOn w:val="DefaultParagraphFont"/>
    <w:link w:val="LevelBody1-atext"/>
    <w:rsid w:val="00D9783F"/>
    <w:rPr>
      <w:rFonts w:ascii="Verdana" w:hAnsi="Verdana"/>
      <w:lang w:val="en-AU" w:eastAsia="en-US" w:bidi="ar-SA"/>
    </w:rPr>
  </w:style>
  <w:style w:type="character" w:customStyle="1" w:styleId="LevelBody2-itextChar">
    <w:name w:val="Level Body 2 - (i) text Char"/>
    <w:basedOn w:val="DefaultParagraphFont"/>
    <w:link w:val="LevelBody2-itext"/>
    <w:rsid w:val="00D9783F"/>
    <w:rPr>
      <w:rFonts w:ascii="Verdana" w:hAnsi="Verdana"/>
      <w:lang w:val="en-AU" w:eastAsia="en-US" w:bidi="ar-SA"/>
    </w:rPr>
  </w:style>
  <w:style w:type="character" w:customStyle="1" w:styleId="LevelBody4-ItextChar">
    <w:name w:val="Level Body 4 - (I) text Char"/>
    <w:basedOn w:val="DefaultParagraphFont"/>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Cs w:val="24"/>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rPr>
  </w:style>
  <w:style w:type="paragraph" w:customStyle="1" w:styleId="BodyText-NumberedList10">
    <w:name w:val="Body Text - Numbered List (1)"/>
    <w:semiHidden/>
    <w:rsid w:val="00D9783F"/>
    <w:pPr>
      <w:numPr>
        <w:ilvl w:val="3"/>
        <w:numId w:val="38"/>
      </w:numPr>
    </w:pPr>
    <w:rPr>
      <w:rFonts w:ascii="Verdana" w:eastAsia="Times" w:hAnsi="Verdana"/>
      <w:lang w:val="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basedOn w:val="DefaultParagraphFont"/>
    <w:link w:val="Heading-inTOC"/>
    <w:rsid w:val="00D9783F"/>
    <w:rPr>
      <w:rFonts w:ascii="Verdana" w:hAnsi="Verdana"/>
      <w:color w:val="52006B"/>
      <w:sz w:val="28"/>
      <w:szCs w:val="28"/>
      <w:lang w:val="en-AU" w:eastAsia="en-US" w:bidi="ar-SA"/>
    </w:rPr>
  </w:style>
  <w:style w:type="character" w:customStyle="1" w:styleId="BodyText-BoldChar">
    <w:name w:val="Body Text - Bold Char"/>
    <w:basedOn w:val="DefaultParagraphFont"/>
    <w:link w:val="BodyText-Bold"/>
    <w:rsid w:val="00D9783F"/>
    <w:rPr>
      <w:rFonts w:ascii="Verdana" w:hAnsi="Verdana"/>
      <w:b/>
      <w:szCs w:val="24"/>
      <w:lang w:val="en-AU" w:eastAsia="en-US" w:bidi="ar-SA"/>
    </w:rPr>
  </w:style>
  <w:style w:type="character" w:customStyle="1" w:styleId="TableTextChar">
    <w:name w:val="Table Text Char"/>
    <w:basedOn w:val="DefaultParagraphFont"/>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rPr>
  </w:style>
  <w:style w:type="character" w:customStyle="1" w:styleId="VEOHRCHeading3Char">
    <w:name w:val="VEOHRC Heading 3 Char"/>
    <w:basedOn w:val="DefaultParagraphFont"/>
    <w:link w:val="VEOHRCHeading3"/>
    <w:uiPriority w:val="99"/>
    <w:rsid w:val="00A76969"/>
    <w:rPr>
      <w:rFonts w:ascii="Arial" w:hAnsi="Arial" w:cs="Arial"/>
      <w:b/>
      <w:bCs/>
      <w:sz w:val="24"/>
      <w:szCs w:val="26"/>
      <w:lang w:val="en-GB" w:eastAsia="en-AU" w:bidi="ar-SA"/>
    </w:rPr>
  </w:style>
  <w:style w:type="paragraph" w:customStyle="1" w:styleId="h1-daxcoloured">
    <w:name w:val="h1 - dax coloured"/>
    <w:basedOn w:val="NoParagraphStyle"/>
    <w:next w:val="NoParagraphStyle"/>
    <w:uiPriority w:val="99"/>
    <w:rsid w:val="0077375F"/>
    <w:pPr>
      <w:suppressAutoHyphens/>
      <w:spacing w:before="227" w:after="113" w:line="320" w:lineRule="atLeast"/>
    </w:pPr>
    <w:rPr>
      <w:rFonts w:ascii="Dax-Medium" w:hAnsi="Dax-Medium" w:cs="Dax-Medium"/>
      <w:color w:val="00ADEF"/>
      <w:sz w:val="28"/>
      <w:szCs w:val="28"/>
    </w:rPr>
  </w:style>
  <w:style w:type="character" w:customStyle="1" w:styleId="VEOHRCHeading1Char">
    <w:name w:val="VEOHRC Heading 1 Char"/>
    <w:basedOn w:val="Heading1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h1-daxcolouredcontents">
    <w:name w:val="h1 - dax coloured contents"/>
    <w:basedOn w:val="h1-daxcoloured"/>
    <w:uiPriority w:val="99"/>
    <w:rsid w:val="0077375F"/>
    <w:pPr>
      <w:pBdr>
        <w:bottom w:val="single" w:sz="2" w:space="2" w:color="00689D"/>
      </w:pBdr>
      <w:tabs>
        <w:tab w:val="right" w:pos="10205"/>
      </w:tabs>
      <w:spacing w:before="113" w:line="360" w:lineRule="atLeast"/>
    </w:pPr>
  </w:style>
  <w:style w:type="paragraph" w:customStyle="1" w:styleId="VEOHRCListBullet-lastbullet">
    <w:name w:val="VEOHRC List Bullet - last bullet"/>
    <w:basedOn w:val="VEOHRCListBullet"/>
    <w:uiPriority w:val="99"/>
    <w:rsid w:val="0077375F"/>
    <w:pPr>
      <w:widowControl w:val="0"/>
      <w:numPr>
        <w:numId w:val="0"/>
      </w:numPr>
      <w:tabs>
        <w:tab w:val="left" w:pos="255"/>
      </w:tabs>
      <w:suppressAutoHyphens/>
      <w:autoSpaceDE w:val="0"/>
      <w:autoSpaceDN w:val="0"/>
      <w:adjustRightInd w:val="0"/>
      <w:spacing w:after="113" w:line="250" w:lineRule="atLeast"/>
      <w:ind w:left="255" w:hanging="255"/>
      <w:textAlignment w:val="center"/>
    </w:pPr>
    <w:rPr>
      <w:rFonts w:ascii="ArialMT-Light" w:hAnsi="ArialMT-Light" w:cs="ArialMT-Light"/>
      <w:color w:val="000000"/>
      <w:sz w:val="21"/>
      <w:szCs w:val="21"/>
      <w:lang w:eastAsia="en-US"/>
    </w:rPr>
  </w:style>
  <w:style w:type="paragraph" w:customStyle="1" w:styleId="Introparagraph">
    <w:name w:val="Intro paragraph"/>
    <w:basedOn w:val="VEOHRCBodytext"/>
    <w:uiPriority w:val="99"/>
    <w:rsid w:val="0077375F"/>
    <w:pPr>
      <w:widowControl w:val="0"/>
      <w:tabs>
        <w:tab w:val="clear" w:pos="2640"/>
      </w:tabs>
      <w:suppressAutoHyphens/>
      <w:autoSpaceDE w:val="0"/>
      <w:autoSpaceDN w:val="0"/>
      <w:adjustRightInd w:val="0"/>
      <w:spacing w:before="227" w:after="227" w:line="320" w:lineRule="atLeast"/>
      <w:textAlignment w:val="center"/>
    </w:pPr>
    <w:rPr>
      <w:rFonts w:ascii="ArialMT-Medium" w:eastAsia="Times New Roman" w:hAnsi="ArialMT-Medium" w:cs="ArialMT-Medium"/>
      <w:color w:val="000000"/>
      <w:sz w:val="26"/>
      <w:szCs w:val="26"/>
      <w:lang w:eastAsia="en-US"/>
    </w:rPr>
  </w:style>
  <w:style w:type="paragraph" w:customStyle="1" w:styleId="Bodytext1">
    <w:name w:val="Bodytext"/>
    <w:basedOn w:val="NoParagraphStyle"/>
    <w:next w:val="NoParagraphStyle"/>
    <w:uiPriority w:val="99"/>
    <w:rsid w:val="0077375F"/>
    <w:pPr>
      <w:suppressAutoHyphens/>
      <w:spacing w:after="113" w:line="250" w:lineRule="atLeast"/>
    </w:pPr>
    <w:rPr>
      <w:sz w:val="21"/>
      <w:szCs w:val="21"/>
    </w:rPr>
  </w:style>
  <w:style w:type="paragraph" w:customStyle="1" w:styleId="text-quote">
    <w:name w:val="text - quote"/>
    <w:basedOn w:val="VEOHRCBodytext"/>
    <w:uiPriority w:val="99"/>
    <w:rsid w:val="0077375F"/>
    <w:pPr>
      <w:widowControl w:val="0"/>
      <w:tabs>
        <w:tab w:val="clear" w:pos="2640"/>
      </w:tabs>
      <w:suppressAutoHyphens/>
      <w:autoSpaceDE w:val="0"/>
      <w:autoSpaceDN w:val="0"/>
      <w:adjustRightInd w:val="0"/>
      <w:spacing w:before="113" w:after="113" w:line="250" w:lineRule="atLeast"/>
      <w:ind w:left="567" w:right="567"/>
      <w:textAlignment w:val="center"/>
    </w:pPr>
    <w:rPr>
      <w:rFonts w:ascii="ArialMT-LightItalic" w:eastAsia="Times New Roman" w:hAnsi="ArialMT-LightItalic" w:cs="ArialMT-LightItalic"/>
      <w:i/>
      <w:iCs/>
      <w:color w:val="000000"/>
      <w:sz w:val="21"/>
      <w:szCs w:val="21"/>
      <w:lang w:eastAsia="en-US"/>
    </w:rPr>
  </w:style>
  <w:style w:type="paragraph" w:customStyle="1" w:styleId="tabletext0">
    <w:name w:val="table text"/>
    <w:basedOn w:val="VEOHRCBodytext"/>
    <w:uiPriority w:val="99"/>
    <w:rsid w:val="0077375F"/>
    <w:pPr>
      <w:widowControl w:val="0"/>
      <w:tabs>
        <w:tab w:val="clear" w:pos="2640"/>
      </w:tabs>
      <w:suppressAutoHyphens/>
      <w:autoSpaceDE w:val="0"/>
      <w:autoSpaceDN w:val="0"/>
      <w:adjustRightInd w:val="0"/>
      <w:spacing w:before="0" w:after="0" w:line="160" w:lineRule="atLeast"/>
      <w:textAlignment w:val="center"/>
    </w:pPr>
    <w:rPr>
      <w:rFonts w:ascii="ArialMT-Light" w:eastAsia="Times New Roman" w:hAnsi="ArialMT-Light" w:cs="ArialMT-Light"/>
      <w:color w:val="000000"/>
      <w:sz w:val="16"/>
      <w:szCs w:val="16"/>
      <w:lang w:eastAsia="en-US"/>
    </w:rPr>
  </w:style>
  <w:style w:type="paragraph" w:customStyle="1" w:styleId="tabletextbold">
    <w:name w:val="table text bold"/>
    <w:basedOn w:val="tabletext0"/>
    <w:uiPriority w:val="99"/>
    <w:rsid w:val="0077375F"/>
    <w:rPr>
      <w:rFonts w:ascii="ArialMT-Medium" w:hAnsi="ArialMT-Medium" w:cs="ArialMT-Medium"/>
    </w:rPr>
  </w:style>
  <w:style w:type="paragraph" w:customStyle="1" w:styleId="tabletextboldreverse">
    <w:name w:val="table text bold reverse"/>
    <w:basedOn w:val="tabletextbold"/>
    <w:uiPriority w:val="99"/>
    <w:rsid w:val="0077375F"/>
    <w:rPr>
      <w:rFonts w:ascii="Arial-BoldMT" w:hAnsi="Arial-BoldMT" w:cs="Arial-BoldMT"/>
      <w:b/>
      <w:bCs/>
      <w:color w:val="FFFFFF"/>
    </w:rPr>
  </w:style>
  <w:style w:type="paragraph" w:customStyle="1" w:styleId="tabletextblue">
    <w:name w:val="table text blue"/>
    <w:basedOn w:val="tabletext0"/>
    <w:uiPriority w:val="99"/>
    <w:rsid w:val="0077375F"/>
    <w:rPr>
      <w:color w:val="00ADEF"/>
    </w:rPr>
  </w:style>
  <w:style w:type="character" w:customStyle="1" w:styleId="www">
    <w:name w:val="www"/>
    <w:uiPriority w:val="99"/>
    <w:rsid w:val="0077375F"/>
    <w:rPr>
      <w:color w:val="00ADEF"/>
    </w:rPr>
  </w:style>
  <w:style w:type="character" w:customStyle="1" w:styleId="apple-converted-space">
    <w:name w:val="apple-converted-space"/>
    <w:uiPriority w:val="99"/>
    <w:rsid w:val="0077375F"/>
    <w:rPr>
      <w:w w:val="100"/>
    </w:rPr>
  </w:style>
  <w:style w:type="character" w:customStyle="1" w:styleId="Bodytext-bold0">
    <w:name w:val="Bodytext - bold"/>
    <w:uiPriority w:val="99"/>
    <w:rsid w:val="0077375F"/>
    <w:rPr>
      <w:rFonts w:ascii="ArialMT-Medium" w:hAnsi="ArialMT-Medium" w:cs="ArialMT-Medium"/>
    </w:rPr>
  </w:style>
  <w:style w:type="character" w:customStyle="1" w:styleId="Bodytext-italic">
    <w:name w:val="Bodytext - italic"/>
    <w:uiPriority w:val="99"/>
    <w:rsid w:val="0077375F"/>
    <w:rPr>
      <w:rFonts w:ascii="ArialMT-LightItalic" w:hAnsi="ArialMT-LightItalic" w:cs="ArialMT-LightItalic"/>
      <w:i/>
      <w:iCs/>
    </w:rPr>
  </w:style>
  <w:style w:type="character" w:customStyle="1" w:styleId="Annotationreference">
    <w:name w:val="Annotation reference"/>
    <w:uiPriority w:val="99"/>
    <w:rsid w:val="0077375F"/>
    <w:rPr>
      <w:w w:val="100"/>
      <w:sz w:val="16"/>
      <w:szCs w:val="16"/>
    </w:rPr>
  </w:style>
  <w:style w:type="character" w:customStyle="1" w:styleId="VEOHRCURLChar">
    <w:name w:val="VEOHRC URL Char"/>
    <w:uiPriority w:val="99"/>
    <w:rsid w:val="00632946"/>
    <w:rPr>
      <w:rFonts w:ascii="Arial" w:hAnsi="Arial" w:cs="ArialMT"/>
      <w:color w:val="0000FF"/>
      <w:w w:val="100"/>
      <w:sz w:val="24"/>
      <w:szCs w:val="19"/>
      <w:lang w:val="en-AU"/>
    </w:rPr>
  </w:style>
  <w:style w:type="table" w:styleId="LightList">
    <w:name w:val="Light List"/>
    <w:basedOn w:val="TableNormal"/>
    <w:uiPriority w:val="61"/>
    <w:rsid w:val="00821C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4"/>
      <w:szCs w:val="24"/>
      <w:lang w:eastAsia="en-AU"/>
    </w:rPr>
  </w:style>
  <w:style w:type="paragraph" w:styleId="Heading1">
    <w:name w:val="heading 1"/>
    <w:basedOn w:val="Normal"/>
    <w:next w:val="Normal"/>
    <w:link w:val="Heading1Char"/>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qFormat/>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qFormat/>
    <w:rsid w:val="00221679"/>
    <w:pPr>
      <w:keepNext/>
      <w:numPr>
        <w:ilvl w:val="3"/>
        <w:numId w:val="16"/>
      </w:numPr>
      <w:spacing w:before="240" w:after="60"/>
      <w:outlineLvl w:val="3"/>
    </w:pPr>
    <w:rPr>
      <w:bCs/>
      <w:i/>
      <w:szCs w:val="28"/>
    </w:rPr>
  </w:style>
  <w:style w:type="paragraph" w:styleId="Heading5">
    <w:name w:val="heading 5"/>
    <w:basedOn w:val="Normal"/>
    <w:next w:val="Normal"/>
    <w:qFormat/>
    <w:rsid w:val="00221679"/>
    <w:pPr>
      <w:numPr>
        <w:ilvl w:val="4"/>
        <w:numId w:val="16"/>
      </w:numPr>
      <w:spacing w:before="240" w:after="60"/>
      <w:outlineLvl w:val="4"/>
    </w:pPr>
    <w:rPr>
      <w:b/>
      <w:bCs/>
      <w:i/>
      <w:iCs/>
      <w:sz w:val="26"/>
      <w:szCs w:val="26"/>
    </w:rPr>
  </w:style>
  <w:style w:type="paragraph" w:styleId="Heading6">
    <w:name w:val="heading 6"/>
    <w:basedOn w:val="Normal"/>
    <w:next w:val="Normal"/>
    <w:qFormat/>
    <w:rsid w:val="00221679"/>
    <w:pPr>
      <w:numPr>
        <w:ilvl w:val="5"/>
        <w:numId w:val="16"/>
      </w:numPr>
      <w:spacing w:before="240" w:after="60"/>
      <w:outlineLvl w:val="5"/>
    </w:pPr>
    <w:rPr>
      <w:b/>
      <w:bCs/>
      <w:sz w:val="22"/>
      <w:szCs w:val="22"/>
    </w:rPr>
  </w:style>
  <w:style w:type="paragraph" w:styleId="Heading7">
    <w:name w:val="heading 7"/>
    <w:basedOn w:val="Normal"/>
    <w:next w:val="Normal"/>
    <w:qFormat/>
    <w:rsid w:val="00221679"/>
    <w:pPr>
      <w:numPr>
        <w:ilvl w:val="6"/>
        <w:numId w:val="16"/>
      </w:numPr>
      <w:spacing w:before="240" w:after="60"/>
      <w:outlineLvl w:val="6"/>
    </w:pPr>
  </w:style>
  <w:style w:type="paragraph" w:styleId="Heading8">
    <w:name w:val="heading 8"/>
    <w:basedOn w:val="Normal"/>
    <w:next w:val="Normal"/>
    <w:qFormat/>
    <w:rsid w:val="00221679"/>
    <w:pPr>
      <w:numPr>
        <w:ilvl w:val="7"/>
        <w:numId w:val="16"/>
      </w:numPr>
      <w:spacing w:before="240" w:after="60"/>
      <w:outlineLvl w:val="7"/>
    </w:pPr>
    <w:rPr>
      <w:i/>
      <w:iCs/>
    </w:rPr>
  </w:style>
  <w:style w:type="paragraph" w:styleId="Heading9">
    <w:name w:val="heading 9"/>
    <w:basedOn w:val="Normal"/>
    <w:next w:val="Normal"/>
    <w:qFormat/>
    <w:rsid w:val="00221679"/>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basedOn w:val="DefaultParagraphFont"/>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uiPriority w:val="99"/>
    <w:rsid w:val="00205316"/>
    <w:rPr>
      <w:sz w:val="20"/>
      <w:szCs w:val="20"/>
    </w:rPr>
  </w:style>
  <w:style w:type="paragraph" w:customStyle="1" w:styleId="VEOHRCListBullet">
    <w:name w:val="VEOHRC List Bullet"/>
    <w:basedOn w:val="Normal"/>
    <w:uiPriority w:val="99"/>
    <w:rsid w:val="00A2617E"/>
    <w:pPr>
      <w:numPr>
        <w:numId w:val="14"/>
      </w:numPr>
      <w:spacing w:after="60" w:line="240" w:lineRule="atLeast"/>
    </w:pPr>
    <w:rPr>
      <w:rFonts w:ascii="Arial" w:hAnsi="Arial"/>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basedOn w:val="DefaultParagraphFont"/>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rFonts w:ascii="Arial" w:hAnsi="Arial"/>
      <w:sz w:val="20"/>
      <w:szCs w:val="20"/>
    </w:rPr>
  </w:style>
  <w:style w:type="paragraph" w:customStyle="1" w:styleId="VEOHRCQuotation">
    <w:name w:val="VEOHRC Quotation"/>
    <w:basedOn w:val="Normal"/>
    <w:rsid w:val="00301490"/>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uiPriority w:val="99"/>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uiPriority w:val="99"/>
    <w:rsid w:val="00E2047F"/>
    <w:pPr>
      <w:tabs>
        <w:tab w:val="left" w:pos="2640"/>
      </w:tabs>
      <w:spacing w:before="80" w:after="120"/>
    </w:pPr>
    <w:rPr>
      <w:rFonts w:ascii="Arial" w:eastAsia="Arial Unicode MS" w:hAnsi="Arial"/>
      <w:sz w:val="24"/>
      <w:szCs w:val="24"/>
      <w:lang w:val="en-GB" w:eastAsia="en-AU"/>
    </w:rPr>
  </w:style>
  <w:style w:type="paragraph" w:styleId="ListBullet">
    <w:name w:val="List Bullet"/>
    <w:basedOn w:val="Normal"/>
    <w:semiHidden/>
    <w:rsid w:val="00EF25B2"/>
    <w:pPr>
      <w:numPr>
        <w:numId w:val="1"/>
      </w:numPr>
    </w:pPr>
  </w:style>
  <w:style w:type="character" w:styleId="FootnoteReference">
    <w:name w:val="footnote reference"/>
    <w:basedOn w:val="DefaultParagraphFont"/>
    <w:semiHidden/>
    <w:rsid w:val="00205316"/>
    <w:rPr>
      <w:vertAlign w:val="superscript"/>
    </w:rPr>
  </w:style>
  <w:style w:type="paragraph" w:customStyle="1" w:styleId="VEOHRCChapterTitle">
    <w:name w:val="VEOHRC Chapter Title"/>
    <w:basedOn w:val="Normal"/>
    <w:uiPriority w:val="99"/>
    <w:rsid w:val="0061204D"/>
    <w:pPr>
      <w:pageBreakBefore/>
      <w:spacing w:after="120" w:line="360" w:lineRule="atLeast"/>
    </w:pPr>
    <w:rPr>
      <w:rFonts w:ascii="Arial" w:hAnsi="Arial"/>
      <w:sz w:val="48"/>
      <w:lang w:val="en-GB"/>
    </w:rPr>
  </w:style>
  <w:style w:type="paragraph" w:customStyle="1" w:styleId="VEOHRCHeading2">
    <w:name w:val="VEOHRC Heading 2"/>
    <w:uiPriority w:val="99"/>
    <w:rsid w:val="004919DD"/>
    <w:pPr>
      <w:keepNext/>
      <w:spacing w:before="240" w:line="280" w:lineRule="atLeast"/>
    </w:pPr>
    <w:rPr>
      <w:rFonts w:ascii="Arial" w:eastAsia="Arial Unicode MS" w:hAnsi="Arial" w:cs="Arial"/>
      <w:bCs/>
      <w:iCs/>
      <w:sz w:val="28"/>
      <w:szCs w:val="28"/>
      <w:lang w:val="en-GB" w:eastAsia="en-AU"/>
    </w:rPr>
  </w:style>
  <w:style w:type="paragraph" w:customStyle="1" w:styleId="VEOHRCHeading3">
    <w:name w:val="VEOHRC Heading 3"/>
    <w:basedOn w:val="Heading3"/>
    <w:next w:val="Normal"/>
    <w:link w:val="VEOHRCHeading3Char"/>
    <w:uiPriority w:val="99"/>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basedOn w:val="DefaultParagraphFont"/>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uiPriority w:val="99"/>
    <w:rsid w:val="00205316"/>
    <w:rPr>
      <w:rFonts w:ascii="Arial" w:hAnsi="Arial"/>
      <w:vertAlign w:val="superscript"/>
      <w:lang w:val="en-AU" w:eastAsia="en-AU" w:bidi="ar-SA"/>
    </w:rPr>
  </w:style>
  <w:style w:type="paragraph" w:customStyle="1" w:styleId="VEOHRCNumberedlist">
    <w:name w:val="VEOHRC Numbered list"/>
    <w:basedOn w:val="VEOHRCListBullet"/>
    <w:rsid w:val="00A2617E"/>
    <w:pPr>
      <w:numPr>
        <w:numId w:val="15"/>
      </w:numPr>
    </w:pPr>
  </w:style>
  <w:style w:type="paragraph" w:customStyle="1" w:styleId="NoParagraphStyle">
    <w:name w:val="[No Paragraph Style]"/>
    <w:rsid w:val="0077375F"/>
    <w:pPr>
      <w:widowControl w:val="0"/>
      <w:autoSpaceDE w:val="0"/>
      <w:autoSpaceDN w:val="0"/>
      <w:adjustRightInd w:val="0"/>
      <w:spacing w:line="288" w:lineRule="auto"/>
      <w:textAlignment w:val="center"/>
    </w:pPr>
    <w:rPr>
      <w:rFonts w:ascii="ArialMT-Light" w:hAnsi="ArialMT-Light" w:cs="ArialMT-Light"/>
      <w:color w:val="000000"/>
      <w:sz w:val="24"/>
      <w:szCs w:val="24"/>
      <w:lang w:val="en-GB"/>
    </w:r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semiHidden/>
    <w:rsid w:val="00FD4638"/>
    <w:pPr>
      <w:tabs>
        <w:tab w:val="right" w:pos="9072"/>
      </w:tabs>
      <w:spacing w:before="360"/>
    </w:pPr>
    <w:rPr>
      <w:rFonts w:ascii="Arial" w:hAnsi="Arial" w:cs="Arial"/>
      <w:b/>
      <w:bCs/>
      <w:caps/>
    </w:rPr>
  </w:style>
  <w:style w:type="paragraph" w:styleId="TOC2">
    <w:name w:val="toc 2"/>
    <w:basedOn w:val="Normal"/>
    <w:next w:val="Normal"/>
    <w:autoRedefine/>
    <w:semiHidden/>
    <w:rsid w:val="00487E03"/>
    <w:pPr>
      <w:spacing w:before="240"/>
    </w:pPr>
    <w:rPr>
      <w:rFonts w:ascii="Times New Roman" w:hAnsi="Times New Roman"/>
      <w:b/>
      <w:bCs/>
      <w:sz w:val="20"/>
      <w:szCs w:val="20"/>
    </w:rPr>
  </w:style>
  <w:style w:type="paragraph" w:styleId="TOC3">
    <w:name w:val="toc 3"/>
    <w:basedOn w:val="Normal"/>
    <w:next w:val="Normal"/>
    <w:autoRedefine/>
    <w:semiHidden/>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0">
    <w:name w:val="Body text"/>
    <w:semiHidden/>
    <w:rsid w:val="00D9783F"/>
    <w:pPr>
      <w:tabs>
        <w:tab w:val="left" w:pos="567"/>
        <w:tab w:val="left" w:pos="1134"/>
      </w:tabs>
      <w:spacing w:after="170" w:line="280" w:lineRule="atLeast"/>
    </w:pPr>
    <w:rPr>
      <w:rFonts w:ascii="Times" w:hAnsi="Times"/>
      <w:sz w:val="24"/>
    </w:rPr>
  </w:style>
  <w:style w:type="paragraph" w:customStyle="1" w:styleId="bull">
    <w:name w:val="bull"/>
    <w:basedOn w:val="Normal"/>
    <w:semiHidden/>
    <w:rsid w:val="00D9783F"/>
    <w:pPr>
      <w:tabs>
        <w:tab w:val="num" w:pos="851"/>
      </w:tabs>
      <w:spacing w:line="300" w:lineRule="atLeast"/>
      <w:ind w:right="237"/>
    </w:pPr>
    <w:rPr>
      <w:rFonts w:ascii="Arial" w:hAnsi="Arial"/>
      <w:sz w:val="21"/>
      <w:szCs w:val="20"/>
      <w:lang w:eastAsia="en-US"/>
    </w:rPr>
  </w:style>
  <w:style w:type="paragraph" w:customStyle="1" w:styleId="Bullet">
    <w:name w:val="Bullet"/>
    <w:basedOn w:val="Bodytext0"/>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rFonts w:ascii="Arial" w:hAnsi="Arial"/>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basedOn w:val="DefaultParagraphFont"/>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rFonts w:ascii="Arial" w:hAnsi="Arial"/>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rFonts w:ascii="Arial" w:hAnsi="Arial"/>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basedOn w:val="DefaultParagraphFont"/>
    <w:link w:val="VEOHRCBodytext"/>
    <w:uiPriority w:val="99"/>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rPr>
  </w:style>
  <w:style w:type="paragraph" w:customStyle="1" w:styleId="Level0-Recitals">
    <w:name w:val="Level 0 - Recitals"/>
    <w:semiHidden/>
    <w:rsid w:val="00D9783F"/>
    <w:pPr>
      <w:numPr>
        <w:numId w:val="32"/>
      </w:numPr>
      <w:tabs>
        <w:tab w:val="left" w:pos="851"/>
      </w:tabs>
      <w:spacing w:before="120" w:after="120"/>
    </w:pPr>
    <w:rPr>
      <w:rFonts w:ascii="Verdana" w:hAnsi="Verdana"/>
    </w:rPr>
  </w:style>
  <w:style w:type="paragraph" w:customStyle="1" w:styleId="BodyText-Bold">
    <w:name w:val="Body Text - Bold"/>
    <w:link w:val="BodyText-BoldChar"/>
    <w:semiHidden/>
    <w:rsid w:val="00D9783F"/>
    <w:pPr>
      <w:spacing w:before="120" w:after="120"/>
      <w:ind w:left="567"/>
    </w:pPr>
    <w:rPr>
      <w:rFonts w:ascii="Verdana" w:hAnsi="Verdana"/>
      <w:b/>
      <w:szCs w:val="24"/>
    </w:rPr>
  </w:style>
  <w:style w:type="paragraph" w:customStyle="1" w:styleId="Default">
    <w:name w:val="Default"/>
    <w:semiHidden/>
    <w:rsid w:val="00D9783F"/>
    <w:pPr>
      <w:autoSpaceDE w:val="0"/>
      <w:autoSpaceDN w:val="0"/>
      <w:adjustRightInd w:val="0"/>
    </w:pPr>
    <w:rPr>
      <w:rFonts w:ascii="Arial" w:hAnsi="Arial" w:cs="Arial"/>
      <w:color w:val="000000"/>
      <w:sz w:val="24"/>
      <w:szCs w:val="24"/>
      <w:lang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ascii="Arial" w:hAnsi="Arial"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rPr>
  </w:style>
  <w:style w:type="paragraph" w:customStyle="1" w:styleId="TableText-List">
    <w:name w:val="Table Text - List"/>
    <w:semiHidden/>
    <w:rsid w:val="00D9783F"/>
    <w:pPr>
      <w:numPr>
        <w:numId w:val="25"/>
      </w:numPr>
      <w:spacing w:before="60" w:after="60"/>
    </w:pPr>
    <w:rPr>
      <w:rFonts w:ascii="Verdana" w:hAnsi="Verdana"/>
      <w:kern w:val="22"/>
      <w:sz w:val="18"/>
      <w:szCs w:val="18"/>
    </w:rPr>
  </w:style>
  <w:style w:type="paragraph" w:customStyle="1" w:styleId="TableText-Centred">
    <w:name w:val="Table Text - Centred"/>
    <w:semiHidden/>
    <w:rsid w:val="00D9783F"/>
    <w:pPr>
      <w:spacing w:before="60" w:after="60"/>
      <w:jc w:val="center"/>
    </w:pPr>
    <w:rPr>
      <w:rFonts w:ascii="Verdana" w:hAnsi="Verdana"/>
      <w:sz w:val="18"/>
      <w:szCs w:val="18"/>
    </w:rPr>
  </w:style>
  <w:style w:type="paragraph" w:customStyle="1" w:styleId="TableHeader">
    <w:name w:val="Table Header"/>
    <w:semiHidden/>
    <w:rsid w:val="00D9783F"/>
    <w:pPr>
      <w:keepNext/>
      <w:spacing w:before="120" w:after="120"/>
    </w:pPr>
    <w:rPr>
      <w:rFonts w:ascii="Verdana" w:hAnsi="Verdana"/>
      <w:b/>
      <w:color w:val="002B45"/>
    </w:rPr>
  </w:style>
  <w:style w:type="paragraph" w:customStyle="1" w:styleId="TableText-CentredBold">
    <w:name w:val="Table Text - Centred / Bold"/>
    <w:semiHidden/>
    <w:rsid w:val="00D9783F"/>
    <w:pPr>
      <w:spacing w:before="60" w:after="60"/>
      <w:jc w:val="center"/>
    </w:pPr>
    <w:rPr>
      <w:rFonts w:ascii="Verdana" w:hAnsi="Verdana"/>
      <w:b/>
      <w:sz w:val="18"/>
      <w:szCs w:val="18"/>
    </w:rPr>
  </w:style>
  <w:style w:type="paragraph" w:customStyle="1" w:styleId="Spacer">
    <w:name w:val="Spacer"/>
    <w:semiHidden/>
    <w:rsid w:val="00D9783F"/>
    <w:pPr>
      <w:ind w:left="567"/>
    </w:pPr>
    <w:rPr>
      <w:rFonts w:ascii="Verdana" w:hAnsi="Verdana"/>
      <w:sz w:val="12"/>
      <w:szCs w:val="12"/>
    </w:rPr>
  </w:style>
  <w:style w:type="paragraph" w:customStyle="1" w:styleId="TableText-Bold">
    <w:name w:val="Table Text - Bold"/>
    <w:semiHidden/>
    <w:rsid w:val="00D9783F"/>
    <w:pPr>
      <w:spacing w:before="60" w:after="60"/>
    </w:pPr>
    <w:rPr>
      <w:rFonts w:ascii="Verdana" w:hAnsi="Verdana"/>
      <w:b/>
      <w:sz w:val="18"/>
      <w:szCs w:val="18"/>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Figure-List">
    <w:name w:val="Figure - List"/>
    <w:semiHidden/>
    <w:rsid w:val="00D9783F"/>
    <w:pPr>
      <w:numPr>
        <w:numId w:val="24"/>
      </w:numPr>
      <w:tabs>
        <w:tab w:val="left" w:pos="142"/>
      </w:tabs>
      <w:spacing w:after="60"/>
    </w:pPr>
    <w:rPr>
      <w:rFonts w:ascii="Arial" w:hAnsi="Arial"/>
      <w:sz w:val="18"/>
      <w:szCs w:val="18"/>
    </w:rPr>
  </w:style>
  <w:style w:type="paragraph" w:customStyle="1" w:styleId="BodyText-RestrictedRelease">
    <w:name w:val="Body Text - Restricted Release"/>
    <w:semiHidden/>
    <w:rsid w:val="00D9783F"/>
    <w:pPr>
      <w:spacing w:after="120"/>
    </w:pPr>
    <w:rPr>
      <w:rFonts w:ascii="Verdana" w:eastAsia="Times" w:hAnsi="Verdana"/>
      <w:sz w:val="16"/>
      <w:szCs w:val="30"/>
      <w:lang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rPr>
  </w:style>
  <w:style w:type="paragraph" w:customStyle="1" w:styleId="TableText-List-Nolinespacing">
    <w:name w:val="Table Text - List - No line spacing"/>
    <w:semiHidden/>
    <w:rsid w:val="00D9783F"/>
    <w:pPr>
      <w:numPr>
        <w:numId w:val="28"/>
      </w:numPr>
    </w:pPr>
    <w:rPr>
      <w:rFonts w:ascii="Verdana" w:hAnsi="Verdana"/>
      <w:kern w:val="22"/>
      <w:sz w:val="18"/>
      <w:szCs w:val="18"/>
    </w:rPr>
  </w:style>
  <w:style w:type="paragraph" w:customStyle="1" w:styleId="BodyText-List-Indent">
    <w:name w:val="Body Text - List - Indent"/>
    <w:semiHidden/>
    <w:rsid w:val="00D9783F"/>
    <w:pPr>
      <w:numPr>
        <w:numId w:val="27"/>
      </w:numPr>
      <w:spacing w:after="120"/>
    </w:pPr>
    <w:rPr>
      <w:rFonts w:ascii="Verdana" w:eastAsia="Times" w:hAnsi="Verdana"/>
      <w:szCs w:val="24"/>
    </w:rPr>
  </w:style>
  <w:style w:type="paragraph" w:customStyle="1" w:styleId="FinalorDraft">
    <w:name w:val="Final or Draft"/>
    <w:semiHidden/>
    <w:rsid w:val="00D9783F"/>
    <w:pPr>
      <w:jc w:val="center"/>
    </w:pPr>
    <w:rPr>
      <w:rFonts w:ascii="Verdana" w:hAnsi="Verdana"/>
      <w:b/>
      <w:bCs/>
      <w:snapToGrid w:val="0"/>
      <w:color w:val="52006B"/>
      <w:sz w:val="24"/>
      <w:szCs w:val="16"/>
    </w:rPr>
  </w:style>
  <w:style w:type="paragraph" w:customStyle="1" w:styleId="BodyText-Italics">
    <w:name w:val="Body Text - Italics"/>
    <w:semiHidden/>
    <w:rsid w:val="00D9783F"/>
    <w:pPr>
      <w:spacing w:before="120" w:after="120"/>
      <w:ind w:left="567"/>
    </w:pPr>
    <w:rPr>
      <w:rFonts w:ascii="Verdana" w:eastAsia="Times" w:hAnsi="Verdana"/>
      <w:i/>
      <w:szCs w:val="24"/>
    </w:rPr>
  </w:style>
  <w:style w:type="paragraph" w:customStyle="1" w:styleId="FigureHeading">
    <w:name w:val="Figure Heading"/>
    <w:semiHidden/>
    <w:rsid w:val="00D9783F"/>
    <w:pPr>
      <w:spacing w:after="120"/>
      <w:jc w:val="center"/>
    </w:pPr>
    <w:rPr>
      <w:rFonts w:ascii="Arial" w:hAnsi="Arial"/>
      <w:b/>
      <w:sz w:val="18"/>
      <w:szCs w:val="18"/>
    </w:rPr>
  </w:style>
  <w:style w:type="paragraph" w:customStyle="1" w:styleId="BodyText-SmallText">
    <w:name w:val="Body Text - Small Text"/>
    <w:semiHidden/>
    <w:rsid w:val="00D9783F"/>
    <w:pPr>
      <w:spacing w:before="120"/>
      <w:ind w:left="567"/>
    </w:pPr>
    <w:rPr>
      <w:rFonts w:ascii="Verdana" w:hAnsi="Verdana"/>
      <w:sz w:val="16"/>
      <w:szCs w:val="24"/>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Cs w:val="24"/>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eastAsia="en-AU"/>
    </w:rPr>
  </w:style>
  <w:style w:type="paragraph" w:customStyle="1" w:styleId="Titledateandversion">
    <w:name w:val="Title date and version"/>
    <w:semiHidden/>
    <w:rsid w:val="00D9783F"/>
    <w:rPr>
      <w:rFonts w:ascii="Times" w:eastAsia="Times" w:hAnsi="Times"/>
      <w:color w:val="87ADB0"/>
      <w:sz w:val="22"/>
      <w:szCs w:val="30"/>
      <w:lang w:eastAsia="en-AU"/>
    </w:rPr>
  </w:style>
  <w:style w:type="paragraph" w:customStyle="1" w:styleId="Subtitle0">
    <w:name w:val="Sub title"/>
    <w:semiHidden/>
    <w:rsid w:val="00D9783F"/>
    <w:pPr>
      <w:spacing w:after="240"/>
    </w:pPr>
    <w:rPr>
      <w:rFonts w:ascii="Times" w:eastAsia="Times" w:hAnsi="Times"/>
      <w:color w:val="52006B"/>
      <w:sz w:val="40"/>
      <w:szCs w:val="40"/>
      <w:lang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eastAsia="en-AU"/>
    </w:rPr>
  </w:style>
  <w:style w:type="paragraph" w:customStyle="1" w:styleId="TableText-Italics">
    <w:name w:val="Table Text - Italics"/>
    <w:semiHidden/>
    <w:rsid w:val="00D9783F"/>
    <w:pPr>
      <w:spacing w:before="60" w:after="60"/>
    </w:pPr>
    <w:rPr>
      <w:rFonts w:ascii="Verdana" w:hAnsi="Verdana"/>
      <w:i/>
      <w:sz w:val="18"/>
      <w:szCs w:val="18"/>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rPr>
  </w:style>
  <w:style w:type="paragraph" w:customStyle="1" w:styleId="TableText-BoldColour">
    <w:name w:val="Table Text - Bold Colour"/>
    <w:semiHidden/>
    <w:rsid w:val="00D9783F"/>
    <w:pPr>
      <w:spacing w:before="60" w:after="60"/>
    </w:pPr>
    <w:rPr>
      <w:rFonts w:ascii="Verdana" w:hAnsi="Verdana"/>
      <w:b/>
      <w:color w:val="52006B"/>
      <w:sz w:val="18"/>
      <w:szCs w:val="18"/>
    </w:rPr>
  </w:style>
  <w:style w:type="paragraph" w:customStyle="1" w:styleId="Organisationname">
    <w:name w:val="Organisation name"/>
    <w:semiHidden/>
    <w:rsid w:val="00D9783F"/>
    <w:rPr>
      <w:rFonts w:ascii="Times" w:hAnsi="Times"/>
      <w:b/>
      <w:color w:val="52006B"/>
      <w:sz w:val="23"/>
      <w:szCs w:val="26"/>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eastAsia="en-AU"/>
    </w:rPr>
  </w:style>
  <w:style w:type="paragraph" w:customStyle="1" w:styleId="NoStyle">
    <w:name w:val="No Style"/>
    <w:link w:val="NoStyleCharChar"/>
    <w:semiHidden/>
    <w:rsid w:val="00D9783F"/>
    <w:pPr>
      <w:ind w:left="567"/>
    </w:pPr>
    <w:rPr>
      <w:rFonts w:ascii="Verdana" w:eastAsia="Times" w:hAnsi="Verdana"/>
      <w:szCs w:val="30"/>
      <w:lang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rPr>
  </w:style>
  <w:style w:type="paragraph" w:customStyle="1" w:styleId="TableTextSmall">
    <w:name w:val="Table Text Small"/>
    <w:semiHidden/>
    <w:rsid w:val="00D9783F"/>
    <w:pPr>
      <w:spacing w:before="60" w:after="60"/>
    </w:pPr>
    <w:rPr>
      <w:rFonts w:ascii="Verdana" w:hAnsi="Verdana"/>
      <w:sz w:val="16"/>
      <w:szCs w:val="18"/>
    </w:rPr>
  </w:style>
  <w:style w:type="paragraph" w:customStyle="1" w:styleId="BodyText-List-RestrictedRelease">
    <w:name w:val="Body Text - List - Restricted Release"/>
    <w:semiHidden/>
    <w:rsid w:val="00D9783F"/>
    <w:pPr>
      <w:numPr>
        <w:numId w:val="26"/>
      </w:numPr>
      <w:spacing w:after="120"/>
    </w:pPr>
    <w:rPr>
      <w:rFonts w:ascii="Verdana" w:hAnsi="Verdana"/>
      <w:sz w:val="16"/>
      <w:lang w:val="en-US"/>
    </w:rPr>
  </w:style>
  <w:style w:type="character" w:customStyle="1" w:styleId="NoStyleCharChar">
    <w:name w:val="No Style Char Char"/>
    <w:basedOn w:val="DefaultParagraphFont"/>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rPr>
  </w:style>
  <w:style w:type="paragraph" w:customStyle="1" w:styleId="FigureText">
    <w:name w:val="Figure Text"/>
    <w:semiHidden/>
    <w:rsid w:val="00D9783F"/>
    <w:pPr>
      <w:spacing w:after="120"/>
    </w:pPr>
    <w:rPr>
      <w:rFonts w:ascii="Verdana" w:hAnsi="Verdana"/>
      <w:sz w:val="18"/>
    </w:rPr>
  </w:style>
  <w:style w:type="paragraph" w:customStyle="1" w:styleId="BodyText-Centred">
    <w:name w:val="Body Text - Centred"/>
    <w:semiHidden/>
    <w:rsid w:val="00D9783F"/>
    <w:pPr>
      <w:spacing w:before="120" w:after="120"/>
      <w:ind w:left="567"/>
      <w:jc w:val="center"/>
    </w:pPr>
    <w:rPr>
      <w:rFonts w:ascii="Verdana" w:eastAsia="Times" w:hAnsi="Verdana"/>
      <w:szCs w:val="24"/>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rPr>
  </w:style>
  <w:style w:type="character" w:styleId="EndnoteReference">
    <w:name w:val="endnote reference"/>
    <w:basedOn w:val="DefaultParagraphFont"/>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u w:val="single"/>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rPr>
  </w:style>
  <w:style w:type="character" w:customStyle="1" w:styleId="BodyText-RestrictedReleaseCharCharChar">
    <w:name w:val="Body Text - Restricted Release Char Char Char"/>
    <w:basedOn w:val="DefaultParagraphFont"/>
    <w:semiHidden/>
    <w:rsid w:val="00D9783F"/>
    <w:rPr>
      <w:rFonts w:ascii="Verdana" w:eastAsia="Times" w:hAnsi="Verdana"/>
      <w:szCs w:val="30"/>
      <w:lang w:val="en-AU" w:eastAsia="en-AU" w:bidi="ar-SA"/>
    </w:rPr>
  </w:style>
  <w:style w:type="character" w:customStyle="1" w:styleId="NoStyleCharacter">
    <w:name w:val="No Style Character"/>
    <w:basedOn w:val="DefaultParagraphFont"/>
    <w:semiHidden/>
    <w:rsid w:val="00D9783F"/>
    <w:rPr>
      <w:rFonts w:eastAsia="Times"/>
    </w:rPr>
  </w:style>
  <w:style w:type="character" w:customStyle="1" w:styleId="BodyText-NumberedListaCharChar">
    <w:name w:val="Body Text - Numbered List a Char Char"/>
    <w:basedOn w:val="DefaultParagraphFont"/>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rPr>
  </w:style>
  <w:style w:type="character" w:customStyle="1" w:styleId="BodyText-NumberedListiCharChar">
    <w:name w:val="Body Text - Numbered List i Char Char"/>
    <w:basedOn w:val="BodyText-NumberedListaChar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qFormat/>
    <w:rsid w:val="00D9783F"/>
    <w:rPr>
      <w:rFonts w:ascii="Script MT Bold" w:hAnsi="Script MT Bold"/>
      <w:b/>
      <w:bCs/>
      <w:sz w:val="20"/>
      <w:szCs w:val="20"/>
      <w:lang w:eastAsia="en-US"/>
    </w:rPr>
  </w:style>
  <w:style w:type="character" w:customStyle="1" w:styleId="Bullet-Orange">
    <w:name w:val="Bullet - Orange"/>
    <w:basedOn w:val="DefaultParagraphFont"/>
    <w:semiHidden/>
    <w:rsid w:val="00D9783F"/>
    <w:rPr>
      <w:rFonts w:eastAsia="Times"/>
      <w:color w:val="FF9900"/>
    </w:rPr>
  </w:style>
  <w:style w:type="character" w:customStyle="1" w:styleId="Bullet-Red">
    <w:name w:val="Bullet - Red"/>
    <w:basedOn w:val="DefaultParagraphFont"/>
    <w:semiHidden/>
    <w:rsid w:val="00D9783F"/>
    <w:rPr>
      <w:rFonts w:eastAsia="Times"/>
      <w:color w:val="FF0000"/>
    </w:rPr>
  </w:style>
  <w:style w:type="character" w:customStyle="1" w:styleId="Bullet-Blue">
    <w:name w:val="Bullet - Blue"/>
    <w:basedOn w:val="DefaultParagraphFont"/>
    <w:semiHidden/>
    <w:rsid w:val="00D9783F"/>
    <w:rPr>
      <w:rFonts w:eastAsia="Times"/>
      <w:color w:val="0000FF"/>
    </w:rPr>
  </w:style>
  <w:style w:type="character" w:customStyle="1" w:styleId="Bullet-Green">
    <w:name w:val="Bullet - Green"/>
    <w:basedOn w:val="DefaultParagraphFont"/>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Cs w:val="24"/>
    </w:rPr>
  </w:style>
  <w:style w:type="character" w:customStyle="1" w:styleId="GuidanceTextChar">
    <w:name w:val="Guidance Text Char"/>
    <w:basedOn w:val="DefaultParagraphFont"/>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eastAsia="en-AU"/>
    </w:rPr>
  </w:style>
  <w:style w:type="character" w:customStyle="1" w:styleId="HeaderChar">
    <w:name w:val="Header Char"/>
    <w:basedOn w:val="DefaultParagraphFont"/>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rPr>
  </w:style>
  <w:style w:type="character" w:customStyle="1" w:styleId="InstructionBlue">
    <w:name w:val="Instruction Blue"/>
    <w:basedOn w:val="NoStyleCharacter"/>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Cs w:val="21"/>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Cs w:val="24"/>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Cs w:val="24"/>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Cs w:val="24"/>
    </w:rPr>
  </w:style>
  <w:style w:type="paragraph" w:customStyle="1" w:styleId="LevelBody1-a">
    <w:name w:val="Level Body 1 - (a)"/>
    <w:semiHidden/>
    <w:rsid w:val="00D9783F"/>
    <w:pPr>
      <w:numPr>
        <w:ilvl w:val="4"/>
        <w:numId w:val="33"/>
      </w:numPr>
      <w:spacing w:before="120" w:after="120"/>
    </w:pPr>
    <w:rPr>
      <w:rFonts w:ascii="Verdana" w:hAnsi="Verdana"/>
    </w:rPr>
  </w:style>
  <w:style w:type="paragraph" w:customStyle="1" w:styleId="LevelBody1-atext">
    <w:name w:val="Level Body 1 - (a) text"/>
    <w:link w:val="LevelBody1-atextChar"/>
    <w:semiHidden/>
    <w:rsid w:val="00D9783F"/>
    <w:pPr>
      <w:spacing w:before="120" w:after="120"/>
      <w:ind w:left="1418"/>
    </w:pPr>
    <w:rPr>
      <w:rFonts w:ascii="Verdana" w:hAnsi="Verdana"/>
    </w:rPr>
  </w:style>
  <w:style w:type="paragraph" w:customStyle="1" w:styleId="LevelBody2-i">
    <w:name w:val="Level Body 2 - (i)"/>
    <w:semiHidden/>
    <w:rsid w:val="00D9783F"/>
    <w:pPr>
      <w:numPr>
        <w:ilvl w:val="5"/>
        <w:numId w:val="33"/>
      </w:numPr>
      <w:spacing w:before="120" w:after="120"/>
    </w:pPr>
    <w:rPr>
      <w:rFonts w:ascii="Verdana" w:hAnsi="Verdana"/>
    </w:rPr>
  </w:style>
  <w:style w:type="paragraph" w:customStyle="1" w:styleId="LevelBody2-itext">
    <w:name w:val="Level Body 2 - (i) text"/>
    <w:link w:val="LevelBody2-itextChar"/>
    <w:semiHidden/>
    <w:rsid w:val="00D9783F"/>
    <w:pPr>
      <w:spacing w:before="120" w:after="120"/>
      <w:ind w:left="1985"/>
    </w:pPr>
    <w:rPr>
      <w:rFonts w:ascii="Verdana" w:hAnsi="Verdana"/>
    </w:rPr>
  </w:style>
  <w:style w:type="paragraph" w:customStyle="1" w:styleId="LevelBody3-A">
    <w:name w:val="Level Body 3 - (A)"/>
    <w:semiHidden/>
    <w:rsid w:val="00D9783F"/>
    <w:pPr>
      <w:numPr>
        <w:ilvl w:val="6"/>
        <w:numId w:val="33"/>
      </w:numPr>
      <w:spacing w:before="120" w:after="120"/>
    </w:pPr>
    <w:rPr>
      <w:rFonts w:ascii="Verdana" w:hAnsi="Verdana"/>
    </w:rPr>
  </w:style>
  <w:style w:type="paragraph" w:customStyle="1" w:styleId="LevelBody3-Atext">
    <w:name w:val="Level Body 3 - (A) text"/>
    <w:semiHidden/>
    <w:rsid w:val="00D9783F"/>
    <w:pPr>
      <w:spacing w:before="120" w:after="120"/>
      <w:ind w:left="2552"/>
    </w:pPr>
    <w:rPr>
      <w:rFonts w:ascii="Verdana" w:hAnsi="Verdana"/>
    </w:rPr>
  </w:style>
  <w:style w:type="paragraph" w:customStyle="1" w:styleId="LevelBody4-I">
    <w:name w:val="Level Body 4 - (I)"/>
    <w:semiHidden/>
    <w:rsid w:val="00D9783F"/>
    <w:pPr>
      <w:numPr>
        <w:ilvl w:val="7"/>
        <w:numId w:val="33"/>
      </w:numPr>
      <w:spacing w:before="120" w:after="120"/>
    </w:pPr>
    <w:rPr>
      <w:rFonts w:ascii="Verdana" w:hAnsi="Verdana"/>
    </w:rPr>
  </w:style>
  <w:style w:type="paragraph" w:customStyle="1" w:styleId="LevelBody4-Itext">
    <w:name w:val="Level Body 4 - (I) text"/>
    <w:link w:val="LevelBody4-ItextChar"/>
    <w:semiHidden/>
    <w:rsid w:val="00D9783F"/>
    <w:pPr>
      <w:spacing w:before="120" w:after="120"/>
      <w:ind w:left="3119"/>
    </w:pPr>
    <w:rPr>
      <w:rFonts w:ascii="Verdana" w:hAnsi="Verdana"/>
    </w:rPr>
  </w:style>
  <w:style w:type="paragraph" w:customStyle="1" w:styleId="Table-Number">
    <w:name w:val="Table - Number"/>
    <w:semiHidden/>
    <w:rsid w:val="00D9783F"/>
    <w:pPr>
      <w:numPr>
        <w:numId w:val="36"/>
      </w:numPr>
      <w:spacing w:before="60" w:after="60"/>
    </w:pPr>
    <w:rPr>
      <w:rFonts w:ascii="Verdana" w:hAnsi="Verdana"/>
      <w:sz w:val="18"/>
      <w:szCs w:val="18"/>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basedOn w:val="DefaultParagraphFont"/>
    <w:link w:val="LevelBody1-atext"/>
    <w:rsid w:val="00D9783F"/>
    <w:rPr>
      <w:rFonts w:ascii="Verdana" w:hAnsi="Verdana"/>
      <w:lang w:val="en-AU" w:eastAsia="en-US" w:bidi="ar-SA"/>
    </w:rPr>
  </w:style>
  <w:style w:type="character" w:customStyle="1" w:styleId="LevelBody2-itextChar">
    <w:name w:val="Level Body 2 - (i) text Char"/>
    <w:basedOn w:val="DefaultParagraphFont"/>
    <w:link w:val="LevelBody2-itext"/>
    <w:rsid w:val="00D9783F"/>
    <w:rPr>
      <w:rFonts w:ascii="Verdana" w:hAnsi="Verdana"/>
      <w:lang w:val="en-AU" w:eastAsia="en-US" w:bidi="ar-SA"/>
    </w:rPr>
  </w:style>
  <w:style w:type="character" w:customStyle="1" w:styleId="LevelBody4-ItextChar">
    <w:name w:val="Level Body 4 - (I) text Char"/>
    <w:basedOn w:val="DefaultParagraphFont"/>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Cs w:val="24"/>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rPr>
  </w:style>
  <w:style w:type="paragraph" w:customStyle="1" w:styleId="BodyText-NumberedList10">
    <w:name w:val="Body Text - Numbered List (1)"/>
    <w:semiHidden/>
    <w:rsid w:val="00D9783F"/>
    <w:pPr>
      <w:numPr>
        <w:ilvl w:val="3"/>
        <w:numId w:val="38"/>
      </w:numPr>
    </w:pPr>
    <w:rPr>
      <w:rFonts w:ascii="Verdana" w:eastAsia="Times" w:hAnsi="Verdana"/>
      <w:lang w:val="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basedOn w:val="DefaultParagraphFont"/>
    <w:link w:val="Heading-inTOC"/>
    <w:rsid w:val="00D9783F"/>
    <w:rPr>
      <w:rFonts w:ascii="Verdana" w:hAnsi="Verdana"/>
      <w:color w:val="52006B"/>
      <w:sz w:val="28"/>
      <w:szCs w:val="28"/>
      <w:lang w:val="en-AU" w:eastAsia="en-US" w:bidi="ar-SA"/>
    </w:rPr>
  </w:style>
  <w:style w:type="character" w:customStyle="1" w:styleId="BodyText-BoldChar">
    <w:name w:val="Body Text - Bold Char"/>
    <w:basedOn w:val="DefaultParagraphFont"/>
    <w:link w:val="BodyText-Bold"/>
    <w:rsid w:val="00D9783F"/>
    <w:rPr>
      <w:rFonts w:ascii="Verdana" w:hAnsi="Verdana"/>
      <w:b/>
      <w:szCs w:val="24"/>
      <w:lang w:val="en-AU" w:eastAsia="en-US" w:bidi="ar-SA"/>
    </w:rPr>
  </w:style>
  <w:style w:type="character" w:customStyle="1" w:styleId="TableTextChar">
    <w:name w:val="Table Text Char"/>
    <w:basedOn w:val="DefaultParagraphFont"/>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rPr>
  </w:style>
  <w:style w:type="character" w:customStyle="1" w:styleId="VEOHRCHeading3Char">
    <w:name w:val="VEOHRC Heading 3 Char"/>
    <w:basedOn w:val="DefaultParagraphFont"/>
    <w:link w:val="VEOHRCHeading3"/>
    <w:uiPriority w:val="99"/>
    <w:rsid w:val="00A76969"/>
    <w:rPr>
      <w:rFonts w:ascii="Arial" w:hAnsi="Arial" w:cs="Arial"/>
      <w:b/>
      <w:bCs/>
      <w:sz w:val="24"/>
      <w:szCs w:val="26"/>
      <w:lang w:val="en-GB" w:eastAsia="en-AU" w:bidi="ar-SA"/>
    </w:rPr>
  </w:style>
  <w:style w:type="paragraph" w:customStyle="1" w:styleId="h1-daxcoloured">
    <w:name w:val="h1 - dax coloured"/>
    <w:basedOn w:val="NoParagraphStyle"/>
    <w:next w:val="NoParagraphStyle"/>
    <w:uiPriority w:val="99"/>
    <w:rsid w:val="0077375F"/>
    <w:pPr>
      <w:suppressAutoHyphens/>
      <w:spacing w:before="227" w:after="113" w:line="320" w:lineRule="atLeast"/>
    </w:pPr>
    <w:rPr>
      <w:rFonts w:ascii="Dax-Medium" w:hAnsi="Dax-Medium" w:cs="Dax-Medium"/>
      <w:color w:val="00ADEF"/>
      <w:sz w:val="28"/>
      <w:szCs w:val="28"/>
    </w:rPr>
  </w:style>
  <w:style w:type="character" w:customStyle="1" w:styleId="VEOHRCHeading1Char">
    <w:name w:val="VEOHRC Heading 1 Char"/>
    <w:basedOn w:val="Heading1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h1-daxcolouredcontents">
    <w:name w:val="h1 - dax coloured contents"/>
    <w:basedOn w:val="h1-daxcoloured"/>
    <w:uiPriority w:val="99"/>
    <w:rsid w:val="0077375F"/>
    <w:pPr>
      <w:pBdr>
        <w:bottom w:val="single" w:sz="2" w:space="2" w:color="00689D"/>
      </w:pBdr>
      <w:tabs>
        <w:tab w:val="right" w:pos="10205"/>
      </w:tabs>
      <w:spacing w:before="113" w:line="360" w:lineRule="atLeast"/>
    </w:pPr>
  </w:style>
  <w:style w:type="paragraph" w:customStyle="1" w:styleId="VEOHRCListBullet-lastbullet">
    <w:name w:val="VEOHRC List Bullet - last bullet"/>
    <w:basedOn w:val="VEOHRCListBullet"/>
    <w:uiPriority w:val="99"/>
    <w:rsid w:val="0077375F"/>
    <w:pPr>
      <w:widowControl w:val="0"/>
      <w:numPr>
        <w:numId w:val="0"/>
      </w:numPr>
      <w:tabs>
        <w:tab w:val="left" w:pos="255"/>
      </w:tabs>
      <w:suppressAutoHyphens/>
      <w:autoSpaceDE w:val="0"/>
      <w:autoSpaceDN w:val="0"/>
      <w:adjustRightInd w:val="0"/>
      <w:spacing w:after="113" w:line="250" w:lineRule="atLeast"/>
      <w:ind w:left="255" w:hanging="255"/>
      <w:textAlignment w:val="center"/>
    </w:pPr>
    <w:rPr>
      <w:rFonts w:ascii="ArialMT-Light" w:hAnsi="ArialMT-Light" w:cs="ArialMT-Light"/>
      <w:color w:val="000000"/>
      <w:sz w:val="21"/>
      <w:szCs w:val="21"/>
      <w:lang w:eastAsia="en-US"/>
    </w:rPr>
  </w:style>
  <w:style w:type="paragraph" w:customStyle="1" w:styleId="Introparagraph">
    <w:name w:val="Intro paragraph"/>
    <w:basedOn w:val="VEOHRCBodytext"/>
    <w:uiPriority w:val="99"/>
    <w:rsid w:val="0077375F"/>
    <w:pPr>
      <w:widowControl w:val="0"/>
      <w:tabs>
        <w:tab w:val="clear" w:pos="2640"/>
      </w:tabs>
      <w:suppressAutoHyphens/>
      <w:autoSpaceDE w:val="0"/>
      <w:autoSpaceDN w:val="0"/>
      <w:adjustRightInd w:val="0"/>
      <w:spacing w:before="227" w:after="227" w:line="320" w:lineRule="atLeast"/>
      <w:textAlignment w:val="center"/>
    </w:pPr>
    <w:rPr>
      <w:rFonts w:ascii="ArialMT-Medium" w:eastAsia="Times New Roman" w:hAnsi="ArialMT-Medium" w:cs="ArialMT-Medium"/>
      <w:color w:val="000000"/>
      <w:sz w:val="26"/>
      <w:szCs w:val="26"/>
      <w:lang w:eastAsia="en-US"/>
    </w:rPr>
  </w:style>
  <w:style w:type="paragraph" w:customStyle="1" w:styleId="Bodytext1">
    <w:name w:val="Bodytext"/>
    <w:basedOn w:val="NoParagraphStyle"/>
    <w:next w:val="NoParagraphStyle"/>
    <w:uiPriority w:val="99"/>
    <w:rsid w:val="0077375F"/>
    <w:pPr>
      <w:suppressAutoHyphens/>
      <w:spacing w:after="113" w:line="250" w:lineRule="atLeast"/>
    </w:pPr>
    <w:rPr>
      <w:sz w:val="21"/>
      <w:szCs w:val="21"/>
    </w:rPr>
  </w:style>
  <w:style w:type="paragraph" w:customStyle="1" w:styleId="text-quote">
    <w:name w:val="text - quote"/>
    <w:basedOn w:val="VEOHRCBodytext"/>
    <w:uiPriority w:val="99"/>
    <w:rsid w:val="0077375F"/>
    <w:pPr>
      <w:widowControl w:val="0"/>
      <w:tabs>
        <w:tab w:val="clear" w:pos="2640"/>
      </w:tabs>
      <w:suppressAutoHyphens/>
      <w:autoSpaceDE w:val="0"/>
      <w:autoSpaceDN w:val="0"/>
      <w:adjustRightInd w:val="0"/>
      <w:spacing w:before="113" w:after="113" w:line="250" w:lineRule="atLeast"/>
      <w:ind w:left="567" w:right="567"/>
      <w:textAlignment w:val="center"/>
    </w:pPr>
    <w:rPr>
      <w:rFonts w:ascii="ArialMT-LightItalic" w:eastAsia="Times New Roman" w:hAnsi="ArialMT-LightItalic" w:cs="ArialMT-LightItalic"/>
      <w:i/>
      <w:iCs/>
      <w:color w:val="000000"/>
      <w:sz w:val="21"/>
      <w:szCs w:val="21"/>
      <w:lang w:eastAsia="en-US"/>
    </w:rPr>
  </w:style>
  <w:style w:type="paragraph" w:customStyle="1" w:styleId="tabletext0">
    <w:name w:val="table text"/>
    <w:basedOn w:val="VEOHRCBodytext"/>
    <w:uiPriority w:val="99"/>
    <w:rsid w:val="0077375F"/>
    <w:pPr>
      <w:widowControl w:val="0"/>
      <w:tabs>
        <w:tab w:val="clear" w:pos="2640"/>
      </w:tabs>
      <w:suppressAutoHyphens/>
      <w:autoSpaceDE w:val="0"/>
      <w:autoSpaceDN w:val="0"/>
      <w:adjustRightInd w:val="0"/>
      <w:spacing w:before="0" w:after="0" w:line="160" w:lineRule="atLeast"/>
      <w:textAlignment w:val="center"/>
    </w:pPr>
    <w:rPr>
      <w:rFonts w:ascii="ArialMT-Light" w:eastAsia="Times New Roman" w:hAnsi="ArialMT-Light" w:cs="ArialMT-Light"/>
      <w:color w:val="000000"/>
      <w:sz w:val="16"/>
      <w:szCs w:val="16"/>
      <w:lang w:eastAsia="en-US"/>
    </w:rPr>
  </w:style>
  <w:style w:type="paragraph" w:customStyle="1" w:styleId="tabletextbold">
    <w:name w:val="table text bold"/>
    <w:basedOn w:val="tabletext0"/>
    <w:uiPriority w:val="99"/>
    <w:rsid w:val="0077375F"/>
    <w:rPr>
      <w:rFonts w:ascii="ArialMT-Medium" w:hAnsi="ArialMT-Medium" w:cs="ArialMT-Medium"/>
    </w:rPr>
  </w:style>
  <w:style w:type="paragraph" w:customStyle="1" w:styleId="tabletextboldreverse">
    <w:name w:val="table text bold reverse"/>
    <w:basedOn w:val="tabletextbold"/>
    <w:uiPriority w:val="99"/>
    <w:rsid w:val="0077375F"/>
    <w:rPr>
      <w:rFonts w:ascii="Arial-BoldMT" w:hAnsi="Arial-BoldMT" w:cs="Arial-BoldMT"/>
      <w:b/>
      <w:bCs/>
      <w:color w:val="FFFFFF"/>
    </w:rPr>
  </w:style>
  <w:style w:type="paragraph" w:customStyle="1" w:styleId="tabletextblue">
    <w:name w:val="table text blue"/>
    <w:basedOn w:val="tabletext0"/>
    <w:uiPriority w:val="99"/>
    <w:rsid w:val="0077375F"/>
    <w:rPr>
      <w:color w:val="00ADEF"/>
    </w:rPr>
  </w:style>
  <w:style w:type="character" w:customStyle="1" w:styleId="www">
    <w:name w:val="www"/>
    <w:uiPriority w:val="99"/>
    <w:rsid w:val="0077375F"/>
    <w:rPr>
      <w:color w:val="00ADEF"/>
    </w:rPr>
  </w:style>
  <w:style w:type="character" w:customStyle="1" w:styleId="apple-converted-space">
    <w:name w:val="apple-converted-space"/>
    <w:uiPriority w:val="99"/>
    <w:rsid w:val="0077375F"/>
    <w:rPr>
      <w:w w:val="100"/>
    </w:rPr>
  </w:style>
  <w:style w:type="character" w:customStyle="1" w:styleId="Bodytext-bold0">
    <w:name w:val="Bodytext - bold"/>
    <w:uiPriority w:val="99"/>
    <w:rsid w:val="0077375F"/>
    <w:rPr>
      <w:rFonts w:ascii="ArialMT-Medium" w:hAnsi="ArialMT-Medium" w:cs="ArialMT-Medium"/>
    </w:rPr>
  </w:style>
  <w:style w:type="character" w:customStyle="1" w:styleId="Bodytext-italic">
    <w:name w:val="Bodytext - italic"/>
    <w:uiPriority w:val="99"/>
    <w:rsid w:val="0077375F"/>
    <w:rPr>
      <w:rFonts w:ascii="ArialMT-LightItalic" w:hAnsi="ArialMT-LightItalic" w:cs="ArialMT-LightItalic"/>
      <w:i/>
      <w:iCs/>
    </w:rPr>
  </w:style>
  <w:style w:type="character" w:customStyle="1" w:styleId="Annotationreference">
    <w:name w:val="Annotation reference"/>
    <w:uiPriority w:val="99"/>
    <w:rsid w:val="0077375F"/>
    <w:rPr>
      <w:w w:val="100"/>
      <w:sz w:val="16"/>
      <w:szCs w:val="16"/>
    </w:rPr>
  </w:style>
  <w:style w:type="character" w:customStyle="1" w:styleId="VEOHRCURLChar">
    <w:name w:val="VEOHRC URL Char"/>
    <w:uiPriority w:val="99"/>
    <w:rsid w:val="00632946"/>
    <w:rPr>
      <w:rFonts w:ascii="Arial" w:hAnsi="Arial" w:cs="ArialMT"/>
      <w:color w:val="0000FF"/>
      <w:w w:val="100"/>
      <w:sz w:val="24"/>
      <w:szCs w:val="19"/>
      <w:lang w:val="en-AU"/>
    </w:rPr>
  </w:style>
  <w:style w:type="table" w:styleId="LightList">
    <w:name w:val="Light List"/>
    <w:basedOn w:val="TableNormal"/>
    <w:uiPriority w:val="61"/>
    <w:rsid w:val="00821C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hyperlink" Target="mailto:information@veohrc.vic.gov.au" TargetMode="External"/><Relationship Id="rId14" Type="http://schemas.openxmlformats.org/officeDocument/2006/relationships/hyperlink" Target="http://www.humanrightscommission.vic.gov.au" TargetMode="External"/><Relationship Id="rId15" Type="http://schemas.openxmlformats.org/officeDocument/2006/relationships/hyperlink" Target="http://www.twitter.com/VEOHRC" TargetMode="External"/><Relationship Id="rId16" Type="http://schemas.openxmlformats.org/officeDocument/2006/relationships/hyperlink" Target="http://www.facebook.com/VEOHR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information@veohrc.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mmsveohrc:Library:Application%20Support:Microsoft:Office:User%20Templates:My%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85</TotalTime>
  <Pages>51</Pages>
  <Words>17265</Words>
  <Characters>98415</Characters>
  <Application>Microsoft Macintosh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115450</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Comms VEOHRC</dc:creator>
  <cp:keywords/>
  <dc:description/>
  <cp:lastModifiedBy>Comms VEOHRC</cp:lastModifiedBy>
  <cp:revision>5</cp:revision>
  <cp:lastPrinted>1900-12-31T14:00:00Z</cp:lastPrinted>
  <dcterms:created xsi:type="dcterms:W3CDTF">2016-10-21T05:20:00Z</dcterms:created>
  <dcterms:modified xsi:type="dcterms:W3CDTF">2016-10-24T05:04:00Z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