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CE422" w14:textId="77777777" w:rsidR="006C4FDB" w:rsidRPr="006604A1" w:rsidRDefault="006C4FDB" w:rsidP="006C4FDB">
      <w:pPr>
        <w:pStyle w:val="VEOHRCBodytext"/>
        <w:keepNext w:val="0"/>
        <w:rPr>
          <w:rFonts w:cs="Arial"/>
          <w:szCs w:val="22"/>
        </w:rPr>
      </w:pPr>
      <w:bookmarkStart w:id="0" w:name="_Toc362962399"/>
      <w:r>
        <w:rPr>
          <w:rFonts w:cs="Arial"/>
          <w:szCs w:val="22"/>
        </w:rPr>
        <w:t>31 January</w:t>
      </w:r>
      <w:r w:rsidRPr="006604A1">
        <w:rPr>
          <w:rFonts w:cs="Arial"/>
          <w:szCs w:val="22"/>
        </w:rPr>
        <w:t xml:space="preserve"> 2020</w:t>
      </w:r>
    </w:p>
    <w:p w14:paraId="0FD8BCAE" w14:textId="77777777" w:rsidR="006C4FDB" w:rsidRPr="006604A1" w:rsidRDefault="006C4FDB" w:rsidP="006C4FDB">
      <w:pPr>
        <w:pStyle w:val="VEOHRCBodytext"/>
        <w:keepNext w:val="0"/>
        <w:spacing w:before="0" w:after="0"/>
        <w:rPr>
          <w:rFonts w:cs="Arial"/>
          <w:szCs w:val="22"/>
        </w:rPr>
      </w:pPr>
    </w:p>
    <w:p w14:paraId="08CB07E7" w14:textId="77777777" w:rsidR="006C4FDB" w:rsidRPr="006604A1" w:rsidRDefault="006C4FDB" w:rsidP="006C4FDB">
      <w:pPr>
        <w:pStyle w:val="VEOHRCBodytext"/>
        <w:keepNext w:val="0"/>
        <w:spacing w:before="0" w:after="0"/>
        <w:rPr>
          <w:rFonts w:cs="Arial"/>
          <w:szCs w:val="22"/>
        </w:rPr>
      </w:pPr>
      <w:r w:rsidRPr="006604A1">
        <w:rPr>
          <w:rFonts w:cs="Arial"/>
          <w:szCs w:val="22"/>
        </w:rPr>
        <w:t>Human Rights Unit, Integrity Law Branch</w:t>
      </w:r>
    </w:p>
    <w:p w14:paraId="6FFACE3B" w14:textId="77777777" w:rsidR="006C4FDB" w:rsidRPr="006604A1" w:rsidRDefault="006C4FDB" w:rsidP="006C4FDB">
      <w:pPr>
        <w:pStyle w:val="VEOHRCBodytext"/>
        <w:keepNext w:val="0"/>
        <w:spacing w:before="0" w:after="0"/>
        <w:rPr>
          <w:rFonts w:cs="Arial"/>
          <w:szCs w:val="22"/>
        </w:rPr>
      </w:pPr>
      <w:r w:rsidRPr="006604A1">
        <w:rPr>
          <w:rFonts w:cs="Arial"/>
          <w:szCs w:val="22"/>
        </w:rPr>
        <w:t>Integrity and Security Division</w:t>
      </w:r>
      <w:r w:rsidRPr="006604A1">
        <w:rPr>
          <w:rFonts w:cs="Arial"/>
          <w:szCs w:val="22"/>
        </w:rPr>
        <w:br/>
        <w:t>Attorney-General’s Department</w:t>
      </w:r>
      <w:r w:rsidRPr="00170697">
        <w:rPr>
          <w:rFonts w:cs="Arial"/>
          <w:szCs w:val="22"/>
        </w:rPr>
        <w:br/>
      </w:r>
      <w:hyperlink r:id="rId8" w:history="1">
        <w:r w:rsidRPr="006604A1">
          <w:rPr>
            <w:rStyle w:val="Hyperlink"/>
            <w:rFonts w:cs="Arial"/>
            <w:szCs w:val="22"/>
          </w:rPr>
          <w:t>FoRConsultation@ag.gov.au</w:t>
        </w:r>
      </w:hyperlink>
      <w:r w:rsidRPr="006604A1">
        <w:rPr>
          <w:rFonts w:cs="Arial"/>
          <w:szCs w:val="22"/>
        </w:rPr>
        <w:t xml:space="preserve"> </w:t>
      </w:r>
    </w:p>
    <w:p w14:paraId="758369C4" w14:textId="77777777" w:rsidR="003D75D2" w:rsidRDefault="003D75D2" w:rsidP="006C4FDB">
      <w:pPr>
        <w:pStyle w:val="VEOHRCBodytext"/>
        <w:keepNext w:val="0"/>
        <w:rPr>
          <w:rFonts w:cs="Arial"/>
          <w:b/>
          <w:szCs w:val="22"/>
        </w:rPr>
      </w:pPr>
    </w:p>
    <w:p w14:paraId="03C698CF" w14:textId="2743F7BA" w:rsidR="006C4FDB" w:rsidRPr="006604A1" w:rsidRDefault="006C4FDB" w:rsidP="006C4FDB">
      <w:pPr>
        <w:pStyle w:val="VEOHRCBodytext"/>
        <w:keepNext w:val="0"/>
        <w:rPr>
          <w:rFonts w:cs="Arial"/>
          <w:b/>
          <w:szCs w:val="22"/>
        </w:rPr>
      </w:pPr>
      <w:r w:rsidRPr="006604A1">
        <w:rPr>
          <w:rFonts w:cs="Arial"/>
          <w:b/>
          <w:szCs w:val="22"/>
        </w:rPr>
        <w:t>BY EMAIL</w:t>
      </w:r>
    </w:p>
    <w:p w14:paraId="74E0FBE9" w14:textId="77777777" w:rsidR="006C4FDB" w:rsidRPr="006604A1" w:rsidRDefault="006C4FDB" w:rsidP="006C4FDB">
      <w:pPr>
        <w:pStyle w:val="VEOHRCBodytext"/>
        <w:keepNext w:val="0"/>
        <w:rPr>
          <w:rFonts w:cs="Arial"/>
          <w:szCs w:val="22"/>
        </w:rPr>
      </w:pPr>
    </w:p>
    <w:p w14:paraId="762D1B1E" w14:textId="77777777" w:rsidR="006C4FDB" w:rsidRPr="006604A1" w:rsidRDefault="006C4FDB" w:rsidP="006C4FDB">
      <w:pPr>
        <w:pStyle w:val="VEOHRCBodytext"/>
        <w:keepNext w:val="0"/>
        <w:rPr>
          <w:rFonts w:cs="Arial"/>
          <w:szCs w:val="22"/>
        </w:rPr>
      </w:pPr>
      <w:r w:rsidRPr="006604A1">
        <w:rPr>
          <w:rFonts w:cs="Arial"/>
          <w:szCs w:val="22"/>
        </w:rPr>
        <w:t xml:space="preserve">To Whom It May Concern </w:t>
      </w:r>
    </w:p>
    <w:p w14:paraId="3B76494E" w14:textId="77777777" w:rsidR="006C4FDB" w:rsidRPr="006604A1" w:rsidRDefault="006C4FDB" w:rsidP="006C4FDB">
      <w:pPr>
        <w:pStyle w:val="VEOHRCHeading3"/>
        <w:rPr>
          <w:sz w:val="22"/>
          <w:szCs w:val="22"/>
        </w:rPr>
      </w:pPr>
      <w:r w:rsidRPr="006604A1">
        <w:rPr>
          <w:sz w:val="22"/>
          <w:szCs w:val="22"/>
        </w:rPr>
        <w:t>Submission regarding the second exposure draft of the Religious Discrimination Bill</w:t>
      </w:r>
    </w:p>
    <w:p w14:paraId="43E71578" w14:textId="491CACDA" w:rsidR="006C4FDB" w:rsidRPr="006604A1" w:rsidRDefault="006C4FDB" w:rsidP="006C4FDB">
      <w:pPr>
        <w:pStyle w:val="VEOHRCBodytext"/>
        <w:keepNext w:val="0"/>
        <w:rPr>
          <w:rFonts w:cs="Arial"/>
          <w:szCs w:val="22"/>
        </w:rPr>
      </w:pPr>
      <w:r w:rsidRPr="006604A1">
        <w:rPr>
          <w:rFonts w:cs="Arial"/>
          <w:szCs w:val="22"/>
        </w:rPr>
        <w:t xml:space="preserve">On 2 October 2019, the Victorian Equal Opportunity and Human Rights Commission (the Commission) made a submission </w:t>
      </w:r>
      <w:r w:rsidR="001F297E" w:rsidRPr="006604A1">
        <w:rPr>
          <w:rFonts w:cs="Arial"/>
          <w:szCs w:val="22"/>
        </w:rPr>
        <w:t>(first submission</w:t>
      </w:r>
      <w:r w:rsidR="001F297E">
        <w:rPr>
          <w:rFonts w:cs="Arial"/>
          <w:szCs w:val="22"/>
        </w:rPr>
        <w:t xml:space="preserve">) </w:t>
      </w:r>
      <w:r w:rsidRPr="006604A1">
        <w:rPr>
          <w:rFonts w:cs="Arial"/>
          <w:szCs w:val="22"/>
        </w:rPr>
        <w:t>responding to the first exposure draft of the Religious Discrimination Bill 2019 (Cth)</w:t>
      </w:r>
      <w:r>
        <w:rPr>
          <w:rFonts w:cs="Arial"/>
          <w:szCs w:val="22"/>
        </w:rPr>
        <w:t xml:space="preserve"> (the Bill)</w:t>
      </w:r>
      <w:r w:rsidR="001F297E">
        <w:rPr>
          <w:rFonts w:cs="Arial"/>
          <w:szCs w:val="22"/>
        </w:rPr>
        <w:t>.</w:t>
      </w:r>
    </w:p>
    <w:p w14:paraId="689096BB" w14:textId="77777777" w:rsidR="005C10CD" w:rsidRDefault="006C4FDB" w:rsidP="006C4FDB">
      <w:pPr>
        <w:pStyle w:val="VEOHRCBodytext"/>
        <w:keepNext w:val="0"/>
        <w:rPr>
          <w:rFonts w:cs="Arial"/>
          <w:szCs w:val="22"/>
        </w:rPr>
      </w:pPr>
      <w:r w:rsidRPr="006604A1">
        <w:rPr>
          <w:rFonts w:cs="Arial"/>
          <w:szCs w:val="22"/>
        </w:rPr>
        <w:t xml:space="preserve">In </w:t>
      </w:r>
      <w:r>
        <w:rPr>
          <w:rFonts w:cs="Arial"/>
          <w:szCs w:val="22"/>
        </w:rPr>
        <w:t>the</w:t>
      </w:r>
      <w:r w:rsidRPr="006604A1">
        <w:rPr>
          <w:rFonts w:cs="Arial"/>
          <w:szCs w:val="22"/>
        </w:rPr>
        <w:t xml:space="preserve"> first submission, the Commission</w:t>
      </w:r>
      <w:r w:rsidR="00EB3FA8">
        <w:rPr>
          <w:rFonts w:cs="Arial"/>
          <w:szCs w:val="22"/>
        </w:rPr>
        <w:t xml:space="preserve"> note</w:t>
      </w:r>
      <w:r w:rsidR="00A86AA6">
        <w:rPr>
          <w:rFonts w:cs="Arial"/>
          <w:szCs w:val="22"/>
        </w:rPr>
        <w:t>d</w:t>
      </w:r>
      <w:r w:rsidR="00EB3FA8">
        <w:rPr>
          <w:rFonts w:cs="Arial"/>
          <w:szCs w:val="22"/>
        </w:rPr>
        <w:t xml:space="preserve"> its</w:t>
      </w:r>
      <w:r w:rsidRPr="006604A1">
        <w:rPr>
          <w:rFonts w:cs="Arial"/>
          <w:szCs w:val="22"/>
        </w:rPr>
        <w:t xml:space="preserve"> support</w:t>
      </w:r>
      <w:r w:rsidR="00EB3FA8">
        <w:rPr>
          <w:rFonts w:cs="Arial"/>
          <w:szCs w:val="22"/>
        </w:rPr>
        <w:t xml:space="preserve"> for</w:t>
      </w:r>
      <w:r w:rsidRPr="006604A1">
        <w:rPr>
          <w:rFonts w:cs="Arial"/>
          <w:szCs w:val="22"/>
        </w:rPr>
        <w:t xml:space="preserve"> the conventional religious anti-discrimination protections in the </w:t>
      </w:r>
      <w:r>
        <w:rPr>
          <w:rFonts w:cs="Arial"/>
          <w:szCs w:val="22"/>
        </w:rPr>
        <w:t>Bill,</w:t>
      </w:r>
      <w:r w:rsidRPr="006604A1">
        <w:rPr>
          <w:rFonts w:cs="Arial"/>
          <w:szCs w:val="22"/>
        </w:rPr>
        <w:t xml:space="preserve"> such as the prohibition on direct and indirect discrimination on the ground of religious belief or activity. However, the Commission </w:t>
      </w:r>
      <w:r>
        <w:rPr>
          <w:rFonts w:cs="Arial"/>
          <w:szCs w:val="22"/>
        </w:rPr>
        <w:t>also noted that h</w:t>
      </w:r>
      <w:r w:rsidRPr="00E8175C">
        <w:rPr>
          <w:rFonts w:cs="Arial"/>
          <w:szCs w:val="22"/>
        </w:rPr>
        <w:t>uman rights may be limited in some circumstances including when they need to be balanced to protect and promote other rights, including to protect other groups from discrimination.</w:t>
      </w:r>
      <w:r w:rsidRPr="00E8175C">
        <w:rPr>
          <w:rStyle w:val="EndnoteReference"/>
          <w:rFonts w:cs="Arial"/>
          <w:szCs w:val="22"/>
        </w:rPr>
        <w:endnoteReference w:id="1"/>
      </w:r>
      <w:r>
        <w:rPr>
          <w:rFonts w:cs="Arial"/>
          <w:szCs w:val="22"/>
        </w:rPr>
        <w:t xml:space="preserve"> </w:t>
      </w:r>
    </w:p>
    <w:p w14:paraId="132F7829" w14:textId="71085ACE" w:rsidR="006C4FDB" w:rsidRDefault="006C4FDB" w:rsidP="006C4FDB">
      <w:pPr>
        <w:pStyle w:val="VEOHRCBodytext"/>
        <w:keepNext w:val="0"/>
        <w:rPr>
          <w:rFonts w:cs="Arial"/>
          <w:szCs w:val="22"/>
        </w:rPr>
      </w:pPr>
      <w:r>
        <w:rPr>
          <w:rFonts w:cs="Arial"/>
          <w:szCs w:val="22"/>
        </w:rPr>
        <w:t>The Commission</w:t>
      </w:r>
      <w:r w:rsidRPr="00E8175C">
        <w:rPr>
          <w:rFonts w:cs="Arial"/>
          <w:szCs w:val="22"/>
        </w:rPr>
        <w:t xml:space="preserve"> </w:t>
      </w:r>
      <w:r w:rsidRPr="006604A1">
        <w:rPr>
          <w:rFonts w:cs="Arial"/>
          <w:szCs w:val="22"/>
        </w:rPr>
        <w:t>submitted that the first exposure draft, which introduced unorthodox and novel provisions that privilege religious belief or activity</w:t>
      </w:r>
      <w:r>
        <w:rPr>
          <w:rFonts w:cs="Arial"/>
          <w:szCs w:val="22"/>
        </w:rPr>
        <w:t xml:space="preserve"> over other human rights,</w:t>
      </w:r>
      <w:r w:rsidRPr="006604A1">
        <w:rPr>
          <w:rFonts w:cs="Arial"/>
          <w:szCs w:val="22"/>
        </w:rPr>
        <w:t xml:space="preserve"> did not strike the right balance between protecting religious belief </w:t>
      </w:r>
      <w:r>
        <w:rPr>
          <w:rFonts w:cs="Arial"/>
          <w:szCs w:val="22"/>
        </w:rPr>
        <w:t xml:space="preserve">or activity </w:t>
      </w:r>
      <w:r w:rsidRPr="006604A1">
        <w:rPr>
          <w:rFonts w:cs="Arial"/>
          <w:szCs w:val="22"/>
        </w:rPr>
        <w:t xml:space="preserve">and other </w:t>
      </w:r>
      <w:r>
        <w:rPr>
          <w:rFonts w:cs="Arial"/>
          <w:szCs w:val="22"/>
        </w:rPr>
        <w:t xml:space="preserve">human </w:t>
      </w:r>
      <w:r w:rsidRPr="006604A1">
        <w:rPr>
          <w:rFonts w:cs="Arial"/>
          <w:szCs w:val="22"/>
        </w:rPr>
        <w:t>rights</w:t>
      </w:r>
      <w:r>
        <w:rPr>
          <w:rFonts w:cs="Arial"/>
          <w:szCs w:val="22"/>
        </w:rPr>
        <w:t xml:space="preserve">, such as </w:t>
      </w:r>
      <w:r w:rsidRPr="006604A1">
        <w:rPr>
          <w:rFonts w:cs="Arial"/>
          <w:szCs w:val="22"/>
        </w:rPr>
        <w:t xml:space="preserve">the right to be free from discrimination. </w:t>
      </w:r>
      <w:r>
        <w:rPr>
          <w:rFonts w:cs="Arial"/>
          <w:szCs w:val="22"/>
        </w:rPr>
        <w:t xml:space="preserve">We </w:t>
      </w:r>
      <w:r w:rsidRPr="00135362">
        <w:rPr>
          <w:rFonts w:cs="Arial"/>
          <w:b/>
          <w:szCs w:val="22"/>
        </w:rPr>
        <w:t>attach</w:t>
      </w:r>
      <w:r>
        <w:rPr>
          <w:rFonts w:cs="Arial"/>
          <w:szCs w:val="22"/>
        </w:rPr>
        <w:t xml:space="preserve"> the first submission for your reference.</w:t>
      </w:r>
      <w:r w:rsidRPr="006604A1">
        <w:rPr>
          <w:rStyle w:val="EndnoteReference"/>
          <w:rFonts w:cs="Arial"/>
          <w:szCs w:val="22"/>
        </w:rPr>
        <w:endnoteReference w:id="2"/>
      </w:r>
      <w:r>
        <w:rPr>
          <w:rFonts w:cs="Arial"/>
          <w:szCs w:val="22"/>
        </w:rPr>
        <w:t xml:space="preserve"> </w:t>
      </w:r>
    </w:p>
    <w:p w14:paraId="471C743D" w14:textId="4370B263" w:rsidR="001E2D91" w:rsidRDefault="006C4FDB" w:rsidP="006C4FDB">
      <w:pPr>
        <w:pStyle w:val="VEOHRCBodytext"/>
        <w:keepNext w:val="0"/>
        <w:rPr>
          <w:rFonts w:cs="Arial"/>
          <w:szCs w:val="22"/>
        </w:rPr>
      </w:pPr>
      <w:r w:rsidRPr="006604A1">
        <w:rPr>
          <w:rFonts w:cs="Arial"/>
          <w:szCs w:val="22"/>
        </w:rPr>
        <w:t>On 10 Dec</w:t>
      </w:r>
      <w:r w:rsidR="00EB3FA8">
        <w:rPr>
          <w:rFonts w:cs="Arial"/>
          <w:szCs w:val="22"/>
        </w:rPr>
        <w:t>ember</w:t>
      </w:r>
      <w:r w:rsidRPr="006604A1">
        <w:rPr>
          <w:rFonts w:cs="Arial"/>
          <w:szCs w:val="22"/>
        </w:rPr>
        <w:t xml:space="preserve"> 2019, the Attorney-General released the second exposure draft</w:t>
      </w:r>
      <w:r>
        <w:rPr>
          <w:rFonts w:cs="Arial"/>
          <w:szCs w:val="22"/>
        </w:rPr>
        <w:t xml:space="preserve"> of the Bill</w:t>
      </w:r>
      <w:r w:rsidRPr="006604A1">
        <w:rPr>
          <w:rFonts w:cs="Arial"/>
          <w:szCs w:val="22"/>
        </w:rPr>
        <w:t xml:space="preserve">, which made several </w:t>
      </w:r>
      <w:r w:rsidR="00AF04A2">
        <w:rPr>
          <w:rFonts w:cs="Arial"/>
          <w:szCs w:val="22"/>
        </w:rPr>
        <w:t>amendments</w:t>
      </w:r>
      <w:r w:rsidRPr="006604A1">
        <w:rPr>
          <w:rFonts w:cs="Arial"/>
          <w:szCs w:val="22"/>
        </w:rPr>
        <w:t xml:space="preserve"> to the first exposure draft. </w:t>
      </w:r>
      <w:r w:rsidRPr="00170697">
        <w:rPr>
          <w:rFonts w:cs="Arial"/>
          <w:szCs w:val="22"/>
        </w:rPr>
        <w:t xml:space="preserve">The Commission is concerned that the issues raised in </w:t>
      </w:r>
      <w:r w:rsidR="007D0D12">
        <w:rPr>
          <w:rFonts w:cs="Arial"/>
          <w:szCs w:val="22"/>
        </w:rPr>
        <w:t>our</w:t>
      </w:r>
      <w:r>
        <w:rPr>
          <w:rFonts w:cs="Arial"/>
          <w:szCs w:val="22"/>
        </w:rPr>
        <w:t xml:space="preserve"> first</w:t>
      </w:r>
      <w:r w:rsidRPr="00170697">
        <w:rPr>
          <w:rFonts w:cs="Arial"/>
          <w:szCs w:val="22"/>
        </w:rPr>
        <w:t xml:space="preserve"> submission </w:t>
      </w:r>
      <w:r w:rsidR="007D0D12">
        <w:rPr>
          <w:rFonts w:cs="Arial"/>
          <w:szCs w:val="22"/>
        </w:rPr>
        <w:t xml:space="preserve">have not been </w:t>
      </w:r>
      <w:r>
        <w:rPr>
          <w:rFonts w:cs="Arial"/>
          <w:szCs w:val="22"/>
        </w:rPr>
        <w:t xml:space="preserve">adequately </w:t>
      </w:r>
      <w:r w:rsidRPr="00170697">
        <w:rPr>
          <w:rFonts w:cs="Arial"/>
          <w:szCs w:val="22"/>
        </w:rPr>
        <w:t>addressed.</w:t>
      </w:r>
      <w:r>
        <w:rPr>
          <w:rFonts w:cs="Arial"/>
          <w:szCs w:val="22"/>
        </w:rPr>
        <w:t xml:space="preserve"> Accordingly, t</w:t>
      </w:r>
      <w:r w:rsidRPr="006604A1">
        <w:rPr>
          <w:rFonts w:cs="Arial"/>
          <w:szCs w:val="22"/>
        </w:rPr>
        <w:t xml:space="preserve">his submission </w:t>
      </w:r>
      <w:r w:rsidR="007D0D12">
        <w:rPr>
          <w:rFonts w:cs="Arial"/>
          <w:szCs w:val="22"/>
        </w:rPr>
        <w:t>outlines</w:t>
      </w:r>
      <w:r w:rsidRPr="006604A1">
        <w:rPr>
          <w:rFonts w:cs="Arial"/>
          <w:szCs w:val="22"/>
        </w:rPr>
        <w:t xml:space="preserve"> how the </w:t>
      </w:r>
      <w:r>
        <w:rPr>
          <w:rFonts w:cs="Arial"/>
          <w:szCs w:val="22"/>
        </w:rPr>
        <w:t>second exposure draft</w:t>
      </w:r>
      <w:r w:rsidRPr="006604A1">
        <w:rPr>
          <w:rFonts w:cs="Arial"/>
          <w:szCs w:val="22"/>
        </w:rPr>
        <w:t xml:space="preserve"> </w:t>
      </w:r>
      <w:r>
        <w:rPr>
          <w:rFonts w:cs="Arial"/>
          <w:szCs w:val="22"/>
        </w:rPr>
        <w:t xml:space="preserve">fails to adequately </w:t>
      </w:r>
      <w:r w:rsidRPr="006604A1">
        <w:rPr>
          <w:rFonts w:cs="Arial"/>
          <w:szCs w:val="22"/>
        </w:rPr>
        <w:t xml:space="preserve">address key </w:t>
      </w:r>
      <w:r w:rsidR="005C10CD">
        <w:rPr>
          <w:rFonts w:cs="Arial"/>
          <w:szCs w:val="22"/>
        </w:rPr>
        <w:t>issues</w:t>
      </w:r>
      <w:r w:rsidRPr="006604A1">
        <w:rPr>
          <w:rFonts w:cs="Arial"/>
          <w:szCs w:val="22"/>
        </w:rPr>
        <w:t xml:space="preserve"> raised in</w:t>
      </w:r>
      <w:r w:rsidR="007D0D12">
        <w:rPr>
          <w:rFonts w:cs="Arial"/>
          <w:szCs w:val="22"/>
        </w:rPr>
        <w:t xml:space="preserve"> our</w:t>
      </w:r>
      <w:r w:rsidRPr="006604A1">
        <w:rPr>
          <w:rFonts w:cs="Arial"/>
          <w:szCs w:val="22"/>
        </w:rPr>
        <w:t xml:space="preserve"> first submission</w:t>
      </w:r>
      <w:r>
        <w:rPr>
          <w:rFonts w:cs="Arial"/>
          <w:szCs w:val="22"/>
        </w:rPr>
        <w:t>,</w:t>
      </w:r>
      <w:r w:rsidR="005C10CD">
        <w:rPr>
          <w:rFonts w:cs="Arial"/>
          <w:szCs w:val="22"/>
        </w:rPr>
        <w:t xml:space="preserve"> and also outlines new concerns arising </w:t>
      </w:r>
      <w:r w:rsidR="008C76F4">
        <w:rPr>
          <w:rFonts w:cs="Arial"/>
          <w:szCs w:val="22"/>
        </w:rPr>
        <w:t>from the</w:t>
      </w:r>
      <w:r w:rsidR="005C10CD">
        <w:rPr>
          <w:rFonts w:cs="Arial"/>
          <w:szCs w:val="22"/>
        </w:rPr>
        <w:t xml:space="preserve"> second exposure draft.</w:t>
      </w:r>
      <w:r w:rsidRPr="006604A1">
        <w:rPr>
          <w:rFonts w:cs="Arial"/>
          <w:szCs w:val="22"/>
        </w:rPr>
        <w:t xml:space="preserve"> </w:t>
      </w:r>
    </w:p>
    <w:p w14:paraId="624321C9" w14:textId="61D7642A" w:rsidR="00D5530D" w:rsidRPr="00493A0B" w:rsidRDefault="00D5530D" w:rsidP="00D5530D">
      <w:pPr>
        <w:pStyle w:val="VEOHRCBodytext"/>
        <w:keepNext w:val="0"/>
        <w:rPr>
          <w:rFonts w:cs="Arial"/>
          <w:szCs w:val="22"/>
        </w:rPr>
      </w:pPr>
      <w:r w:rsidRPr="00493A0B">
        <w:rPr>
          <w:rFonts w:cs="Arial"/>
          <w:szCs w:val="22"/>
        </w:rPr>
        <w:t xml:space="preserve">In </w:t>
      </w:r>
      <w:r w:rsidR="005C10CD" w:rsidRPr="00D86574">
        <w:rPr>
          <w:rFonts w:cs="Arial"/>
          <w:szCs w:val="22"/>
        </w:rPr>
        <w:t>particular</w:t>
      </w:r>
      <w:r w:rsidRPr="00493A0B">
        <w:rPr>
          <w:rFonts w:cs="Arial"/>
          <w:szCs w:val="22"/>
        </w:rPr>
        <w:t>, the Commission is concerned that the Bill:</w:t>
      </w:r>
    </w:p>
    <w:p w14:paraId="4473F928" w14:textId="023466E1" w:rsidR="00D5530D" w:rsidRPr="00096C4E" w:rsidRDefault="00306742" w:rsidP="00D5530D">
      <w:pPr>
        <w:pStyle w:val="VEOHRCBodytext"/>
        <w:keepNext w:val="0"/>
        <w:numPr>
          <w:ilvl w:val="0"/>
          <w:numId w:val="45"/>
        </w:numPr>
        <w:spacing w:before="0" w:after="0"/>
        <w:contextualSpacing/>
        <w:rPr>
          <w:rFonts w:eastAsia="Times New Roman" w:cs="Arial"/>
          <w:szCs w:val="22"/>
        </w:rPr>
      </w:pPr>
      <w:r>
        <w:rPr>
          <w:rFonts w:cs="Arial"/>
          <w:szCs w:val="22"/>
        </w:rPr>
        <w:t>continues to</w:t>
      </w:r>
      <w:r w:rsidR="00D5530D" w:rsidRPr="00096C4E">
        <w:rPr>
          <w:rFonts w:cs="Arial"/>
          <w:szCs w:val="22"/>
        </w:rPr>
        <w:t xml:space="preserve"> privilege</w:t>
      </w:r>
      <w:r>
        <w:rPr>
          <w:rFonts w:cs="Arial"/>
          <w:szCs w:val="22"/>
        </w:rPr>
        <w:t xml:space="preserve"> </w:t>
      </w:r>
      <w:r w:rsidR="00D5530D" w:rsidRPr="00096C4E">
        <w:rPr>
          <w:rFonts w:cs="Arial"/>
          <w:szCs w:val="22"/>
        </w:rPr>
        <w:t>religious expression over other rights in a way that unfairly authorises discrimination against other vulnerable groups</w:t>
      </w:r>
    </w:p>
    <w:p w14:paraId="302A44E8" w14:textId="77777777" w:rsidR="00D5530D" w:rsidRPr="00096C4E" w:rsidRDefault="00D5530D" w:rsidP="00D5530D">
      <w:pPr>
        <w:pStyle w:val="VEOHRCBodytext"/>
        <w:keepNext w:val="0"/>
        <w:spacing w:before="0" w:after="0"/>
        <w:ind w:left="720"/>
        <w:contextualSpacing/>
        <w:rPr>
          <w:rFonts w:eastAsia="Times New Roman" w:cs="Arial"/>
          <w:szCs w:val="22"/>
        </w:rPr>
      </w:pPr>
    </w:p>
    <w:p w14:paraId="60A235CC" w14:textId="77777777" w:rsidR="00D5530D" w:rsidRDefault="00D5530D" w:rsidP="00D5530D">
      <w:pPr>
        <w:pStyle w:val="VEOHRCBodytext"/>
        <w:keepNext w:val="0"/>
        <w:numPr>
          <w:ilvl w:val="0"/>
          <w:numId w:val="45"/>
        </w:numPr>
        <w:spacing w:before="0" w:after="0"/>
        <w:contextualSpacing/>
        <w:rPr>
          <w:rFonts w:cs="Arial"/>
          <w:szCs w:val="22"/>
        </w:rPr>
      </w:pPr>
      <w:r w:rsidRPr="00096C4E">
        <w:rPr>
          <w:rFonts w:cs="Arial"/>
          <w:szCs w:val="22"/>
        </w:rPr>
        <w:t>overrides state and territory discrimination law and consequently erodes some existing protections from discrimination for Victorians</w:t>
      </w:r>
    </w:p>
    <w:p w14:paraId="49F6B1D2" w14:textId="77777777" w:rsidR="00D5530D" w:rsidRPr="00096C4E" w:rsidRDefault="00D5530D" w:rsidP="00D5530D">
      <w:pPr>
        <w:pStyle w:val="VEOHRCBodytext"/>
        <w:keepNext w:val="0"/>
        <w:spacing w:before="0" w:after="0"/>
        <w:contextualSpacing/>
        <w:rPr>
          <w:rFonts w:cs="Arial"/>
          <w:szCs w:val="22"/>
        </w:rPr>
      </w:pPr>
    </w:p>
    <w:p w14:paraId="18108F8C" w14:textId="77777777" w:rsidR="00D5530D" w:rsidRDefault="00D5530D" w:rsidP="00D5530D">
      <w:pPr>
        <w:pStyle w:val="VEOHRCBodytext"/>
        <w:keepNext w:val="0"/>
        <w:numPr>
          <w:ilvl w:val="0"/>
          <w:numId w:val="45"/>
        </w:numPr>
        <w:spacing w:before="0" w:after="0"/>
        <w:contextualSpacing/>
        <w:rPr>
          <w:rFonts w:cs="Arial"/>
          <w:szCs w:val="22"/>
        </w:rPr>
      </w:pPr>
      <w:r w:rsidRPr="00096C4E">
        <w:rPr>
          <w:rFonts w:cs="Arial"/>
          <w:szCs w:val="22"/>
        </w:rPr>
        <w:t xml:space="preserve">expands the circumstances in which religious bodies may discriminate in employment and service delivery </w:t>
      </w:r>
      <w:r>
        <w:rPr>
          <w:rFonts w:cs="Arial"/>
          <w:szCs w:val="22"/>
        </w:rPr>
        <w:t xml:space="preserve">against people of different or no beliefs </w:t>
      </w:r>
      <w:r w:rsidRPr="00096C4E">
        <w:rPr>
          <w:rFonts w:cs="Arial"/>
          <w:szCs w:val="22"/>
        </w:rPr>
        <w:t>by including exceptions for hospitals, aged care facilities, certain accommodation providers, religious camps and conference sites</w:t>
      </w:r>
    </w:p>
    <w:p w14:paraId="4E5FA18F" w14:textId="77777777" w:rsidR="00D5530D" w:rsidRPr="00096C4E" w:rsidRDefault="00D5530D" w:rsidP="00D5530D">
      <w:pPr>
        <w:pStyle w:val="VEOHRCBodytext"/>
        <w:keepNext w:val="0"/>
        <w:spacing w:before="0" w:after="0"/>
        <w:contextualSpacing/>
        <w:rPr>
          <w:rFonts w:cs="Arial"/>
          <w:szCs w:val="22"/>
        </w:rPr>
      </w:pPr>
    </w:p>
    <w:p w14:paraId="08CE61AF" w14:textId="1F2A895C" w:rsidR="005C10CD" w:rsidRDefault="00D5530D" w:rsidP="005C10CD">
      <w:pPr>
        <w:pStyle w:val="VEOHRCBodytext"/>
        <w:keepNext w:val="0"/>
        <w:numPr>
          <w:ilvl w:val="0"/>
          <w:numId w:val="45"/>
        </w:numPr>
        <w:spacing w:before="0" w:after="0"/>
        <w:contextualSpacing/>
        <w:rPr>
          <w:rFonts w:cs="Arial"/>
          <w:szCs w:val="22"/>
        </w:rPr>
      </w:pPr>
      <w:r w:rsidRPr="00096C4E">
        <w:rPr>
          <w:rFonts w:cs="Arial"/>
          <w:szCs w:val="22"/>
        </w:rPr>
        <w:t>still authorises conscientious objections across a</w:t>
      </w:r>
      <w:r>
        <w:rPr>
          <w:rFonts w:cs="Arial"/>
          <w:szCs w:val="22"/>
        </w:rPr>
        <w:t xml:space="preserve"> broad </w:t>
      </w:r>
      <w:r w:rsidRPr="00096C4E">
        <w:rPr>
          <w:rFonts w:cs="Arial"/>
          <w:szCs w:val="22"/>
        </w:rPr>
        <w:t>range of health services and does not make provision for health providers to provide information, disclose the objection or make effective referrals to other services, potentially putting people’s health at risk</w:t>
      </w:r>
    </w:p>
    <w:p w14:paraId="395A3370" w14:textId="77777777" w:rsidR="005C10CD" w:rsidRDefault="005C10CD" w:rsidP="00D86574">
      <w:pPr>
        <w:pStyle w:val="VEOHRCBodytext"/>
        <w:keepNext w:val="0"/>
        <w:spacing w:before="0" w:after="0"/>
        <w:contextualSpacing/>
        <w:rPr>
          <w:rFonts w:cs="Arial"/>
          <w:szCs w:val="22"/>
        </w:rPr>
      </w:pPr>
    </w:p>
    <w:p w14:paraId="134FA20C" w14:textId="3DE449B1" w:rsidR="005C10CD" w:rsidRDefault="00D5530D" w:rsidP="00493A0B">
      <w:pPr>
        <w:pStyle w:val="VEOHRCBodytext"/>
        <w:keepNext w:val="0"/>
        <w:numPr>
          <w:ilvl w:val="0"/>
          <w:numId w:val="45"/>
        </w:numPr>
        <w:spacing w:before="0" w:after="0"/>
        <w:contextualSpacing/>
        <w:rPr>
          <w:rFonts w:cs="Arial"/>
          <w:szCs w:val="22"/>
        </w:rPr>
      </w:pPr>
      <w:r w:rsidRPr="00096C4E">
        <w:rPr>
          <w:rFonts w:cs="Arial"/>
          <w:szCs w:val="22"/>
        </w:rPr>
        <w:t>still restricts the ability for employers to create safe and inclusive workplaces, by preventing them from imposing employer conduct rules on employees’ religious expression outside of work hours</w:t>
      </w:r>
      <w:r>
        <w:rPr>
          <w:rFonts w:cs="Arial"/>
          <w:szCs w:val="22"/>
        </w:rPr>
        <w:t>.</w:t>
      </w:r>
    </w:p>
    <w:p w14:paraId="0729B250" w14:textId="77777777" w:rsidR="00FF0057" w:rsidRDefault="00FF0057" w:rsidP="00D86574">
      <w:pPr>
        <w:pStyle w:val="VEOHRCBodytext"/>
        <w:keepNext w:val="0"/>
        <w:spacing w:before="0" w:after="0"/>
        <w:ind w:left="720"/>
        <w:contextualSpacing/>
        <w:rPr>
          <w:rFonts w:cs="Arial"/>
          <w:szCs w:val="22"/>
        </w:rPr>
      </w:pPr>
    </w:p>
    <w:p w14:paraId="3E7EA65D" w14:textId="102631D3" w:rsidR="00306742" w:rsidRDefault="00306742" w:rsidP="00FF0057">
      <w:pPr>
        <w:pStyle w:val="VEOHRCBodytext"/>
        <w:keepNext w:val="0"/>
        <w:contextualSpacing/>
        <w:rPr>
          <w:rFonts w:cs="Arial"/>
          <w:szCs w:val="22"/>
        </w:rPr>
      </w:pPr>
      <w:r>
        <w:rPr>
          <w:rFonts w:cs="Arial"/>
          <w:szCs w:val="22"/>
        </w:rPr>
        <w:lastRenderedPageBreak/>
        <w:t>The submission sets out the possible impact of these clauses and contains a number of recommendations which better strike the balance between religious freedoms and the right to be free from discrimination.</w:t>
      </w:r>
    </w:p>
    <w:p w14:paraId="12402FA2" w14:textId="77777777" w:rsidR="00306742" w:rsidRDefault="00306742" w:rsidP="00FF0057">
      <w:pPr>
        <w:pStyle w:val="VEOHRCBodytext"/>
        <w:keepNext w:val="0"/>
        <w:contextualSpacing/>
        <w:rPr>
          <w:rFonts w:cs="Arial"/>
          <w:szCs w:val="22"/>
        </w:rPr>
      </w:pPr>
    </w:p>
    <w:p w14:paraId="54A46A5F" w14:textId="184587FD" w:rsidR="00FF0057" w:rsidRPr="00170697" w:rsidRDefault="006C4FDB" w:rsidP="00FF0057">
      <w:pPr>
        <w:pStyle w:val="VEOHRCBodytext"/>
        <w:keepNext w:val="0"/>
        <w:contextualSpacing/>
        <w:rPr>
          <w:rFonts w:cs="Arial"/>
          <w:szCs w:val="22"/>
        </w:rPr>
      </w:pPr>
      <w:r w:rsidRPr="00170697">
        <w:rPr>
          <w:rFonts w:cs="Arial"/>
          <w:szCs w:val="22"/>
        </w:rPr>
        <w:t>Please contact Tal Shmerling, Acting Legal Manager, on (03) 9032 3421, if you require further information.</w:t>
      </w:r>
      <w:r>
        <w:rPr>
          <w:rFonts w:cs="Arial"/>
          <w:szCs w:val="22"/>
        </w:rPr>
        <w:t xml:space="preserve"> </w:t>
      </w:r>
      <w:r w:rsidRPr="00170697">
        <w:rPr>
          <w:rFonts w:cs="Arial"/>
          <w:szCs w:val="22"/>
        </w:rPr>
        <w:t xml:space="preserve">The Commission consents to this submission being published as a public document. </w:t>
      </w:r>
    </w:p>
    <w:p w14:paraId="0D9E6728" w14:textId="77777777" w:rsidR="00FF0057" w:rsidRDefault="00FF0057" w:rsidP="00FF0057">
      <w:pPr>
        <w:pStyle w:val="VEOHRCBodytext"/>
        <w:keepNext w:val="0"/>
        <w:contextualSpacing/>
        <w:rPr>
          <w:rFonts w:cs="Arial"/>
          <w:szCs w:val="22"/>
        </w:rPr>
      </w:pPr>
    </w:p>
    <w:p w14:paraId="581AF672" w14:textId="31C5D58E" w:rsidR="006C4FDB" w:rsidRDefault="006C4FDB" w:rsidP="00FF0057">
      <w:pPr>
        <w:pStyle w:val="VEOHRCBodytext"/>
        <w:keepNext w:val="0"/>
        <w:contextualSpacing/>
        <w:rPr>
          <w:rFonts w:cs="Arial"/>
          <w:szCs w:val="22"/>
        </w:rPr>
      </w:pPr>
      <w:r w:rsidRPr="00170697">
        <w:rPr>
          <w:rFonts w:cs="Arial"/>
          <w:szCs w:val="22"/>
        </w:rPr>
        <w:t>Yours sincerely</w:t>
      </w:r>
    </w:p>
    <w:p w14:paraId="7A65E317" w14:textId="2A1F40B2" w:rsidR="00FF0057" w:rsidRDefault="00B2537A" w:rsidP="006C4FDB">
      <w:pPr>
        <w:pStyle w:val="VEOHRCBodytext"/>
        <w:keepNext w:val="0"/>
        <w:rPr>
          <w:rFonts w:cs="Arial"/>
          <w:szCs w:val="22"/>
        </w:rPr>
      </w:pPr>
      <w:r>
        <w:rPr>
          <w:noProof/>
        </w:rPr>
        <w:drawing>
          <wp:inline distT="0" distB="0" distL="0" distR="0" wp14:anchorId="79F65C0F" wp14:editId="0B507EDB">
            <wp:extent cx="27432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838200"/>
                    </a:xfrm>
                    <a:prstGeom prst="rect">
                      <a:avLst/>
                    </a:prstGeom>
                    <a:noFill/>
                    <a:ln>
                      <a:noFill/>
                    </a:ln>
                  </pic:spPr>
                </pic:pic>
              </a:graphicData>
            </a:graphic>
          </wp:inline>
        </w:drawing>
      </w:r>
    </w:p>
    <w:p w14:paraId="2B6FADE6" w14:textId="77777777" w:rsidR="006C4FDB" w:rsidRDefault="006C4FDB" w:rsidP="006C4FDB">
      <w:pPr>
        <w:pStyle w:val="VEOHRCBodytext"/>
        <w:keepNext w:val="0"/>
        <w:rPr>
          <w:rFonts w:cs="Arial"/>
          <w:szCs w:val="22"/>
        </w:rPr>
      </w:pPr>
      <w:r w:rsidRPr="00170697">
        <w:rPr>
          <w:rFonts w:cs="Arial"/>
          <w:szCs w:val="22"/>
        </w:rPr>
        <w:t>Kristen Hilton</w:t>
      </w:r>
      <w:r w:rsidRPr="00170697">
        <w:rPr>
          <w:rFonts w:cs="Arial"/>
          <w:szCs w:val="22"/>
        </w:rPr>
        <w:br/>
        <w:t>Victorian Equal Opportunity and Human Rights Commissioner</w:t>
      </w:r>
      <w:bookmarkStart w:id="1" w:name="_Hlk19875504"/>
    </w:p>
    <w:p w14:paraId="1FC32CFF" w14:textId="77777777" w:rsidR="001E2D91" w:rsidRDefault="001E2D91" w:rsidP="006C4FDB">
      <w:pPr>
        <w:pStyle w:val="VEOHRCBodytext"/>
        <w:keepNext w:val="0"/>
        <w:rPr>
          <w:rFonts w:cs="Arial"/>
          <w:szCs w:val="22"/>
        </w:rPr>
      </w:pPr>
    </w:p>
    <w:p w14:paraId="051FA974" w14:textId="766F1D47" w:rsidR="001E2D91" w:rsidRPr="00170697" w:rsidRDefault="001E2D91" w:rsidP="006C4FDB">
      <w:pPr>
        <w:pStyle w:val="VEOHRCBodytext"/>
        <w:keepNext w:val="0"/>
        <w:rPr>
          <w:rFonts w:cs="Arial"/>
          <w:sz w:val="21"/>
          <w:szCs w:val="21"/>
        </w:rPr>
        <w:sectPr w:rsidR="001E2D91" w:rsidRPr="00170697" w:rsidSect="002B231B">
          <w:footerReference w:type="default" r:id="rId10"/>
          <w:headerReference w:type="first" r:id="rId11"/>
          <w:footerReference w:type="first" r:id="rId12"/>
          <w:endnotePr>
            <w:numFmt w:val="decimal"/>
          </w:endnotePr>
          <w:pgSz w:w="11906" w:h="16838" w:code="9"/>
          <w:pgMar w:top="1134" w:right="1134" w:bottom="567" w:left="1134" w:header="709" w:footer="272" w:gutter="0"/>
          <w:cols w:space="708"/>
          <w:titlePg/>
          <w:docGrid w:linePitch="360"/>
        </w:sectPr>
      </w:pPr>
    </w:p>
    <w:p w14:paraId="16EA19FF" w14:textId="71A8BDE7" w:rsidR="00257FC7" w:rsidRPr="00006063" w:rsidRDefault="0004351D" w:rsidP="00006063">
      <w:pPr>
        <w:pStyle w:val="Heading1"/>
      </w:pPr>
      <w:bookmarkStart w:id="2" w:name="_Hlk30773322"/>
      <w:r>
        <w:rPr>
          <w:b/>
        </w:rPr>
        <w:lastRenderedPageBreak/>
        <w:t>Key Concern</w:t>
      </w:r>
      <w:r w:rsidR="005C7460">
        <w:rPr>
          <w:b/>
        </w:rPr>
        <w:t xml:space="preserve"> 1</w:t>
      </w:r>
      <w:bookmarkEnd w:id="2"/>
      <w:r w:rsidR="002865A4">
        <w:br/>
      </w:r>
      <w:r w:rsidR="00257FC7" w:rsidRPr="00006063">
        <w:t xml:space="preserve">Statements of belief provisions still privilege religious expression over discrimination protections </w:t>
      </w:r>
    </w:p>
    <w:p w14:paraId="0EE0D83F" w14:textId="7216B005" w:rsidR="000F1BE3" w:rsidRPr="00663E28" w:rsidRDefault="00AF04A2" w:rsidP="00006063">
      <w:pPr>
        <w:pStyle w:val="VEOHRCBodytext"/>
      </w:pPr>
      <w:r w:rsidRPr="00D86574">
        <w:t xml:space="preserve">The Commission remains concerned that overall, clause 42 </w:t>
      </w:r>
      <w:r>
        <w:t xml:space="preserve">still </w:t>
      </w:r>
      <w:r w:rsidRPr="00D86574">
        <w:t xml:space="preserve">fails to appropriately balance the right to religious expression with the right to be free from discrimination. </w:t>
      </w:r>
      <w:r w:rsidR="000F1BE3" w:rsidRPr="00663E28">
        <w:t xml:space="preserve">The Bill </w:t>
      </w:r>
      <w:r w:rsidR="00306742">
        <w:t>continues to</w:t>
      </w:r>
      <w:r w:rsidR="00291288" w:rsidRPr="00663E28">
        <w:t xml:space="preserve"> </w:t>
      </w:r>
      <w:r w:rsidR="000F1BE3" w:rsidRPr="00512E9E">
        <w:t xml:space="preserve">privilege religious expression over anti-discrimination protections for </w:t>
      </w:r>
      <w:r w:rsidR="00A7487D">
        <w:t>some members of the community</w:t>
      </w:r>
      <w:r w:rsidR="000F1BE3" w:rsidRPr="00512E9E">
        <w:t xml:space="preserve">, particularly LGBTIQ people and women. </w:t>
      </w:r>
      <w:r w:rsidR="000F1BE3" w:rsidRPr="00663E28">
        <w:t xml:space="preserve">The Bill also </w:t>
      </w:r>
      <w:r w:rsidR="00D543EC">
        <w:t xml:space="preserve">continues to </w:t>
      </w:r>
      <w:r w:rsidR="000F1BE3" w:rsidRPr="00663E28">
        <w:t>undermine</w:t>
      </w:r>
      <w:r w:rsidR="000F1BE3" w:rsidRPr="00512E9E">
        <w:t xml:space="preserve"> the coherence of Australia’s anti-discrimination framework, by overriding state and territory law</w:t>
      </w:r>
      <w:r w:rsidR="001F297E" w:rsidRPr="00D86574">
        <w:t xml:space="preserve"> preventing individuals from making complaints about certain ‘statements of belief’ which </w:t>
      </w:r>
      <w:r w:rsidR="005C7460">
        <w:t>may</w:t>
      </w:r>
      <w:r w:rsidR="001F297E" w:rsidRPr="00D86574">
        <w:t xml:space="preserve"> otherwise be unlawful in some jurisdictions. </w:t>
      </w:r>
    </w:p>
    <w:p w14:paraId="5DF88387" w14:textId="32EC511B" w:rsidR="0004351D" w:rsidRPr="00493A0B" w:rsidRDefault="00B80D45" w:rsidP="00006063">
      <w:pPr>
        <w:pStyle w:val="Heading2"/>
      </w:pPr>
      <w:bookmarkStart w:id="3" w:name="_Hlk31024071"/>
      <w:r w:rsidRPr="00493A0B">
        <w:t xml:space="preserve">What’s changed in </w:t>
      </w:r>
      <w:r w:rsidR="000F1BE3" w:rsidRPr="00493A0B">
        <w:t>the second exposure draft</w:t>
      </w:r>
      <w:r w:rsidRPr="00493A0B">
        <w:t>?</w:t>
      </w:r>
      <w:r w:rsidR="000F1BE3" w:rsidRPr="00493A0B">
        <w:t xml:space="preserve"> </w:t>
      </w:r>
    </w:p>
    <w:bookmarkEnd w:id="3"/>
    <w:p w14:paraId="0F75D48E" w14:textId="6891BB2D" w:rsidR="000F1BE3" w:rsidRPr="00D86574" w:rsidRDefault="000F1BE3" w:rsidP="00006063">
      <w:pPr>
        <w:pStyle w:val="VEOHRCBodytext"/>
      </w:pPr>
      <w:r w:rsidRPr="00663E28">
        <w:t>Clause 42</w:t>
      </w:r>
      <w:r w:rsidR="00AF04A2">
        <w:t>(1)</w:t>
      </w:r>
      <w:r w:rsidRPr="00663E28">
        <w:t xml:space="preserve"> </w:t>
      </w:r>
      <w:r w:rsidR="00AF04A2">
        <w:t xml:space="preserve">of the Bill </w:t>
      </w:r>
      <w:r w:rsidRPr="00663E28">
        <w:t xml:space="preserve">has been </w:t>
      </w:r>
      <w:r w:rsidR="00BF16FD">
        <w:t>amended</w:t>
      </w:r>
      <w:r w:rsidRPr="00663E28">
        <w:t xml:space="preserve"> to clarify that the exemption from any anti-discrimination law only applies to the statement of belief ‘in and of itself’. </w:t>
      </w:r>
      <w:r w:rsidR="001F297E" w:rsidRPr="00512E9E">
        <w:t>I</w:t>
      </w:r>
      <w:r w:rsidR="001F297E" w:rsidRPr="001510B7">
        <w:t xml:space="preserve">n addition, </w:t>
      </w:r>
      <w:r w:rsidR="001F297E" w:rsidRPr="00D86574">
        <w:t>clause 42(2) has been amended to expand the types of statements that would be considered discriminatory.</w:t>
      </w:r>
      <w:r w:rsidR="00D543EC">
        <w:t xml:space="preserve"> </w:t>
      </w:r>
      <w:r w:rsidRPr="00663E28">
        <w:t xml:space="preserve">Statements of belief are permitted </w:t>
      </w:r>
      <w:r w:rsidRPr="00663E28">
        <w:rPr>
          <w:i/>
        </w:rPr>
        <w:t>unless</w:t>
      </w:r>
      <w:r w:rsidRPr="00512E9E">
        <w:t xml:space="preserve"> the statement </w:t>
      </w:r>
      <w:r w:rsidR="00817CC6">
        <w:t>is</w:t>
      </w:r>
      <w:r w:rsidR="00D543EC">
        <w:t xml:space="preserve"> malicious </w:t>
      </w:r>
      <w:r w:rsidRPr="00663E28">
        <w:t xml:space="preserve">or </w:t>
      </w:r>
      <w:r w:rsidR="00AF04A2" w:rsidRPr="00512E9E">
        <w:t>w</w:t>
      </w:r>
      <w:r w:rsidR="00AF04A2">
        <w:t>ould, or is l</w:t>
      </w:r>
      <w:r w:rsidRPr="00512E9E">
        <w:t xml:space="preserve">ikely to, ‘harass, threaten, seriously intimidate or </w:t>
      </w:r>
      <w:r w:rsidRPr="001510B7">
        <w:t>vilify’</w:t>
      </w:r>
      <w:r w:rsidR="00D543EC" w:rsidRPr="00D86574">
        <w:t xml:space="preserve"> another person or group of persons.</w:t>
      </w:r>
      <w:r w:rsidRPr="00663E28">
        <w:rPr>
          <w:rStyle w:val="EndnoteReference"/>
          <w:rFonts w:cs="Arial"/>
          <w:szCs w:val="22"/>
        </w:rPr>
        <w:endnoteReference w:id="3"/>
      </w:r>
    </w:p>
    <w:p w14:paraId="0F39472C" w14:textId="77777777" w:rsidR="0004351D" w:rsidRDefault="00B80D45" w:rsidP="00006063">
      <w:pPr>
        <w:pStyle w:val="Heading2"/>
      </w:pPr>
      <w:bookmarkStart w:id="4" w:name="_Hlk31024077"/>
      <w:r>
        <w:t xml:space="preserve">Do the changes address our concerns? </w:t>
      </w:r>
    </w:p>
    <w:bookmarkEnd w:id="4"/>
    <w:p w14:paraId="0856905F" w14:textId="46CD4C9A" w:rsidR="002865A4" w:rsidRPr="00006063" w:rsidRDefault="002865A4" w:rsidP="00006063">
      <w:pPr>
        <w:pStyle w:val="VEOHRCBodytext"/>
        <w:rPr>
          <w:b/>
          <w:color w:val="FF9933"/>
        </w:rPr>
      </w:pPr>
      <w:r w:rsidRPr="00006063">
        <w:rPr>
          <w:rFonts w:cs="Arial"/>
          <w:b/>
          <w:color w:val="FF9933"/>
          <w:szCs w:val="22"/>
        </w:rPr>
        <w:sym w:font="Wingdings 2" w:char="F098"/>
      </w:r>
      <w:r w:rsidRPr="00006063">
        <w:rPr>
          <w:color w:val="FF9933"/>
        </w:rPr>
        <w:t xml:space="preserve"> </w:t>
      </w:r>
      <w:r w:rsidR="00D543EC" w:rsidRPr="00006063">
        <w:rPr>
          <w:color w:val="FF9933"/>
        </w:rPr>
        <w:t>The changes to clause 42 have not adequately addressed our concerns.</w:t>
      </w:r>
      <w:r w:rsidR="00617EA5" w:rsidRPr="00006063">
        <w:rPr>
          <w:color w:val="FF9933"/>
        </w:rPr>
        <w:t xml:space="preserve"> </w:t>
      </w:r>
    </w:p>
    <w:p w14:paraId="4C103116" w14:textId="39C6A84E" w:rsidR="00617EA5" w:rsidRPr="002A0257" w:rsidRDefault="000F1BE3" w:rsidP="00006063">
      <w:pPr>
        <w:pStyle w:val="VEOHRCBodytext"/>
      </w:pPr>
      <w:r w:rsidRPr="00617EA5">
        <w:t xml:space="preserve">The Commission remains concerned that, overall, this provision fails to appropriately balance the right to religious expression with the right to be free from </w:t>
      </w:r>
      <w:r w:rsidRPr="005D6CFE">
        <w:t>discrimination</w:t>
      </w:r>
      <w:r w:rsidRPr="00617EA5">
        <w:t>. The</w:t>
      </w:r>
      <w:r w:rsidR="00AF04A2">
        <w:t xml:space="preserve"> amendments</w:t>
      </w:r>
      <w:r w:rsidRPr="00617EA5">
        <w:t xml:space="preserve"> raise </w:t>
      </w:r>
      <w:r w:rsidR="00A7487D">
        <w:t>four</w:t>
      </w:r>
      <w:r w:rsidRPr="00617EA5">
        <w:t xml:space="preserve"> key issues</w:t>
      </w:r>
      <w:r w:rsidR="00617EA5" w:rsidRPr="00617EA5">
        <w:t>.</w:t>
      </w:r>
    </w:p>
    <w:p w14:paraId="304D9D5E" w14:textId="76E5F53B" w:rsidR="00617EA5" w:rsidRDefault="00617EA5" w:rsidP="00006063">
      <w:pPr>
        <w:pStyle w:val="VEOHRCBodytext"/>
      </w:pPr>
      <w:r>
        <w:t>First, c</w:t>
      </w:r>
      <w:r w:rsidR="000F1BE3" w:rsidRPr="00617EA5">
        <w:t>lause 42</w:t>
      </w:r>
      <w:r w:rsidR="00AF04A2">
        <w:t>(1)</w:t>
      </w:r>
      <w:r w:rsidR="000F1BE3" w:rsidRPr="00617EA5">
        <w:t xml:space="preserve"> has been </w:t>
      </w:r>
      <w:r w:rsidR="00BF16FD">
        <w:t>amended</w:t>
      </w:r>
      <w:r w:rsidR="000F1BE3" w:rsidRPr="00617EA5">
        <w:t xml:space="preserve"> to clarify that the exemption from any anti-discrimination law only applies to the statement of belief ‘in and of itself’.</w:t>
      </w:r>
      <w:r w:rsidR="000F1BE3" w:rsidRPr="002A0257">
        <w:rPr>
          <w:rStyle w:val="EndnoteReference"/>
          <w:rFonts w:cs="Arial"/>
          <w:szCs w:val="22"/>
        </w:rPr>
        <w:endnoteReference w:id="4"/>
      </w:r>
      <w:r w:rsidR="000F1BE3" w:rsidRPr="00617EA5">
        <w:t xml:space="preserve"> So while discriminatory conduct will be a breach of anti-discrimination law, any accompanying ‘statements of belief’ would be permitted. This can be contrasted to non-religious contexts, where a statement </w:t>
      </w:r>
      <w:r w:rsidR="008D792C">
        <w:t>accompanying</w:t>
      </w:r>
      <w:r w:rsidR="008D792C" w:rsidRPr="00617EA5">
        <w:t xml:space="preserve"> </w:t>
      </w:r>
      <w:r w:rsidR="000F1BE3" w:rsidRPr="00617EA5">
        <w:t xml:space="preserve">discriminatory conduct would also be discriminatory. </w:t>
      </w:r>
    </w:p>
    <w:tbl>
      <w:tblPr>
        <w:tblStyle w:val="TableGrid"/>
        <w:tblW w:w="0" w:type="auto"/>
        <w:tblLook w:val="04A0" w:firstRow="1" w:lastRow="0" w:firstColumn="1" w:lastColumn="0" w:noHBand="0" w:noVBand="1"/>
      </w:tblPr>
      <w:tblGrid>
        <w:gridCol w:w="9628"/>
      </w:tblGrid>
      <w:tr w:rsidR="00617EA5" w:rsidRPr="002A0257" w14:paraId="1D7F6366" w14:textId="77777777" w:rsidTr="00006063">
        <w:tc>
          <w:tcPr>
            <w:tcW w:w="9628" w:type="dxa"/>
            <w:shd w:val="clear" w:color="auto" w:fill="C5E0B3" w:themeFill="accent6" w:themeFillTint="66"/>
            <w:tcMar>
              <w:top w:w="113" w:type="dxa"/>
              <w:bottom w:w="113" w:type="dxa"/>
            </w:tcMar>
          </w:tcPr>
          <w:p w14:paraId="5C3BC685" w14:textId="1594778E" w:rsidR="00617EA5" w:rsidRPr="005D6CFE" w:rsidRDefault="00617EA5" w:rsidP="00006063">
            <w:pPr>
              <w:pStyle w:val="Casestudytitle"/>
            </w:pPr>
            <w:r w:rsidRPr="005D6CFE">
              <w:t xml:space="preserve">Case </w:t>
            </w:r>
            <w:r w:rsidR="002865A4">
              <w:t>s</w:t>
            </w:r>
            <w:r w:rsidR="002865A4" w:rsidRPr="005D6CFE">
              <w:t xml:space="preserve">tudy </w:t>
            </w:r>
            <w:r w:rsidRPr="005D6CFE">
              <w:t>of potential harm</w:t>
            </w:r>
          </w:p>
          <w:p w14:paraId="7C3BCEF4" w14:textId="7860B3DA" w:rsidR="00617EA5" w:rsidRPr="002A0257" w:rsidRDefault="00617EA5" w:rsidP="00A937A8">
            <w:pPr>
              <w:pStyle w:val="VEOHRCBodytext"/>
              <w:keepNext w:val="0"/>
              <w:spacing w:after="80"/>
              <w:rPr>
                <w:rFonts w:cs="Arial"/>
                <w:szCs w:val="22"/>
              </w:rPr>
            </w:pPr>
            <w:r w:rsidRPr="002A0257">
              <w:rPr>
                <w:rFonts w:cs="Arial"/>
                <w:szCs w:val="22"/>
              </w:rPr>
              <w:t xml:space="preserve">Tamara is openly gay at work. Her co-workers tell her they overheard her manager saying that ‘all gay people will go to hell’ and that he ‘doesn’t want to work with sinners’. She applies for a promotion at work but is not successful. If the reason Tamara wasn’t promoted </w:t>
            </w:r>
            <w:r w:rsidR="005B5AEB">
              <w:rPr>
                <w:rFonts w:cs="Arial"/>
                <w:szCs w:val="22"/>
              </w:rPr>
              <w:t>is</w:t>
            </w:r>
            <w:r w:rsidRPr="002A0257">
              <w:rPr>
                <w:rFonts w:cs="Arial"/>
                <w:szCs w:val="22"/>
              </w:rPr>
              <w:t xml:space="preserve"> because of her sexual orientation, under existing anti-discrimination law, both the statements</w:t>
            </w:r>
            <w:r w:rsidR="00295030">
              <w:rPr>
                <w:rFonts w:cs="Arial"/>
                <w:szCs w:val="22"/>
              </w:rPr>
              <w:t xml:space="preserve"> made by the </w:t>
            </w:r>
            <w:r w:rsidR="00416E67">
              <w:rPr>
                <w:rFonts w:cs="Arial"/>
                <w:szCs w:val="22"/>
              </w:rPr>
              <w:t>m</w:t>
            </w:r>
            <w:r w:rsidR="00295030">
              <w:rPr>
                <w:rFonts w:cs="Arial"/>
                <w:szCs w:val="22"/>
              </w:rPr>
              <w:t>anager</w:t>
            </w:r>
            <w:r w:rsidRPr="002A0257">
              <w:rPr>
                <w:rFonts w:cs="Arial"/>
                <w:szCs w:val="22"/>
              </w:rPr>
              <w:t xml:space="preserve"> </w:t>
            </w:r>
            <w:r w:rsidRPr="00006063">
              <w:rPr>
                <w:rFonts w:cs="Arial"/>
                <w:i/>
                <w:szCs w:val="22"/>
              </w:rPr>
              <w:t>and</w:t>
            </w:r>
            <w:r w:rsidRPr="002A0257">
              <w:rPr>
                <w:rFonts w:cs="Arial"/>
                <w:szCs w:val="22"/>
              </w:rPr>
              <w:t xml:space="preserve"> the </w:t>
            </w:r>
            <w:r w:rsidR="00295030">
              <w:rPr>
                <w:rFonts w:cs="Arial"/>
                <w:szCs w:val="22"/>
              </w:rPr>
              <w:t>act of not promoting her</w:t>
            </w:r>
            <w:r w:rsidRPr="002A0257">
              <w:rPr>
                <w:rFonts w:cs="Arial"/>
                <w:szCs w:val="22"/>
              </w:rPr>
              <w:t xml:space="preserve"> </w:t>
            </w:r>
            <w:r w:rsidR="006E27B2">
              <w:rPr>
                <w:rFonts w:cs="Arial"/>
                <w:szCs w:val="22"/>
              </w:rPr>
              <w:t xml:space="preserve">(the conduct) </w:t>
            </w:r>
            <w:r w:rsidRPr="002A0257">
              <w:rPr>
                <w:rFonts w:cs="Arial"/>
                <w:szCs w:val="22"/>
              </w:rPr>
              <w:t xml:space="preserve">would likely be considered discriminatory. However, the Bill would likely make </w:t>
            </w:r>
            <w:r w:rsidR="005B5AEB">
              <w:rPr>
                <w:rFonts w:cs="Arial"/>
                <w:szCs w:val="22"/>
              </w:rPr>
              <w:t xml:space="preserve">the </w:t>
            </w:r>
            <w:r w:rsidRPr="002A0257">
              <w:rPr>
                <w:rFonts w:cs="Arial"/>
                <w:szCs w:val="22"/>
              </w:rPr>
              <w:t>statements</w:t>
            </w:r>
            <w:r w:rsidR="005B5AEB">
              <w:rPr>
                <w:rFonts w:cs="Arial"/>
                <w:szCs w:val="22"/>
              </w:rPr>
              <w:t xml:space="preserve"> </w:t>
            </w:r>
            <w:r w:rsidR="003F2CDD">
              <w:rPr>
                <w:rFonts w:cs="Arial"/>
                <w:szCs w:val="22"/>
              </w:rPr>
              <w:t xml:space="preserve">in and of themselves </w:t>
            </w:r>
            <w:r w:rsidR="005B5AEB">
              <w:rPr>
                <w:rFonts w:cs="Arial"/>
                <w:szCs w:val="22"/>
              </w:rPr>
              <w:t xml:space="preserve">lawful, </w:t>
            </w:r>
            <w:r w:rsidR="003F2CDD">
              <w:rPr>
                <w:rFonts w:cs="Arial"/>
                <w:szCs w:val="22"/>
              </w:rPr>
              <w:t xml:space="preserve">while </w:t>
            </w:r>
            <w:r w:rsidR="005B5AEB">
              <w:rPr>
                <w:rFonts w:cs="Arial"/>
                <w:szCs w:val="22"/>
              </w:rPr>
              <w:t xml:space="preserve">the conduct </w:t>
            </w:r>
            <w:r w:rsidR="00A05045">
              <w:rPr>
                <w:rFonts w:cs="Arial"/>
                <w:szCs w:val="22"/>
              </w:rPr>
              <w:t xml:space="preserve">is </w:t>
            </w:r>
            <w:r w:rsidR="003F2CDD">
              <w:rPr>
                <w:rFonts w:cs="Arial"/>
                <w:szCs w:val="22"/>
              </w:rPr>
              <w:t xml:space="preserve">unlawful. </w:t>
            </w:r>
            <w:r w:rsidRPr="002A0257">
              <w:rPr>
                <w:rFonts w:cs="Arial"/>
                <w:szCs w:val="22"/>
              </w:rPr>
              <w:t>This example highlights the confusion that might arise from the Bill</w:t>
            </w:r>
            <w:r w:rsidR="003F2CDD">
              <w:rPr>
                <w:rFonts w:cs="Arial"/>
                <w:szCs w:val="22"/>
              </w:rPr>
              <w:t xml:space="preserve"> and the </w:t>
            </w:r>
            <w:r w:rsidR="003F2CDD" w:rsidRPr="00617EA5">
              <w:rPr>
                <w:rFonts w:cs="Arial"/>
                <w:szCs w:val="22"/>
              </w:rPr>
              <w:t>difficult</w:t>
            </w:r>
            <w:r w:rsidR="003F2CDD">
              <w:rPr>
                <w:rFonts w:cs="Arial"/>
                <w:szCs w:val="22"/>
              </w:rPr>
              <w:t>ly of having</w:t>
            </w:r>
            <w:r w:rsidR="003F2CDD" w:rsidRPr="00617EA5">
              <w:rPr>
                <w:rFonts w:cs="Arial"/>
                <w:szCs w:val="22"/>
              </w:rPr>
              <w:t xml:space="preserve"> to draw a distinction between the </w:t>
            </w:r>
            <w:r w:rsidR="003F2CDD">
              <w:rPr>
                <w:rFonts w:cs="Arial"/>
                <w:szCs w:val="22"/>
              </w:rPr>
              <w:t xml:space="preserve">statement </w:t>
            </w:r>
            <w:r w:rsidR="003F2CDD" w:rsidRPr="00617EA5">
              <w:rPr>
                <w:rFonts w:cs="Arial"/>
                <w:szCs w:val="22"/>
              </w:rPr>
              <w:t xml:space="preserve">and the </w:t>
            </w:r>
            <w:r w:rsidR="003F2CDD">
              <w:rPr>
                <w:rFonts w:cs="Arial"/>
                <w:szCs w:val="22"/>
              </w:rPr>
              <w:t>conduct</w:t>
            </w:r>
            <w:r w:rsidRPr="002A0257">
              <w:rPr>
                <w:rFonts w:cs="Arial"/>
                <w:szCs w:val="22"/>
              </w:rPr>
              <w:t>.</w:t>
            </w:r>
          </w:p>
        </w:tc>
      </w:tr>
    </w:tbl>
    <w:p w14:paraId="562B22E0" w14:textId="36990B45" w:rsidR="000F1BE3" w:rsidRPr="00627C0B" w:rsidRDefault="00617EA5" w:rsidP="00006063">
      <w:pPr>
        <w:pStyle w:val="VEOHRCBodytext"/>
      </w:pPr>
      <w:r>
        <w:t>Second, t</w:t>
      </w:r>
      <w:r w:rsidR="000F1BE3" w:rsidRPr="00617EA5">
        <w:t xml:space="preserve">he </w:t>
      </w:r>
      <w:r w:rsidR="00AF04A2">
        <w:t>amendments</w:t>
      </w:r>
      <w:r w:rsidR="000F1BE3" w:rsidRPr="00617EA5">
        <w:t xml:space="preserve"> made to clause 42(2)</w:t>
      </w:r>
      <w:r w:rsidR="000F1BE3" w:rsidRPr="002A0257">
        <w:rPr>
          <w:rStyle w:val="EndnoteReference"/>
          <w:rFonts w:cs="Arial"/>
          <w:szCs w:val="22"/>
        </w:rPr>
        <w:endnoteReference w:id="5"/>
      </w:r>
      <w:r w:rsidR="000F1BE3" w:rsidRPr="00617EA5">
        <w:t xml:space="preserve"> amend the types of statements of belief that would be considered discriminatory. Statements of belief are permitted </w:t>
      </w:r>
      <w:r w:rsidR="000F1BE3" w:rsidRPr="00617EA5">
        <w:rPr>
          <w:i/>
        </w:rPr>
        <w:t>unless</w:t>
      </w:r>
      <w:r w:rsidR="000F1BE3" w:rsidRPr="00617EA5">
        <w:t xml:space="preserve"> the statement </w:t>
      </w:r>
      <w:r w:rsidR="00817CC6">
        <w:t>is</w:t>
      </w:r>
      <w:r w:rsidR="006E27B2">
        <w:t xml:space="preserve"> malicious or would, or</w:t>
      </w:r>
      <w:r w:rsidR="000F1BE3" w:rsidRPr="00617EA5">
        <w:t xml:space="preserve"> is likely to, ‘harass, threaten, seriously intimidate or vilify’</w:t>
      </w:r>
      <w:r w:rsidR="00817CC6" w:rsidRPr="00817CC6">
        <w:t xml:space="preserve"> </w:t>
      </w:r>
      <w:r w:rsidR="00817CC6" w:rsidRPr="00D86574">
        <w:t>another person or group of persons</w:t>
      </w:r>
      <w:r w:rsidR="000F1BE3" w:rsidRPr="00617EA5">
        <w:t xml:space="preserve">. It remains unclear what statements will meet this threshold. </w:t>
      </w:r>
    </w:p>
    <w:p w14:paraId="186CCF17" w14:textId="53CB1718" w:rsidR="000F1BE3" w:rsidRPr="00627C0B" w:rsidRDefault="00617EA5" w:rsidP="008E0B9B">
      <w:pPr>
        <w:pStyle w:val="VEOHRCBodytext"/>
      </w:pPr>
      <w:r>
        <w:rPr>
          <w:rFonts w:cs="Arial"/>
          <w:szCs w:val="22"/>
        </w:rPr>
        <w:t>Third, c</w:t>
      </w:r>
      <w:r w:rsidR="000F1BE3" w:rsidRPr="00617EA5">
        <w:rPr>
          <w:rFonts w:cs="Arial"/>
          <w:szCs w:val="22"/>
        </w:rPr>
        <w:t xml:space="preserve">lause 42(2)(b) still sets a high threshold, which </w:t>
      </w:r>
      <w:r w:rsidR="000F1BE3" w:rsidRPr="00617EA5">
        <w:rPr>
          <w:rFonts w:eastAsia="Calibri" w:cs="Arial"/>
          <w:szCs w:val="22"/>
        </w:rPr>
        <w:t>focuses on the offender’s conduct (i.e. whether the statement constitutes harassment or serious intimidation) or on the effect of the conduct on a third party (i.e. whether the statement constitutes vilification, which is defined in cl</w:t>
      </w:r>
      <w:r w:rsidR="006E27B2">
        <w:rPr>
          <w:rFonts w:eastAsia="Calibri" w:cs="Arial"/>
          <w:szCs w:val="22"/>
        </w:rPr>
        <w:t>ause</w:t>
      </w:r>
      <w:r w:rsidR="000F1BE3" w:rsidRPr="00617EA5">
        <w:rPr>
          <w:rFonts w:eastAsia="Calibri" w:cs="Arial"/>
          <w:szCs w:val="22"/>
        </w:rPr>
        <w:t xml:space="preserve"> 5(1) to mean ‘incite hatred or violence towards the person’</w:t>
      </w:r>
      <w:r w:rsidR="000F1BE3" w:rsidRPr="00617EA5">
        <w:rPr>
          <w:rFonts w:cs="Arial"/>
          <w:szCs w:val="22"/>
        </w:rPr>
        <w:t>)</w:t>
      </w:r>
      <w:r w:rsidR="000F1BE3" w:rsidRPr="00617EA5">
        <w:rPr>
          <w:rFonts w:eastAsia="Calibri" w:cs="Arial"/>
          <w:szCs w:val="22"/>
        </w:rPr>
        <w:t xml:space="preserve">. The threshold does not </w:t>
      </w:r>
      <w:r w:rsidR="000F1BE3" w:rsidRPr="00617EA5">
        <w:rPr>
          <w:rFonts w:cs="Arial"/>
          <w:szCs w:val="22"/>
        </w:rPr>
        <w:t xml:space="preserve">assess harm from the perspective of the victim group </w:t>
      </w:r>
      <w:r w:rsidR="00416E67">
        <w:rPr>
          <w:rFonts w:eastAsia="Calibri" w:cs="Arial"/>
          <w:szCs w:val="22"/>
        </w:rPr>
        <w:t>that</w:t>
      </w:r>
      <w:r w:rsidR="00416E67" w:rsidRPr="00617EA5">
        <w:rPr>
          <w:rFonts w:eastAsia="Calibri" w:cs="Arial"/>
          <w:szCs w:val="22"/>
        </w:rPr>
        <w:t xml:space="preserve"> </w:t>
      </w:r>
      <w:r w:rsidR="000F1BE3" w:rsidRPr="00617EA5">
        <w:rPr>
          <w:rFonts w:eastAsia="Calibri" w:cs="Arial"/>
          <w:szCs w:val="22"/>
        </w:rPr>
        <w:t xml:space="preserve">experiences the statement, their community or </w:t>
      </w:r>
      <w:r w:rsidR="000F1BE3" w:rsidRPr="00617EA5">
        <w:rPr>
          <w:rFonts w:eastAsia="Calibri" w:cs="Arial"/>
          <w:szCs w:val="22"/>
        </w:rPr>
        <w:lastRenderedPageBreak/>
        <w:t>society at large.</w:t>
      </w:r>
      <w:r w:rsidR="000F1BE3" w:rsidRPr="00617EA5">
        <w:rPr>
          <w:rFonts w:cs="Arial"/>
          <w:szCs w:val="22"/>
        </w:rPr>
        <w:t xml:space="preserve"> From our experience in relation to the application of Victoria’s </w:t>
      </w:r>
      <w:r w:rsidR="000F1BE3" w:rsidRPr="00D86574">
        <w:rPr>
          <w:rFonts w:cs="Arial"/>
          <w:i/>
          <w:szCs w:val="22"/>
        </w:rPr>
        <w:t>Racial and Religious Tolerance Act 2001</w:t>
      </w:r>
      <w:r w:rsidR="000F1BE3" w:rsidRPr="007F6BF3">
        <w:rPr>
          <w:rFonts w:cs="Arial"/>
          <w:szCs w:val="22"/>
        </w:rPr>
        <w:t>, t</w:t>
      </w:r>
      <w:r w:rsidR="000F1BE3" w:rsidRPr="00617EA5">
        <w:rPr>
          <w:rFonts w:cs="Arial"/>
          <w:szCs w:val="22"/>
        </w:rPr>
        <w:t>he threshold proposed in the second exposure draft will make it diffic</w:t>
      </w:r>
      <w:r w:rsidR="00A7487D">
        <w:rPr>
          <w:rFonts w:cs="Arial"/>
          <w:szCs w:val="22"/>
        </w:rPr>
        <w:t xml:space="preserve">ult </w:t>
      </w:r>
      <w:r w:rsidR="000F1BE3" w:rsidRPr="00617EA5">
        <w:rPr>
          <w:rFonts w:cs="Arial"/>
          <w:szCs w:val="22"/>
        </w:rPr>
        <w:t>for individuals to rely on.</w:t>
      </w:r>
      <w:r w:rsidR="00A7487D">
        <w:rPr>
          <w:rFonts w:cs="Arial"/>
          <w:szCs w:val="22"/>
        </w:rPr>
        <w:t xml:space="preserve"> </w:t>
      </w:r>
      <w:r w:rsidR="005704F4" w:rsidRPr="003274BC">
        <w:rPr>
          <w:rFonts w:cs="Arial"/>
          <w:szCs w:val="22"/>
        </w:rPr>
        <w:t xml:space="preserve">Under the </w:t>
      </w:r>
      <w:r w:rsidR="005704F4" w:rsidRPr="003274BC">
        <w:rPr>
          <w:rFonts w:cs="Arial"/>
          <w:i/>
          <w:szCs w:val="22"/>
        </w:rPr>
        <w:t>Racial and Religious Tolerance Act 2001</w:t>
      </w:r>
      <w:r w:rsidR="005704F4" w:rsidRPr="003274BC">
        <w:rPr>
          <w:rFonts w:cs="Arial"/>
          <w:szCs w:val="22"/>
        </w:rPr>
        <w:t xml:space="preserve">, the legal tests for vilification </w:t>
      </w:r>
      <w:r w:rsidR="001A0712" w:rsidRPr="003274BC">
        <w:rPr>
          <w:rFonts w:cs="Arial"/>
          <w:szCs w:val="22"/>
        </w:rPr>
        <w:t>are high</w:t>
      </w:r>
      <w:r w:rsidR="005704F4" w:rsidRPr="003274BC">
        <w:rPr>
          <w:rFonts w:cs="Arial"/>
          <w:szCs w:val="22"/>
        </w:rPr>
        <w:t xml:space="preserve">, </w:t>
      </w:r>
      <w:r w:rsidR="005704F4" w:rsidRPr="003274BC">
        <w:t>requiring proof that hate conduct incited extreme negative emotions in an often-unidentifiable audience and fail to consider the harm caused to individuals, target communities and broader society</w:t>
      </w:r>
      <w:r w:rsidR="005704F4" w:rsidRPr="003274BC">
        <w:rPr>
          <w:rFonts w:cs="Arial"/>
          <w:szCs w:val="22"/>
        </w:rPr>
        <w:t xml:space="preserve">. </w:t>
      </w:r>
      <w:r w:rsidR="00F87F8B" w:rsidRPr="003274BC">
        <w:t>To date, there have been only two successful cases in the Victorian Civil and Administrative Tribunal (VCAT) and one successful prosecution of serious vilification.</w:t>
      </w:r>
      <w:r w:rsidR="00F87F8B">
        <w:t xml:space="preserve"> </w:t>
      </w:r>
    </w:p>
    <w:p w14:paraId="32013C02" w14:textId="1292DAD4" w:rsidR="001F297E" w:rsidRPr="002A0257" w:rsidRDefault="00617EA5" w:rsidP="008E0B9B">
      <w:pPr>
        <w:pStyle w:val="VEOHRCBodytext"/>
      </w:pPr>
      <w:r>
        <w:t>Finally, c</w:t>
      </w:r>
      <w:r w:rsidRPr="00617EA5">
        <w:t>lause</w:t>
      </w:r>
      <w:r w:rsidR="000F1BE3" w:rsidRPr="00617EA5">
        <w:t xml:space="preserve"> 42(1) still provides that </w:t>
      </w:r>
      <w:r w:rsidR="00BF16FD">
        <w:t>‘</w:t>
      </w:r>
      <w:r w:rsidR="000F1BE3" w:rsidRPr="00617EA5">
        <w:t>statements of belief</w:t>
      </w:r>
      <w:r w:rsidR="00BF16FD">
        <w:t>’</w:t>
      </w:r>
      <w:r w:rsidR="000F1BE3" w:rsidRPr="00617EA5">
        <w:t xml:space="preserve"> do not constitute discrimination for the purposes of anti-discrimination law. We repeat our concern that clause 42</w:t>
      </w:r>
      <w:r w:rsidR="00BF16FD">
        <w:t>(1)</w:t>
      </w:r>
      <w:r w:rsidR="000F1BE3" w:rsidRPr="00617EA5">
        <w:t xml:space="preserve"> overrides state and territory anti-discrimination law,</w:t>
      </w:r>
      <w:r w:rsidR="000F1BE3" w:rsidRPr="002A0257">
        <w:rPr>
          <w:rStyle w:val="EndnoteReference"/>
          <w:rFonts w:cs="Arial"/>
          <w:szCs w:val="22"/>
        </w:rPr>
        <w:endnoteReference w:id="6"/>
      </w:r>
      <w:r w:rsidR="000F1BE3" w:rsidRPr="00617EA5">
        <w:t xml:space="preserve"> preventing individuals from making complaints about certain ‘statements of belief’ which would otherwise be unlawful in some jurisdictions.</w:t>
      </w:r>
      <w:r w:rsidR="000F1BE3" w:rsidRPr="002A0257">
        <w:rPr>
          <w:rStyle w:val="EndnoteReference"/>
          <w:rFonts w:cs="Arial"/>
          <w:szCs w:val="22"/>
        </w:rPr>
        <w:endnoteReference w:id="7"/>
      </w:r>
      <w:r w:rsidR="000F1BE3" w:rsidRPr="00617EA5">
        <w:t xml:space="preserve"> This undermines the sovereignty of state and territory government to make laws, including efforts to reform discrimination or vilification laws</w:t>
      </w:r>
    </w:p>
    <w:tbl>
      <w:tblPr>
        <w:tblStyle w:val="TableGrid"/>
        <w:tblW w:w="0" w:type="auto"/>
        <w:tblLook w:val="04A0" w:firstRow="1" w:lastRow="0" w:firstColumn="1" w:lastColumn="0" w:noHBand="0" w:noVBand="1"/>
      </w:tblPr>
      <w:tblGrid>
        <w:gridCol w:w="9628"/>
      </w:tblGrid>
      <w:tr w:rsidR="002A0257" w:rsidRPr="002A0257" w14:paraId="3851ECBB" w14:textId="77777777" w:rsidTr="00006063">
        <w:tc>
          <w:tcPr>
            <w:tcW w:w="9628" w:type="dxa"/>
            <w:shd w:val="clear" w:color="auto" w:fill="BDD6EE" w:themeFill="accent1" w:themeFillTint="66"/>
            <w:tcMar>
              <w:top w:w="113" w:type="dxa"/>
              <w:bottom w:w="113" w:type="dxa"/>
            </w:tcMar>
          </w:tcPr>
          <w:p w14:paraId="45DD69A7" w14:textId="49255566" w:rsidR="002A0257" w:rsidRPr="002A0257" w:rsidRDefault="002A0257" w:rsidP="00006063">
            <w:pPr>
              <w:pStyle w:val="Casestudytitle"/>
            </w:pPr>
            <w:r w:rsidRPr="002A0257">
              <w:t xml:space="preserve">Recommendation 1 </w:t>
            </w:r>
            <w:r w:rsidR="00CF1828" w:rsidRPr="002A0257">
              <w:t>(restated from our first submission)</w:t>
            </w:r>
          </w:p>
          <w:p w14:paraId="1463160F" w14:textId="4219FFE5" w:rsidR="002A0257" w:rsidRPr="002A0257" w:rsidRDefault="002A0257" w:rsidP="002A0257">
            <w:pPr>
              <w:pStyle w:val="VEOHRCBodytext"/>
              <w:keepNext w:val="0"/>
              <w:spacing w:after="80"/>
              <w:rPr>
                <w:rFonts w:cs="Arial"/>
                <w:szCs w:val="22"/>
              </w:rPr>
            </w:pPr>
            <w:r w:rsidRPr="002A0257">
              <w:rPr>
                <w:rFonts w:cs="Arial"/>
                <w:szCs w:val="22"/>
              </w:rPr>
              <w:t>The Attorney-General should remove clause 42, dealing with discriminatory statements of belief and overriding state and territory anti-discrimination laws, from the Religious Discrimination Bill 2019 (Cth).</w:t>
            </w:r>
          </w:p>
        </w:tc>
      </w:tr>
    </w:tbl>
    <w:p w14:paraId="002A45E2" w14:textId="5910FB2D" w:rsidR="002A0257" w:rsidRPr="00493A0B" w:rsidRDefault="0004351D" w:rsidP="00006063">
      <w:pPr>
        <w:pStyle w:val="Heading1"/>
      </w:pPr>
      <w:r w:rsidRPr="00006063">
        <w:rPr>
          <w:b/>
        </w:rPr>
        <w:t>Key Concern</w:t>
      </w:r>
      <w:r w:rsidR="00DB6349" w:rsidRPr="00006063">
        <w:rPr>
          <w:b/>
        </w:rPr>
        <w:t xml:space="preserve"> 2</w:t>
      </w:r>
      <w:r w:rsidR="002865A4" w:rsidRPr="00006063">
        <w:rPr>
          <w:b/>
        </w:rPr>
        <w:br/>
      </w:r>
      <w:r w:rsidR="008D2D97">
        <w:t>The Bill</w:t>
      </w:r>
      <w:r w:rsidR="002A0257" w:rsidRPr="00493A0B">
        <w:t xml:space="preserve"> still restrict</w:t>
      </w:r>
      <w:r w:rsidR="00416E67">
        <w:t>s</w:t>
      </w:r>
      <w:r w:rsidR="002A0257" w:rsidRPr="00493A0B">
        <w:t xml:space="preserve"> the ability of large employers to create safe and inclusive workplaces</w:t>
      </w:r>
    </w:p>
    <w:p w14:paraId="4D1B973E" w14:textId="3141DDBE" w:rsidR="000F1BE3" w:rsidRPr="002A0257" w:rsidRDefault="00AE4E6E" w:rsidP="00627C0B">
      <w:pPr>
        <w:pStyle w:val="VEOHRCBodytext"/>
        <w:keepNext w:val="0"/>
        <w:rPr>
          <w:rFonts w:cs="Arial"/>
          <w:szCs w:val="22"/>
        </w:rPr>
      </w:pPr>
      <w:r>
        <w:rPr>
          <w:rFonts w:cs="Arial"/>
          <w:szCs w:val="22"/>
        </w:rPr>
        <w:t>Clauses 8(3</w:t>
      </w:r>
      <w:r w:rsidR="00416E67">
        <w:rPr>
          <w:rFonts w:cs="Arial"/>
          <w:szCs w:val="22"/>
        </w:rPr>
        <w:t>)–(</w:t>
      </w:r>
      <w:r>
        <w:rPr>
          <w:rFonts w:cs="Arial"/>
          <w:szCs w:val="22"/>
        </w:rPr>
        <w:t>5) of the</w:t>
      </w:r>
      <w:r w:rsidR="000F1BE3" w:rsidRPr="002A0257">
        <w:rPr>
          <w:rFonts w:cs="Arial"/>
          <w:szCs w:val="22"/>
        </w:rPr>
        <w:t xml:space="preserve"> Bill </w:t>
      </w:r>
      <w:r w:rsidR="006E27B2">
        <w:rPr>
          <w:rFonts w:cs="Arial"/>
          <w:szCs w:val="22"/>
        </w:rPr>
        <w:t xml:space="preserve">continue to </w:t>
      </w:r>
      <w:r w:rsidR="000F1BE3" w:rsidRPr="002A0257">
        <w:rPr>
          <w:rFonts w:cs="Arial"/>
          <w:szCs w:val="22"/>
        </w:rPr>
        <w:t>restrict</w:t>
      </w:r>
      <w:r w:rsidR="00A7487D">
        <w:rPr>
          <w:rFonts w:cs="Arial"/>
          <w:szCs w:val="22"/>
        </w:rPr>
        <w:t xml:space="preserve"> an employer’s</w:t>
      </w:r>
      <w:r w:rsidR="000F1BE3" w:rsidRPr="002A0257">
        <w:rPr>
          <w:rFonts w:cs="Arial"/>
          <w:szCs w:val="22"/>
        </w:rPr>
        <w:t xml:space="preserve"> ability to create safe and inclusive workplaces, by preventing </w:t>
      </w:r>
      <w:r w:rsidR="006E27B2">
        <w:rPr>
          <w:rFonts w:cs="Arial"/>
          <w:szCs w:val="22"/>
        </w:rPr>
        <w:t xml:space="preserve">certain </w:t>
      </w:r>
      <w:r w:rsidR="000F1BE3" w:rsidRPr="002A0257">
        <w:rPr>
          <w:rFonts w:cs="Arial"/>
          <w:szCs w:val="22"/>
        </w:rPr>
        <w:t>employers from imposing employer conduct rules on employees’ religious expression outside of work hours.</w:t>
      </w:r>
    </w:p>
    <w:p w14:paraId="6B71C751" w14:textId="5F17602F" w:rsidR="006E27B2" w:rsidRPr="00493A0B" w:rsidRDefault="006E27B2" w:rsidP="00006063">
      <w:pPr>
        <w:pStyle w:val="Heading2"/>
      </w:pPr>
      <w:r w:rsidRPr="00493A0B">
        <w:t xml:space="preserve">What’s changed in the second exposure draft? </w:t>
      </w:r>
    </w:p>
    <w:p w14:paraId="2CFC7D86" w14:textId="1A5DEDB5" w:rsidR="000F1BE3" w:rsidRPr="002A0257" w:rsidRDefault="000F1BE3" w:rsidP="00627C0B">
      <w:pPr>
        <w:pStyle w:val="VEOHRCHeading2"/>
        <w:spacing w:before="80" w:after="120" w:line="240" w:lineRule="auto"/>
        <w:rPr>
          <w:rFonts w:cs="Arial"/>
          <w:color w:val="000000" w:themeColor="text1"/>
          <w:sz w:val="22"/>
          <w:szCs w:val="22"/>
        </w:rPr>
      </w:pPr>
      <w:r w:rsidRPr="00617EA5">
        <w:rPr>
          <w:rFonts w:cs="Arial"/>
          <w:b w:val="0"/>
          <w:color w:val="000000" w:themeColor="text1"/>
          <w:sz w:val="22"/>
          <w:szCs w:val="22"/>
        </w:rPr>
        <w:t xml:space="preserve">Clause 8(3) has been </w:t>
      </w:r>
      <w:r w:rsidR="00BF16FD">
        <w:rPr>
          <w:rFonts w:cs="Arial"/>
          <w:b w:val="0"/>
          <w:color w:val="000000" w:themeColor="text1"/>
          <w:sz w:val="22"/>
          <w:szCs w:val="22"/>
        </w:rPr>
        <w:t>amended</w:t>
      </w:r>
      <w:r w:rsidRPr="00617EA5">
        <w:rPr>
          <w:rFonts w:cs="Arial"/>
          <w:b w:val="0"/>
          <w:color w:val="000000" w:themeColor="text1"/>
          <w:sz w:val="22"/>
          <w:szCs w:val="22"/>
        </w:rPr>
        <w:t xml:space="preserve"> to expand the application of employer conduct rules from when a person is ‘performing work’ to conduct in the ‘course of their employment’.</w:t>
      </w:r>
    </w:p>
    <w:p w14:paraId="31E0240C" w14:textId="77777777" w:rsidR="00BF16FD" w:rsidRDefault="003A5CD4" w:rsidP="00006063">
      <w:pPr>
        <w:pStyle w:val="VEOHRCHeading2"/>
      </w:pPr>
      <w:r>
        <w:t xml:space="preserve">Do the </w:t>
      </w:r>
      <w:r w:rsidRPr="00006063">
        <w:t>changes</w:t>
      </w:r>
      <w:r>
        <w:t xml:space="preserve"> address our concerns? </w:t>
      </w:r>
    </w:p>
    <w:p w14:paraId="300CFBAF" w14:textId="59952EB2" w:rsidR="002865A4" w:rsidRPr="00006063" w:rsidRDefault="002865A4" w:rsidP="00627C0B">
      <w:pPr>
        <w:pStyle w:val="VEOHRCHeading2"/>
        <w:spacing w:before="80" w:after="120" w:line="240" w:lineRule="auto"/>
        <w:rPr>
          <w:rFonts w:cs="Arial"/>
          <w:b w:val="0"/>
          <w:i/>
          <w:color w:val="FF9933"/>
          <w:sz w:val="22"/>
          <w:szCs w:val="22"/>
        </w:rPr>
      </w:pPr>
      <w:r w:rsidRPr="00006063">
        <w:rPr>
          <w:rFonts w:cs="Arial"/>
          <w:b w:val="0"/>
          <w:color w:val="FF9933"/>
          <w:sz w:val="22"/>
          <w:szCs w:val="22"/>
        </w:rPr>
        <w:sym w:font="Wingdings 2" w:char="F098"/>
      </w:r>
      <w:r w:rsidRPr="00006063">
        <w:rPr>
          <w:rFonts w:cs="Arial"/>
          <w:b w:val="0"/>
          <w:color w:val="FF9933"/>
          <w:sz w:val="22"/>
          <w:szCs w:val="22"/>
        </w:rPr>
        <w:t xml:space="preserve"> </w:t>
      </w:r>
      <w:r w:rsidR="002621B7" w:rsidRPr="00006063">
        <w:rPr>
          <w:rFonts w:cs="Arial"/>
          <w:b w:val="0"/>
          <w:color w:val="FF9933"/>
          <w:sz w:val="22"/>
          <w:szCs w:val="22"/>
        </w:rPr>
        <w:t>The changes to clause 8(3) have not adequately addressed our concerns.</w:t>
      </w:r>
      <w:r w:rsidR="002621B7" w:rsidRPr="00006063">
        <w:rPr>
          <w:rFonts w:cs="Arial"/>
          <w:b w:val="0"/>
          <w:i/>
          <w:color w:val="FF9933"/>
          <w:sz w:val="22"/>
          <w:szCs w:val="22"/>
        </w:rPr>
        <w:t xml:space="preserve"> </w:t>
      </w:r>
    </w:p>
    <w:p w14:paraId="6049FD21" w14:textId="369ED87A" w:rsidR="008E0B9B" w:rsidRPr="006A2189" w:rsidRDefault="003A5CD4" w:rsidP="00627C0B">
      <w:pPr>
        <w:pStyle w:val="VEOHRCHeading2"/>
        <w:spacing w:before="80" w:after="120" w:line="240" w:lineRule="auto"/>
        <w:rPr>
          <w:rFonts w:cs="Arial"/>
          <w:b w:val="0"/>
          <w:color w:val="000000" w:themeColor="text1"/>
          <w:sz w:val="22"/>
          <w:szCs w:val="22"/>
        </w:rPr>
      </w:pPr>
      <w:r w:rsidRPr="00D86574">
        <w:rPr>
          <w:rFonts w:cs="Arial"/>
          <w:b w:val="0"/>
          <w:color w:val="000000" w:themeColor="text1"/>
          <w:sz w:val="22"/>
          <w:szCs w:val="22"/>
        </w:rPr>
        <w:t xml:space="preserve">The Commission welcomes the amendment to clause 8(3) that expands the application of employer conduct rules from when a person is ‘performing work’ to conduct in the ‘course of their employment’. </w:t>
      </w:r>
      <w:r w:rsidR="000F1BE3" w:rsidRPr="00512E9E">
        <w:rPr>
          <w:rFonts w:cs="Arial"/>
          <w:b w:val="0"/>
          <w:color w:val="000000" w:themeColor="text1"/>
          <w:sz w:val="22"/>
          <w:szCs w:val="22"/>
        </w:rPr>
        <w:t>This amendment clarifies that employers can</w:t>
      </w:r>
      <w:r w:rsidR="000F1BE3" w:rsidRPr="00617EA5">
        <w:rPr>
          <w:rFonts w:cs="Arial"/>
          <w:b w:val="0"/>
          <w:color w:val="000000" w:themeColor="text1"/>
          <w:sz w:val="22"/>
          <w:szCs w:val="22"/>
        </w:rPr>
        <w:t xml:space="preserve"> regulate conduct of employees related to work, such as conduct at external office functions, conferences and work-related travel. However, the Commission remains concerned that overall the provision still means that large employers will have limited ability to make rules to restrict their employees’ expression of views that are religiously</w:t>
      </w:r>
      <w:r w:rsidR="00416E67">
        <w:rPr>
          <w:rFonts w:cs="Arial"/>
          <w:b w:val="0"/>
          <w:color w:val="000000" w:themeColor="text1"/>
          <w:sz w:val="22"/>
          <w:szCs w:val="22"/>
        </w:rPr>
        <w:t xml:space="preserve"> </w:t>
      </w:r>
      <w:r w:rsidR="000F1BE3" w:rsidRPr="00617EA5">
        <w:rPr>
          <w:rFonts w:cs="Arial"/>
          <w:b w:val="0"/>
          <w:color w:val="000000" w:themeColor="text1"/>
          <w:sz w:val="22"/>
          <w:szCs w:val="22"/>
        </w:rPr>
        <w:t>based outside of work</w:t>
      </w:r>
      <w:r w:rsidR="00D91B06">
        <w:rPr>
          <w:rFonts w:cs="Arial"/>
          <w:b w:val="0"/>
          <w:color w:val="000000" w:themeColor="text1"/>
          <w:sz w:val="22"/>
          <w:szCs w:val="22"/>
        </w:rPr>
        <w:t xml:space="preserve">. This is </w:t>
      </w:r>
      <w:r w:rsidR="000F1BE3" w:rsidRPr="00617EA5">
        <w:rPr>
          <w:rFonts w:cs="Arial"/>
          <w:b w:val="0"/>
          <w:color w:val="000000" w:themeColor="text1"/>
          <w:sz w:val="22"/>
          <w:szCs w:val="22"/>
        </w:rPr>
        <w:t>even where those views are contrary to the employer’s values or mission and are harmful to other employees, customers</w:t>
      </w:r>
      <w:r w:rsidR="008D792C">
        <w:rPr>
          <w:rFonts w:cs="Arial"/>
          <w:b w:val="0"/>
          <w:color w:val="000000" w:themeColor="text1"/>
          <w:sz w:val="22"/>
          <w:szCs w:val="22"/>
        </w:rPr>
        <w:t>,</w:t>
      </w:r>
      <w:r w:rsidR="000F1BE3" w:rsidRPr="00617EA5">
        <w:rPr>
          <w:rFonts w:cs="Arial"/>
          <w:b w:val="0"/>
          <w:color w:val="000000" w:themeColor="text1"/>
          <w:sz w:val="22"/>
          <w:szCs w:val="22"/>
        </w:rPr>
        <w:t xml:space="preserve"> members of the public</w:t>
      </w:r>
      <w:r w:rsidR="008D792C">
        <w:rPr>
          <w:rFonts w:cs="Arial"/>
          <w:b w:val="0"/>
          <w:color w:val="000000" w:themeColor="text1"/>
          <w:sz w:val="22"/>
          <w:szCs w:val="22"/>
        </w:rPr>
        <w:t xml:space="preserve"> or </w:t>
      </w:r>
      <w:r w:rsidR="008D792C" w:rsidRPr="00617EA5">
        <w:rPr>
          <w:rFonts w:cs="Arial"/>
          <w:b w:val="0"/>
          <w:color w:val="000000" w:themeColor="text1"/>
          <w:sz w:val="22"/>
          <w:szCs w:val="22"/>
        </w:rPr>
        <w:t>the employer’s reputation</w:t>
      </w:r>
      <w:r w:rsidR="000F1BE3" w:rsidRPr="00617EA5">
        <w:rPr>
          <w:rFonts w:cs="Arial"/>
          <w:b w:val="0"/>
          <w:color w:val="000000" w:themeColor="text1"/>
          <w:sz w:val="22"/>
          <w:szCs w:val="22"/>
        </w:rPr>
        <w:t>.</w:t>
      </w:r>
    </w:p>
    <w:tbl>
      <w:tblPr>
        <w:tblStyle w:val="TableGrid"/>
        <w:tblW w:w="0" w:type="auto"/>
        <w:tblLook w:val="04A0" w:firstRow="1" w:lastRow="0" w:firstColumn="1" w:lastColumn="0" w:noHBand="0" w:noVBand="1"/>
      </w:tblPr>
      <w:tblGrid>
        <w:gridCol w:w="9628"/>
      </w:tblGrid>
      <w:tr w:rsidR="002A0257" w14:paraId="6BAF1291" w14:textId="77777777" w:rsidTr="008D792C">
        <w:tc>
          <w:tcPr>
            <w:tcW w:w="9628" w:type="dxa"/>
            <w:shd w:val="clear" w:color="auto" w:fill="C5E0B3" w:themeFill="accent6" w:themeFillTint="66"/>
            <w:tcMar>
              <w:top w:w="113" w:type="dxa"/>
              <w:bottom w:w="113" w:type="dxa"/>
            </w:tcMar>
          </w:tcPr>
          <w:p w14:paraId="23C2DA6E" w14:textId="06E38808" w:rsidR="002A0257" w:rsidRPr="002A0257" w:rsidRDefault="002A0257" w:rsidP="00006063">
            <w:pPr>
              <w:pStyle w:val="Casestudytitle"/>
              <w:keepNext w:val="0"/>
            </w:pPr>
            <w:r w:rsidRPr="002A0257">
              <w:t xml:space="preserve">Case </w:t>
            </w:r>
            <w:r w:rsidR="00416E67">
              <w:t>s</w:t>
            </w:r>
            <w:r w:rsidR="00416E67" w:rsidRPr="002A0257">
              <w:t xml:space="preserve">tudy </w:t>
            </w:r>
            <w:r w:rsidRPr="002A0257">
              <w:t>of potential harm</w:t>
            </w:r>
          </w:p>
          <w:p w14:paraId="05426124" w14:textId="0F25DAD2" w:rsidR="002A0257" w:rsidRPr="002A0257" w:rsidRDefault="002A0257" w:rsidP="005D6CFE">
            <w:pPr>
              <w:pStyle w:val="VEOHRCBodytext"/>
              <w:keepNext w:val="0"/>
              <w:spacing w:after="80"/>
              <w:rPr>
                <w:rFonts w:cs="Arial"/>
                <w:color w:val="000000" w:themeColor="text1"/>
                <w:szCs w:val="22"/>
              </w:rPr>
            </w:pPr>
            <w:r w:rsidRPr="002A0257">
              <w:rPr>
                <w:rFonts w:cs="Arial"/>
                <w:color w:val="000000" w:themeColor="text1"/>
                <w:szCs w:val="22"/>
              </w:rPr>
              <w:t xml:space="preserve">A worker at a </w:t>
            </w:r>
            <w:r w:rsidR="00156300">
              <w:rPr>
                <w:rFonts w:cs="Arial"/>
                <w:color w:val="000000" w:themeColor="text1"/>
                <w:szCs w:val="22"/>
              </w:rPr>
              <w:t xml:space="preserve">large </w:t>
            </w:r>
            <w:r w:rsidRPr="002A0257">
              <w:rPr>
                <w:rFonts w:cs="Arial"/>
                <w:color w:val="000000" w:themeColor="text1"/>
                <w:szCs w:val="22"/>
              </w:rPr>
              <w:t xml:space="preserve">regional </w:t>
            </w:r>
            <w:r w:rsidR="00156300">
              <w:rPr>
                <w:rFonts w:cs="Arial"/>
                <w:color w:val="000000" w:themeColor="text1"/>
                <w:szCs w:val="22"/>
              </w:rPr>
              <w:t>private</w:t>
            </w:r>
            <w:r w:rsidR="00156300" w:rsidRPr="002A0257">
              <w:rPr>
                <w:rFonts w:cs="Arial"/>
                <w:color w:val="000000" w:themeColor="text1"/>
                <w:szCs w:val="22"/>
              </w:rPr>
              <w:t xml:space="preserve"> </w:t>
            </w:r>
            <w:r w:rsidRPr="002A0257">
              <w:rPr>
                <w:rFonts w:cs="Arial"/>
                <w:color w:val="000000" w:themeColor="text1"/>
                <w:szCs w:val="22"/>
              </w:rPr>
              <w:t xml:space="preserve">health service posts on Facebook that survivors of sexual abuse are to blame because of their gender and sexual orientation. The post receives many likes and supportive comments from members of the local community. </w:t>
            </w:r>
          </w:p>
          <w:p w14:paraId="5E9557E0" w14:textId="77777777" w:rsidR="002A0257" w:rsidRPr="002A0257" w:rsidRDefault="002A0257" w:rsidP="005D6CFE">
            <w:pPr>
              <w:pStyle w:val="VEOHRCBodytext"/>
              <w:keepNext w:val="0"/>
              <w:spacing w:after="80"/>
              <w:rPr>
                <w:rFonts w:cs="Arial"/>
                <w:color w:val="000000" w:themeColor="text1"/>
                <w:szCs w:val="22"/>
              </w:rPr>
            </w:pPr>
            <w:r w:rsidRPr="002A0257">
              <w:rPr>
                <w:rFonts w:cs="Arial"/>
                <w:color w:val="000000" w:themeColor="text1"/>
                <w:szCs w:val="22"/>
              </w:rPr>
              <w:t>Alvin, a gay man living in that area, sees the post and the support it receives and no longer feels comfortable going to the health service. There are no other health services available in his town, so he has to take time off work so he can travel a long distance to feel comfortable receiving the health services he requires.</w:t>
            </w:r>
          </w:p>
          <w:p w14:paraId="09465ECA" w14:textId="323F4459" w:rsidR="002A0257" w:rsidRPr="002A0257" w:rsidRDefault="002A0257" w:rsidP="00006063">
            <w:pPr>
              <w:pStyle w:val="VEOHRCBodytext"/>
              <w:keepNext w:val="0"/>
            </w:pPr>
            <w:r w:rsidRPr="002A0257">
              <w:rPr>
                <w:rFonts w:cs="Arial"/>
                <w:szCs w:val="22"/>
              </w:rPr>
              <w:t>Even though the views expressed by the worker are inconsistent with the health service’s values, under the Bill the health service may not be able to take any action to have the</w:t>
            </w:r>
            <w:r w:rsidR="002621B7">
              <w:rPr>
                <w:rFonts w:cs="Arial"/>
                <w:szCs w:val="22"/>
              </w:rPr>
              <w:t xml:space="preserve"> statement removed or impose their conduct rules on their employee</w:t>
            </w:r>
            <w:r>
              <w:rPr>
                <w:rFonts w:cs="Arial"/>
                <w:szCs w:val="22"/>
              </w:rPr>
              <w:t>.</w:t>
            </w:r>
          </w:p>
        </w:tc>
      </w:tr>
    </w:tbl>
    <w:p w14:paraId="0AA090A5" w14:textId="210A9D6B" w:rsidR="002A0257" w:rsidRDefault="002A0257" w:rsidP="008E0B9B">
      <w:pPr>
        <w:pStyle w:val="VEOHRCBodytext"/>
      </w:pPr>
    </w:p>
    <w:tbl>
      <w:tblPr>
        <w:tblStyle w:val="TableGrid"/>
        <w:tblW w:w="0" w:type="auto"/>
        <w:tblLook w:val="04A0" w:firstRow="1" w:lastRow="0" w:firstColumn="1" w:lastColumn="0" w:noHBand="0" w:noVBand="1"/>
      </w:tblPr>
      <w:tblGrid>
        <w:gridCol w:w="9628"/>
      </w:tblGrid>
      <w:tr w:rsidR="002A0257" w14:paraId="1A423788" w14:textId="77777777" w:rsidTr="00006063">
        <w:tc>
          <w:tcPr>
            <w:tcW w:w="9628" w:type="dxa"/>
            <w:shd w:val="clear" w:color="auto" w:fill="BDD6EE" w:themeFill="accent1" w:themeFillTint="66"/>
            <w:tcMar>
              <w:top w:w="113" w:type="dxa"/>
              <w:bottom w:w="113" w:type="dxa"/>
            </w:tcMar>
          </w:tcPr>
          <w:p w14:paraId="64326FC7" w14:textId="77777777" w:rsidR="002A0257" w:rsidRPr="002A0257" w:rsidRDefault="002A0257" w:rsidP="00006063">
            <w:pPr>
              <w:pStyle w:val="Casestudytitle"/>
            </w:pPr>
            <w:r w:rsidRPr="002A0257">
              <w:t>Recommendation 2 (restated from our first submission)</w:t>
            </w:r>
          </w:p>
          <w:p w14:paraId="400BA83E" w14:textId="72440F96" w:rsidR="002A0257" w:rsidRPr="002A0257" w:rsidRDefault="002A0257" w:rsidP="008E0B9B">
            <w:pPr>
              <w:pStyle w:val="VEOHRCBodytext"/>
            </w:pPr>
            <w:r w:rsidRPr="002A0257">
              <w:rPr>
                <w:rFonts w:cs="Arial"/>
                <w:szCs w:val="22"/>
              </w:rPr>
              <w:t>The Attorney-General should remove clauses 8(3) and 8(5), dealing with the application of employer conduct rules by businesses with an annual revenue of more than $50 million, from the Religious Discrimination Bill 2019 (Cth)</w:t>
            </w:r>
            <w:r w:rsidR="00416E67">
              <w:rPr>
                <w:rFonts w:cs="Arial"/>
                <w:szCs w:val="22"/>
              </w:rPr>
              <w:t>.</w:t>
            </w:r>
          </w:p>
        </w:tc>
      </w:tr>
    </w:tbl>
    <w:p w14:paraId="43ACB09B" w14:textId="75FF805D" w:rsidR="00B04E6C" w:rsidRDefault="00FC55D7" w:rsidP="00006063">
      <w:pPr>
        <w:pStyle w:val="Heading1"/>
      </w:pPr>
      <w:r w:rsidRPr="00006063">
        <w:rPr>
          <w:b/>
        </w:rPr>
        <w:t>Key Concern</w:t>
      </w:r>
      <w:r w:rsidR="00EC4FCA" w:rsidRPr="00006063">
        <w:rPr>
          <w:b/>
        </w:rPr>
        <w:t xml:space="preserve"> 3</w:t>
      </w:r>
      <w:r w:rsidR="002865A4" w:rsidRPr="00006063">
        <w:rPr>
          <w:b/>
        </w:rPr>
        <w:br/>
      </w:r>
      <w:r w:rsidR="008D2D97" w:rsidRPr="008D2D97">
        <w:t xml:space="preserve">The Bill </w:t>
      </w:r>
      <w:r w:rsidR="008D2D97" w:rsidRPr="00493A0B">
        <w:t>restrict</w:t>
      </w:r>
      <w:r w:rsidR="00C1739D">
        <w:t>s</w:t>
      </w:r>
      <w:r w:rsidR="008D2D97" w:rsidRPr="00493A0B">
        <w:t xml:space="preserve"> the ability of</w:t>
      </w:r>
      <w:r w:rsidR="008D2D97">
        <w:t xml:space="preserve"> qualifying bodies to make</w:t>
      </w:r>
      <w:r w:rsidR="008D2D97" w:rsidRPr="00493A0B">
        <w:t xml:space="preserve"> </w:t>
      </w:r>
      <w:r w:rsidR="008D2D97">
        <w:t>c</w:t>
      </w:r>
      <w:r w:rsidRPr="00493A0B">
        <w:t>onduct rules</w:t>
      </w:r>
    </w:p>
    <w:p w14:paraId="40982F67" w14:textId="46E49CB0" w:rsidR="00B04E6C" w:rsidRPr="00B04E6C" w:rsidRDefault="00B04E6C" w:rsidP="00FC55D7">
      <w:pPr>
        <w:pStyle w:val="VEOHRCBodytext"/>
        <w:keepNext w:val="0"/>
        <w:rPr>
          <w:rFonts w:cs="Arial"/>
          <w:szCs w:val="22"/>
        </w:rPr>
      </w:pPr>
      <w:r w:rsidRPr="00B04E6C">
        <w:rPr>
          <w:rFonts w:cs="Arial"/>
          <w:szCs w:val="22"/>
        </w:rPr>
        <w:t xml:space="preserve">The Bill has introduced a new clause 8(4) which prevents qualifying bodies (i.e. bodies that accredit professionals or tradespeople) from applying conduct rules that would prevent someone </w:t>
      </w:r>
      <w:r w:rsidR="00BA5422" w:rsidRPr="00B04E6C">
        <w:rPr>
          <w:rFonts w:cs="Arial"/>
          <w:szCs w:val="22"/>
        </w:rPr>
        <w:t>in that profession, occupation or trade</w:t>
      </w:r>
      <w:r w:rsidR="00BA5422">
        <w:rPr>
          <w:rFonts w:cs="Arial"/>
          <w:szCs w:val="22"/>
        </w:rPr>
        <w:t xml:space="preserve"> </w:t>
      </w:r>
      <w:r w:rsidRPr="00B04E6C">
        <w:rPr>
          <w:rFonts w:cs="Arial"/>
          <w:szCs w:val="22"/>
        </w:rPr>
        <w:t>from making a statement of belief outside of that person practising their relevant profession, trade or occupation. This is</w:t>
      </w:r>
      <w:r w:rsidR="00EC4FCA">
        <w:rPr>
          <w:rFonts w:cs="Arial"/>
          <w:szCs w:val="22"/>
        </w:rPr>
        <w:t>,</w:t>
      </w:r>
      <w:r w:rsidRPr="00B04E6C">
        <w:rPr>
          <w:rFonts w:cs="Arial"/>
          <w:szCs w:val="22"/>
        </w:rPr>
        <w:t xml:space="preserve"> unless the body can show that compliance with the rule is an essential requirement of the profession, trade or occupation. </w:t>
      </w:r>
    </w:p>
    <w:p w14:paraId="3AD0D89F" w14:textId="4B5BDD89" w:rsidR="00FC55D7" w:rsidRDefault="00FC55D7" w:rsidP="00FC55D7">
      <w:pPr>
        <w:pStyle w:val="VEOHRCBodytext"/>
        <w:keepNext w:val="0"/>
        <w:spacing w:after="80"/>
        <w:rPr>
          <w:rFonts w:cs="Arial"/>
          <w:szCs w:val="22"/>
        </w:rPr>
      </w:pPr>
      <w:r w:rsidRPr="002A0257">
        <w:rPr>
          <w:rFonts w:cs="Arial"/>
          <w:szCs w:val="22"/>
        </w:rPr>
        <w:t>In practice, this means that qualifying bodies</w:t>
      </w:r>
      <w:r w:rsidR="001220C0">
        <w:rPr>
          <w:rFonts w:cs="Arial"/>
          <w:szCs w:val="22"/>
        </w:rPr>
        <w:t>, such as</w:t>
      </w:r>
      <w:r w:rsidR="00415641">
        <w:rPr>
          <w:rFonts w:cs="Arial"/>
          <w:szCs w:val="22"/>
        </w:rPr>
        <w:t xml:space="preserve"> medical boards or legal admission boards</w:t>
      </w:r>
      <w:r w:rsidR="001220C0">
        <w:rPr>
          <w:rFonts w:cs="Arial"/>
          <w:szCs w:val="22"/>
        </w:rPr>
        <w:t>,</w:t>
      </w:r>
      <w:r w:rsidR="001220C0" w:rsidRPr="002A0257">
        <w:rPr>
          <w:rFonts w:cs="Arial"/>
          <w:szCs w:val="22"/>
        </w:rPr>
        <w:t xml:space="preserve"> </w:t>
      </w:r>
      <w:r w:rsidRPr="002A0257">
        <w:rPr>
          <w:rFonts w:cs="Arial"/>
          <w:szCs w:val="22"/>
        </w:rPr>
        <w:t>that are empowered to confer, renew, extend, revoke, vary or withdraw an authorisation or qualification have limited ability to make or apply conduct rules to restrict a person’s expression of views that are religiously</w:t>
      </w:r>
      <w:r w:rsidR="00416E67">
        <w:rPr>
          <w:rFonts w:cs="Arial"/>
          <w:szCs w:val="22"/>
        </w:rPr>
        <w:t xml:space="preserve"> </w:t>
      </w:r>
      <w:r w:rsidRPr="002A0257">
        <w:rPr>
          <w:rFonts w:cs="Arial"/>
          <w:szCs w:val="22"/>
        </w:rPr>
        <w:t>based that may bring the profession into disrepute. This may have the effect of preventing people from pursuing certain professions because they do not consider them to be inclusive of people with their particular attribute, because of previous harmful public statements from members of that profession</w:t>
      </w:r>
      <w:r w:rsidR="001220C0">
        <w:rPr>
          <w:rFonts w:cs="Arial"/>
          <w:szCs w:val="22"/>
        </w:rPr>
        <w:t>.</w:t>
      </w:r>
    </w:p>
    <w:tbl>
      <w:tblPr>
        <w:tblStyle w:val="TableGrid"/>
        <w:tblW w:w="0" w:type="auto"/>
        <w:tblLook w:val="04A0" w:firstRow="1" w:lastRow="0" w:firstColumn="1" w:lastColumn="0" w:noHBand="0" w:noVBand="1"/>
      </w:tblPr>
      <w:tblGrid>
        <w:gridCol w:w="9628"/>
      </w:tblGrid>
      <w:tr w:rsidR="00FC55D7" w14:paraId="6DB542AD" w14:textId="77777777" w:rsidTr="00006063">
        <w:tc>
          <w:tcPr>
            <w:tcW w:w="9628" w:type="dxa"/>
            <w:shd w:val="clear" w:color="auto" w:fill="C5E0B3" w:themeFill="accent6" w:themeFillTint="66"/>
            <w:tcMar>
              <w:top w:w="113" w:type="dxa"/>
              <w:bottom w:w="113" w:type="dxa"/>
            </w:tcMar>
          </w:tcPr>
          <w:p w14:paraId="79131138" w14:textId="237A899B" w:rsidR="00FC55D7" w:rsidRDefault="00FC55D7" w:rsidP="00006063">
            <w:pPr>
              <w:pStyle w:val="Casestudytitle"/>
            </w:pPr>
            <w:r w:rsidRPr="006240CF">
              <w:t xml:space="preserve">Case </w:t>
            </w:r>
            <w:r w:rsidR="00416E67">
              <w:t>s</w:t>
            </w:r>
            <w:r w:rsidR="00416E67" w:rsidRPr="006240CF">
              <w:t xml:space="preserve">tudy </w:t>
            </w:r>
            <w:r w:rsidRPr="006240CF">
              <w:t>of potential harm</w:t>
            </w:r>
          </w:p>
          <w:p w14:paraId="6B8879CB" w14:textId="367F1287" w:rsidR="00FC55D7" w:rsidRPr="00B04E6C" w:rsidRDefault="00B04E6C" w:rsidP="00B04E6C">
            <w:pPr>
              <w:pStyle w:val="VEOHRCBodytext"/>
              <w:keepNext w:val="0"/>
              <w:spacing w:after="80"/>
              <w:rPr>
                <w:b/>
                <w:szCs w:val="22"/>
              </w:rPr>
            </w:pPr>
            <w:r w:rsidRPr="00B04E6C">
              <w:rPr>
                <w:szCs w:val="22"/>
              </w:rPr>
              <w:t>Gavin is a partner in a law firm. After work, he makes comments on social media that, in his opinion, a female’s place is in the home, raising children and serving a man like the Bible says.</w:t>
            </w:r>
            <w:r>
              <w:rPr>
                <w:szCs w:val="22"/>
              </w:rPr>
              <w:t xml:space="preserve"> </w:t>
            </w:r>
            <w:r w:rsidRPr="00B04E6C">
              <w:rPr>
                <w:szCs w:val="22"/>
              </w:rPr>
              <w:t xml:space="preserve">Several female lawyers make complaints about Gavin’s statements to the Legal Services Board. The Board is unsure whether it can impose its legal professional rule that a solicitor should not bring the profession into disrepute, or take disciplinary action </w:t>
            </w:r>
            <w:r w:rsidR="00416E67">
              <w:rPr>
                <w:szCs w:val="22"/>
              </w:rPr>
              <w:t>–</w:t>
            </w:r>
            <w:r w:rsidR="00416E67" w:rsidRPr="00B04E6C">
              <w:rPr>
                <w:szCs w:val="22"/>
              </w:rPr>
              <w:t xml:space="preserve"> </w:t>
            </w:r>
            <w:r w:rsidRPr="00B04E6C">
              <w:rPr>
                <w:szCs w:val="22"/>
              </w:rPr>
              <w:t>the</w:t>
            </w:r>
            <w:r w:rsidR="00416E67">
              <w:rPr>
                <w:szCs w:val="22"/>
              </w:rPr>
              <w:t xml:space="preserve"> Board</w:t>
            </w:r>
            <w:r w:rsidRPr="00B04E6C">
              <w:rPr>
                <w:szCs w:val="22"/>
              </w:rPr>
              <w:t xml:space="preserve"> </w:t>
            </w:r>
            <w:r w:rsidR="00416E67">
              <w:rPr>
                <w:szCs w:val="22"/>
              </w:rPr>
              <w:t>is</w:t>
            </w:r>
            <w:r w:rsidR="00416E67" w:rsidRPr="00B04E6C">
              <w:rPr>
                <w:szCs w:val="22"/>
              </w:rPr>
              <w:t xml:space="preserve"> </w:t>
            </w:r>
            <w:r w:rsidRPr="00B04E6C">
              <w:rPr>
                <w:szCs w:val="22"/>
              </w:rPr>
              <w:t>concerned that the comments may be considered ‘statements of belief’ under the Bill</w:t>
            </w:r>
            <w:r w:rsidR="00416E67">
              <w:rPr>
                <w:szCs w:val="22"/>
              </w:rPr>
              <w:t>,</w:t>
            </w:r>
            <w:r w:rsidRPr="00B04E6C">
              <w:rPr>
                <w:szCs w:val="22"/>
              </w:rPr>
              <w:t xml:space="preserve"> given they were made in Gavin’s personal capacity and arguably do not relate to an essential requirement of the legal profession</w:t>
            </w:r>
            <w:r w:rsidRPr="00881699">
              <w:rPr>
                <w:szCs w:val="22"/>
              </w:rPr>
              <w:t xml:space="preserve">. The Board is not clear on what action it </w:t>
            </w:r>
            <w:r w:rsidR="00BA5422">
              <w:rPr>
                <w:szCs w:val="22"/>
              </w:rPr>
              <w:t>can</w:t>
            </w:r>
            <w:r w:rsidRPr="00881699">
              <w:rPr>
                <w:szCs w:val="22"/>
              </w:rPr>
              <w:t xml:space="preserve"> take.</w:t>
            </w:r>
          </w:p>
        </w:tc>
      </w:tr>
    </w:tbl>
    <w:p w14:paraId="5DCBD045" w14:textId="77777777" w:rsidR="00FC55D7" w:rsidRDefault="00FC55D7" w:rsidP="00FC55D7">
      <w:pPr>
        <w:pStyle w:val="VEOHRCBodytext"/>
        <w:keepNext w:val="0"/>
        <w:spacing w:after="80"/>
        <w:rPr>
          <w:rFonts w:cs="Arial"/>
          <w:szCs w:val="22"/>
        </w:rPr>
      </w:pPr>
    </w:p>
    <w:tbl>
      <w:tblPr>
        <w:tblStyle w:val="TableGrid"/>
        <w:tblW w:w="0" w:type="auto"/>
        <w:tblLook w:val="04A0" w:firstRow="1" w:lastRow="0" w:firstColumn="1" w:lastColumn="0" w:noHBand="0" w:noVBand="1"/>
      </w:tblPr>
      <w:tblGrid>
        <w:gridCol w:w="9628"/>
      </w:tblGrid>
      <w:tr w:rsidR="00FC55D7" w14:paraId="07091342" w14:textId="77777777" w:rsidTr="00006063">
        <w:tc>
          <w:tcPr>
            <w:tcW w:w="9628" w:type="dxa"/>
            <w:shd w:val="clear" w:color="auto" w:fill="BDD6EE" w:themeFill="accent1" w:themeFillTint="66"/>
            <w:tcMar>
              <w:top w:w="113" w:type="dxa"/>
              <w:bottom w:w="113" w:type="dxa"/>
            </w:tcMar>
          </w:tcPr>
          <w:p w14:paraId="6F01D6C8" w14:textId="0827FC63" w:rsidR="00FC55D7" w:rsidRPr="001220C0" w:rsidRDefault="00FC55D7" w:rsidP="00006063">
            <w:pPr>
              <w:pStyle w:val="Casestudytitle"/>
            </w:pPr>
            <w:r w:rsidRPr="001220C0">
              <w:t xml:space="preserve">Recommendation </w:t>
            </w:r>
            <w:r w:rsidR="001220C0" w:rsidRPr="001220C0">
              <w:t>3</w:t>
            </w:r>
            <w:r w:rsidRPr="001220C0">
              <w:t xml:space="preserve"> (new)</w:t>
            </w:r>
          </w:p>
          <w:p w14:paraId="3499B031" w14:textId="77777777" w:rsidR="00FC55D7" w:rsidRDefault="00FC55D7" w:rsidP="008E0B9B">
            <w:pPr>
              <w:pStyle w:val="VEOHRCBodytext"/>
            </w:pPr>
            <w:r w:rsidRPr="002A0257">
              <w:rPr>
                <w:rFonts w:cs="Arial"/>
                <w:szCs w:val="22"/>
              </w:rPr>
              <w:t>The Attorney-General should remove clause 8(4), dealing with the application of qualifying body conduct rules, from the</w:t>
            </w:r>
            <w:r w:rsidRPr="002A0257">
              <w:rPr>
                <w:rFonts w:cs="Arial"/>
                <w:i/>
                <w:szCs w:val="22"/>
              </w:rPr>
              <w:t xml:space="preserve"> Religious Discrimination Bill 2019 (Cth).</w:t>
            </w:r>
          </w:p>
        </w:tc>
      </w:tr>
    </w:tbl>
    <w:p w14:paraId="3C3441A5" w14:textId="54B11522" w:rsidR="00512E9E" w:rsidRPr="000265A8" w:rsidRDefault="00512E9E" w:rsidP="00006063">
      <w:pPr>
        <w:pStyle w:val="Heading1"/>
      </w:pPr>
      <w:r w:rsidRPr="00006063">
        <w:rPr>
          <w:b/>
        </w:rPr>
        <w:t>Key Concern</w:t>
      </w:r>
      <w:r w:rsidR="00BA5422" w:rsidRPr="00006063">
        <w:rPr>
          <w:b/>
        </w:rPr>
        <w:t xml:space="preserve"> 4</w:t>
      </w:r>
      <w:r w:rsidR="002865A4" w:rsidRPr="00006063">
        <w:rPr>
          <w:b/>
          <w:iCs/>
        </w:rPr>
        <w:br/>
      </w:r>
      <w:r w:rsidRPr="00493A0B">
        <w:t xml:space="preserve">Additional </w:t>
      </w:r>
      <w:r w:rsidR="00620386">
        <w:t>limits on the i</w:t>
      </w:r>
      <w:r w:rsidRPr="00493A0B">
        <w:t>nherent requirements</w:t>
      </w:r>
      <w:r w:rsidRPr="000265A8">
        <w:t xml:space="preserve"> </w:t>
      </w:r>
      <w:r w:rsidR="00620386">
        <w:t xml:space="preserve">test </w:t>
      </w:r>
      <w:r w:rsidRPr="000265A8">
        <w:t>are unnecessary</w:t>
      </w:r>
    </w:p>
    <w:p w14:paraId="5A919194" w14:textId="66262230" w:rsidR="00F87F8B" w:rsidRPr="00F87F8B" w:rsidRDefault="00B04E6C" w:rsidP="00F87F8B">
      <w:pPr>
        <w:pStyle w:val="VEOHRCHeading2"/>
        <w:spacing w:before="0" w:line="240" w:lineRule="auto"/>
        <w:contextualSpacing/>
        <w:rPr>
          <w:rFonts w:cs="Arial"/>
          <w:b w:val="0"/>
          <w:bCs w:val="0"/>
          <w:iCs w:val="0"/>
          <w:sz w:val="22"/>
          <w:szCs w:val="22"/>
        </w:rPr>
      </w:pPr>
      <w:r w:rsidRPr="00F87F8B">
        <w:rPr>
          <w:rFonts w:cs="Arial"/>
          <w:b w:val="0"/>
          <w:bCs w:val="0"/>
          <w:iCs w:val="0"/>
          <w:sz w:val="22"/>
          <w:szCs w:val="22"/>
        </w:rPr>
        <w:t>The Bill</w:t>
      </w:r>
      <w:r w:rsidR="00C1739D" w:rsidRPr="00F87F8B">
        <w:rPr>
          <w:rFonts w:cs="Arial"/>
          <w:b w:val="0"/>
          <w:bCs w:val="0"/>
          <w:iCs w:val="0"/>
          <w:sz w:val="22"/>
          <w:szCs w:val="22"/>
        </w:rPr>
        <w:t xml:space="preserve"> continues to</w:t>
      </w:r>
      <w:r w:rsidRPr="00F87F8B">
        <w:rPr>
          <w:rFonts w:cs="Arial"/>
          <w:b w:val="0"/>
          <w:bCs w:val="0"/>
          <w:iCs w:val="0"/>
          <w:sz w:val="22"/>
          <w:szCs w:val="22"/>
        </w:rPr>
        <w:t xml:space="preserve"> prevent employers from deciding whether they can require compliance with employer and health</w:t>
      </w:r>
      <w:r w:rsidR="00432FE5" w:rsidRPr="00F87F8B">
        <w:rPr>
          <w:rFonts w:cs="Arial"/>
          <w:b w:val="0"/>
          <w:bCs w:val="0"/>
          <w:iCs w:val="0"/>
          <w:sz w:val="22"/>
          <w:szCs w:val="22"/>
        </w:rPr>
        <w:t xml:space="preserve"> </w:t>
      </w:r>
      <w:r w:rsidR="00620386" w:rsidRPr="00F87F8B">
        <w:rPr>
          <w:rFonts w:cs="Arial"/>
          <w:b w:val="0"/>
          <w:bCs w:val="0"/>
          <w:iCs w:val="0"/>
          <w:sz w:val="22"/>
          <w:szCs w:val="22"/>
        </w:rPr>
        <w:t xml:space="preserve">practitioner </w:t>
      </w:r>
      <w:r w:rsidRPr="00F87F8B">
        <w:rPr>
          <w:rFonts w:cs="Arial"/>
          <w:b w:val="0"/>
          <w:bCs w:val="0"/>
          <w:iCs w:val="0"/>
          <w:sz w:val="22"/>
          <w:szCs w:val="22"/>
        </w:rPr>
        <w:t>conduct rules</w:t>
      </w:r>
      <w:r w:rsidR="009645C8" w:rsidRPr="00F87F8B">
        <w:rPr>
          <w:rFonts w:cs="Arial"/>
          <w:b w:val="0"/>
          <w:bCs w:val="0"/>
          <w:iCs w:val="0"/>
          <w:sz w:val="22"/>
          <w:szCs w:val="22"/>
        </w:rPr>
        <w:t xml:space="preserve"> </w:t>
      </w:r>
      <w:r w:rsidRPr="00F87F8B">
        <w:rPr>
          <w:rFonts w:cs="Arial"/>
          <w:b w:val="0"/>
          <w:bCs w:val="0"/>
          <w:iCs w:val="0"/>
          <w:sz w:val="22"/>
          <w:szCs w:val="22"/>
        </w:rPr>
        <w:t xml:space="preserve">as inherent requirements of the job. </w:t>
      </w:r>
    </w:p>
    <w:p w14:paraId="0C901E1F" w14:textId="2BA21D7D" w:rsidR="003C4CFB" w:rsidRPr="00F87F8B" w:rsidRDefault="00C1739D" w:rsidP="00F87F8B">
      <w:pPr>
        <w:pStyle w:val="VEOHRCHeading2"/>
        <w:spacing w:before="0" w:line="240" w:lineRule="auto"/>
        <w:contextualSpacing/>
        <w:rPr>
          <w:b w:val="0"/>
          <w:iCs w:val="0"/>
          <w:sz w:val="22"/>
          <w:szCs w:val="22"/>
        </w:rPr>
      </w:pPr>
      <w:r w:rsidRPr="001D0D2A">
        <w:rPr>
          <w:rFonts w:cs="Arial"/>
          <w:b w:val="0"/>
          <w:bCs w:val="0"/>
          <w:iCs w:val="0"/>
          <w:sz w:val="22"/>
          <w:szCs w:val="22"/>
        </w:rPr>
        <w:t>Clause</w:t>
      </w:r>
      <w:r w:rsidRPr="003274BC">
        <w:rPr>
          <w:rFonts w:cs="Arial"/>
          <w:b w:val="0"/>
          <w:bCs w:val="0"/>
          <w:iCs w:val="0"/>
          <w:sz w:val="22"/>
          <w:szCs w:val="22"/>
        </w:rPr>
        <w:t xml:space="preserve"> 3</w:t>
      </w:r>
      <w:r w:rsidR="003C4CFB" w:rsidRPr="003274BC">
        <w:rPr>
          <w:rFonts w:cs="Arial"/>
          <w:b w:val="0"/>
          <w:bCs w:val="0"/>
          <w:iCs w:val="0"/>
          <w:sz w:val="22"/>
          <w:szCs w:val="22"/>
        </w:rPr>
        <w:t>2</w:t>
      </w:r>
      <w:r w:rsidRPr="003274BC">
        <w:rPr>
          <w:rFonts w:cs="Arial"/>
          <w:b w:val="0"/>
          <w:bCs w:val="0"/>
          <w:iCs w:val="0"/>
          <w:sz w:val="22"/>
          <w:szCs w:val="22"/>
        </w:rPr>
        <w:t>(2)-(5) set out exceptions that permit discrimination on the grounds of religious belief or activity in employment where the person is unable to carry out the inherent requirements of the particular job because of the person’s religious belief of activity. However, clause 32(6) and (7) of the exposure draft include two additional unnecessary limits on the inherent requirement test by preventing certain employer conduct rules from being considered inherent requirements of the job. Clause 3</w:t>
      </w:r>
      <w:r w:rsidR="003C4CFB" w:rsidRPr="003274BC">
        <w:rPr>
          <w:rFonts w:cs="Arial"/>
          <w:b w:val="0"/>
          <w:bCs w:val="0"/>
          <w:iCs w:val="0"/>
          <w:sz w:val="22"/>
          <w:szCs w:val="22"/>
        </w:rPr>
        <w:t>2</w:t>
      </w:r>
      <w:r w:rsidRPr="003274BC">
        <w:rPr>
          <w:rFonts w:cs="Arial"/>
          <w:b w:val="0"/>
          <w:bCs w:val="0"/>
          <w:iCs w:val="0"/>
          <w:sz w:val="22"/>
          <w:szCs w:val="22"/>
        </w:rPr>
        <w:t>(6) prevents rules from being inherent requirements of the job if it would have the effect of restricting or preventing an employee from making a ‘statement of belief’ outside of work hours and is not reasonable for the purposes of clause 8. Similarly, clause 32(7) prevents certain health practitioner conduct rules from being an inherent requirement of the job if they involve a condition, requirement of practice that would have the effect of restricting or preventing a health practitioner from conscientiously objecting to providing a health service because of their religious belief of activity. In other words, conduct rules that are not deemed ‘reasonable’ under clause 8 will not be considered inherent requirements of a job. In those cases, they cannot be the basis for discrimination by employers. These additional limitations are unconventional and presupposes situations where it is essential to a particular job that employees comply with codes of conduct that may apply outside of work hours, or in relation to conscientious objection to the provision of essential health services. The conventional limitations on inherent requirements set out in clause 32(2)-(5) and in case law are sufficient.</w:t>
      </w:r>
    </w:p>
    <w:p w14:paraId="6062BFF6" w14:textId="77777777" w:rsidR="00512E9E" w:rsidRPr="00C16FBF" w:rsidRDefault="00512E9E" w:rsidP="00F87F8B">
      <w:pPr>
        <w:pStyle w:val="VEOHRCHeading2"/>
      </w:pPr>
      <w:r w:rsidRPr="00C16FBF">
        <w:t xml:space="preserve">What’s changed in the second exposure draft? </w:t>
      </w:r>
    </w:p>
    <w:p w14:paraId="39A428C5" w14:textId="05521B55" w:rsidR="008530F6" w:rsidRDefault="00512E9E" w:rsidP="00A82495">
      <w:pPr>
        <w:pStyle w:val="VEOHRCHeading2"/>
        <w:keepNext w:val="0"/>
        <w:spacing w:before="0" w:line="240" w:lineRule="auto"/>
        <w:contextualSpacing/>
        <w:rPr>
          <w:rFonts w:cs="Arial"/>
          <w:b w:val="0"/>
          <w:bCs w:val="0"/>
          <w:iCs w:val="0"/>
          <w:sz w:val="22"/>
          <w:szCs w:val="22"/>
        </w:rPr>
      </w:pPr>
      <w:r w:rsidRPr="00C16FBF">
        <w:rPr>
          <w:rFonts w:cs="Arial"/>
          <w:b w:val="0"/>
          <w:bCs w:val="0"/>
          <w:iCs w:val="0"/>
          <w:sz w:val="22"/>
          <w:szCs w:val="22"/>
        </w:rPr>
        <w:t>Clause 32(6) has been amended to refer to employer conduct rules that would have the effect of restricting an employee from making a statement of belief other than ‘in the course of the</w:t>
      </w:r>
      <w:r w:rsidR="003C4CFB">
        <w:rPr>
          <w:rFonts w:cs="Arial"/>
          <w:b w:val="0"/>
          <w:bCs w:val="0"/>
          <w:iCs w:val="0"/>
          <w:sz w:val="22"/>
          <w:szCs w:val="22"/>
        </w:rPr>
        <w:t xml:space="preserve"> </w:t>
      </w:r>
      <w:r w:rsidRPr="00C16FBF">
        <w:rPr>
          <w:rFonts w:cs="Arial"/>
          <w:b w:val="0"/>
          <w:bCs w:val="0"/>
          <w:iCs w:val="0"/>
          <w:sz w:val="22"/>
          <w:szCs w:val="22"/>
        </w:rPr>
        <w:t>employee’s employment’ as opposed to ‘when the employee is performing work on behalf of the employer’.</w:t>
      </w:r>
    </w:p>
    <w:p w14:paraId="2EC5F852" w14:textId="44D1A498" w:rsidR="001510B7" w:rsidRPr="00627C0B" w:rsidRDefault="001510B7" w:rsidP="00A82495">
      <w:pPr>
        <w:pStyle w:val="Heading2"/>
        <w:keepNext w:val="0"/>
      </w:pPr>
      <w:r w:rsidRPr="00C16FBF">
        <w:t xml:space="preserve">Do the changes address our concerns? </w:t>
      </w:r>
    </w:p>
    <w:p w14:paraId="3D12023B" w14:textId="056F191D" w:rsidR="002865A4" w:rsidRPr="00006063" w:rsidRDefault="002865A4" w:rsidP="00A82495">
      <w:pPr>
        <w:pStyle w:val="VEOHRCHeading2"/>
        <w:keepNext w:val="0"/>
        <w:spacing w:before="80" w:after="120" w:line="240" w:lineRule="auto"/>
        <w:rPr>
          <w:rFonts w:cs="Arial"/>
          <w:b w:val="0"/>
          <w:color w:val="FF9933"/>
          <w:sz w:val="22"/>
          <w:szCs w:val="22"/>
        </w:rPr>
      </w:pPr>
      <w:r w:rsidRPr="00006063">
        <w:rPr>
          <w:rFonts w:cs="Arial"/>
          <w:b w:val="0"/>
          <w:color w:val="FF9933"/>
          <w:sz w:val="22"/>
          <w:szCs w:val="22"/>
        </w:rPr>
        <w:sym w:font="Wingdings 2" w:char="F098"/>
      </w:r>
      <w:r w:rsidRPr="00006063">
        <w:rPr>
          <w:rFonts w:cs="Arial"/>
          <w:b w:val="0"/>
          <w:color w:val="FF9933"/>
          <w:sz w:val="22"/>
          <w:szCs w:val="22"/>
        </w:rPr>
        <w:t xml:space="preserve"> </w:t>
      </w:r>
      <w:r w:rsidR="00B04E6C" w:rsidRPr="00006063">
        <w:rPr>
          <w:rFonts w:cs="Arial"/>
          <w:b w:val="0"/>
          <w:color w:val="FF9933"/>
          <w:sz w:val="22"/>
          <w:szCs w:val="22"/>
        </w:rPr>
        <w:t xml:space="preserve">The </w:t>
      </w:r>
      <w:r w:rsidR="0051266C" w:rsidRPr="00006063">
        <w:rPr>
          <w:rFonts w:cs="Arial"/>
          <w:b w:val="0"/>
          <w:color w:val="FF9933"/>
          <w:sz w:val="22"/>
          <w:szCs w:val="22"/>
        </w:rPr>
        <w:t xml:space="preserve">change to </w:t>
      </w:r>
      <w:r w:rsidR="00B04E6C" w:rsidRPr="00006063">
        <w:rPr>
          <w:rFonts w:cs="Arial"/>
          <w:b w:val="0"/>
          <w:color w:val="FF9933"/>
          <w:sz w:val="22"/>
          <w:szCs w:val="22"/>
        </w:rPr>
        <w:t>clause 32(6)</w:t>
      </w:r>
      <w:r w:rsidR="00B04E6C" w:rsidRPr="00006063">
        <w:rPr>
          <w:rStyle w:val="EndnoteReference"/>
          <w:rFonts w:cs="Arial"/>
          <w:b w:val="0"/>
          <w:color w:val="FF9933"/>
          <w:sz w:val="22"/>
          <w:szCs w:val="22"/>
        </w:rPr>
        <w:endnoteReference w:id="8"/>
      </w:r>
      <w:r w:rsidR="00B04E6C" w:rsidRPr="00006063">
        <w:rPr>
          <w:rFonts w:cs="Arial"/>
          <w:b w:val="0"/>
          <w:color w:val="FF9933"/>
          <w:sz w:val="22"/>
          <w:szCs w:val="22"/>
        </w:rPr>
        <w:t xml:space="preserve"> </w:t>
      </w:r>
      <w:r w:rsidR="0051266C" w:rsidRPr="00006063">
        <w:rPr>
          <w:rFonts w:cs="Arial"/>
          <w:b w:val="0"/>
          <w:color w:val="FF9933"/>
          <w:sz w:val="22"/>
          <w:szCs w:val="22"/>
        </w:rPr>
        <w:t>do</w:t>
      </w:r>
      <w:r w:rsidR="00DF1DF2" w:rsidRPr="00006063">
        <w:rPr>
          <w:rFonts w:cs="Arial"/>
          <w:b w:val="0"/>
          <w:color w:val="FF9933"/>
          <w:sz w:val="22"/>
          <w:szCs w:val="22"/>
        </w:rPr>
        <w:t>es</w:t>
      </w:r>
      <w:r w:rsidR="0051266C" w:rsidRPr="00006063">
        <w:rPr>
          <w:rFonts w:cs="Arial"/>
          <w:b w:val="0"/>
          <w:color w:val="FF9933"/>
          <w:sz w:val="22"/>
          <w:szCs w:val="22"/>
        </w:rPr>
        <w:t xml:space="preserve"> not address our concerns. </w:t>
      </w:r>
    </w:p>
    <w:p w14:paraId="255BFE11" w14:textId="2EFDC0DF" w:rsidR="008530F6" w:rsidRDefault="0051266C" w:rsidP="00A82495">
      <w:pPr>
        <w:pStyle w:val="VEOHRCHeading2"/>
        <w:keepNext w:val="0"/>
        <w:spacing w:before="80" w:after="120" w:line="240" w:lineRule="auto"/>
        <w:rPr>
          <w:rFonts w:cs="Arial"/>
          <w:b w:val="0"/>
          <w:sz w:val="22"/>
          <w:szCs w:val="22"/>
        </w:rPr>
      </w:pPr>
      <w:r>
        <w:rPr>
          <w:rFonts w:cs="Arial"/>
          <w:b w:val="0"/>
          <w:sz w:val="22"/>
          <w:szCs w:val="22"/>
        </w:rPr>
        <w:t xml:space="preserve">Clauses 32(6) and 32(7) still </w:t>
      </w:r>
      <w:r w:rsidR="00B04E6C" w:rsidRPr="0051266C">
        <w:rPr>
          <w:rFonts w:cs="Arial"/>
          <w:b w:val="0"/>
          <w:sz w:val="22"/>
          <w:szCs w:val="22"/>
        </w:rPr>
        <w:t xml:space="preserve">impose unnecessary limits </w:t>
      </w:r>
      <w:r w:rsidR="00B04E6C" w:rsidRPr="0051266C">
        <w:rPr>
          <w:b w:val="0"/>
          <w:sz w:val="22"/>
          <w:szCs w:val="22"/>
        </w:rPr>
        <w:t>on the inherent requirement test set out in clauses 32(2</w:t>
      </w:r>
      <w:r w:rsidR="00416E67" w:rsidRPr="0051266C">
        <w:rPr>
          <w:b w:val="0"/>
          <w:sz w:val="22"/>
          <w:szCs w:val="22"/>
        </w:rPr>
        <w:t>)</w:t>
      </w:r>
      <w:r w:rsidR="00416E67">
        <w:rPr>
          <w:b w:val="0"/>
          <w:sz w:val="22"/>
          <w:szCs w:val="22"/>
        </w:rPr>
        <w:t>–</w:t>
      </w:r>
      <w:r w:rsidR="00B04E6C" w:rsidRPr="0051266C">
        <w:rPr>
          <w:b w:val="0"/>
          <w:sz w:val="22"/>
          <w:szCs w:val="22"/>
        </w:rPr>
        <w:t>32(5) by preventing certain employer and health practitioner conduct rules from being considered inherent requirements of the job</w:t>
      </w:r>
      <w:r w:rsidR="00416E67">
        <w:rPr>
          <w:b w:val="0"/>
          <w:sz w:val="22"/>
          <w:szCs w:val="22"/>
        </w:rPr>
        <w:t>,</w:t>
      </w:r>
      <w:r w:rsidR="00B04E6C" w:rsidRPr="0051266C">
        <w:rPr>
          <w:b w:val="0"/>
          <w:sz w:val="22"/>
          <w:szCs w:val="22"/>
        </w:rPr>
        <w:t xml:space="preserve"> as </w:t>
      </w:r>
      <w:r w:rsidR="00B04E6C" w:rsidRPr="0051266C">
        <w:rPr>
          <w:rFonts w:cs="Arial"/>
          <w:b w:val="0"/>
          <w:sz w:val="22"/>
          <w:szCs w:val="22"/>
        </w:rPr>
        <w:t>stated in our first submission.</w:t>
      </w:r>
      <w:r w:rsidR="00B04E6C" w:rsidRPr="0051266C">
        <w:rPr>
          <w:rStyle w:val="EndnoteReference"/>
          <w:rFonts w:cs="Arial"/>
          <w:b w:val="0"/>
          <w:sz w:val="22"/>
          <w:szCs w:val="22"/>
        </w:rPr>
        <w:endnoteReference w:id="9"/>
      </w:r>
    </w:p>
    <w:tbl>
      <w:tblPr>
        <w:tblStyle w:val="TableGrid"/>
        <w:tblW w:w="0" w:type="auto"/>
        <w:tblLook w:val="04A0" w:firstRow="1" w:lastRow="0" w:firstColumn="1" w:lastColumn="0" w:noHBand="0" w:noVBand="1"/>
      </w:tblPr>
      <w:tblGrid>
        <w:gridCol w:w="9628"/>
      </w:tblGrid>
      <w:tr w:rsidR="00512E9E" w14:paraId="2048F064" w14:textId="77777777" w:rsidTr="00006063">
        <w:tc>
          <w:tcPr>
            <w:tcW w:w="9628" w:type="dxa"/>
            <w:shd w:val="clear" w:color="auto" w:fill="C5E0B3" w:themeFill="accent6" w:themeFillTint="66"/>
            <w:tcMar>
              <w:top w:w="113" w:type="dxa"/>
              <w:bottom w:w="113" w:type="dxa"/>
            </w:tcMar>
          </w:tcPr>
          <w:p w14:paraId="74464480" w14:textId="745034D4" w:rsidR="00512E9E" w:rsidRPr="00BD0986" w:rsidRDefault="00512E9E" w:rsidP="00A82495">
            <w:pPr>
              <w:pStyle w:val="Casestudytitle"/>
              <w:keepNext w:val="0"/>
            </w:pPr>
            <w:r w:rsidRPr="00BD0986">
              <w:t xml:space="preserve">Case </w:t>
            </w:r>
            <w:r w:rsidR="00416E67">
              <w:t>study</w:t>
            </w:r>
            <w:r w:rsidR="00416E67" w:rsidRPr="00BD0986">
              <w:t xml:space="preserve"> </w:t>
            </w:r>
            <w:r w:rsidRPr="00BD0986">
              <w:t>of potential harm</w:t>
            </w:r>
          </w:p>
          <w:p w14:paraId="563A4836" w14:textId="303CDBE4" w:rsidR="009324E2" w:rsidRPr="009324E2" w:rsidRDefault="00512E9E" w:rsidP="00A82495">
            <w:pPr>
              <w:pStyle w:val="VEOHRCHeading2"/>
              <w:keepNext w:val="0"/>
              <w:spacing w:before="80" w:after="120" w:line="240" w:lineRule="auto"/>
              <w:rPr>
                <w:rFonts w:eastAsia="Times New Roman" w:cs="Arial"/>
                <w:b w:val="0"/>
                <w:color w:val="000000" w:themeColor="text1"/>
                <w:sz w:val="22"/>
                <w:szCs w:val="22"/>
              </w:rPr>
            </w:pPr>
            <w:r w:rsidRPr="009324E2">
              <w:rPr>
                <w:rFonts w:cs="Arial"/>
                <w:b w:val="0"/>
                <w:color w:val="000000" w:themeColor="text1"/>
                <w:sz w:val="22"/>
                <w:szCs w:val="22"/>
              </w:rPr>
              <w:t xml:space="preserve">Khalil is a trans man and works for a large employer. The employer’s code of conduct requires that all staff should be respectful towards one another and that harassment and bullying will not be tolerated. After work one day, </w:t>
            </w:r>
            <w:r w:rsidRPr="009324E2">
              <w:rPr>
                <w:rFonts w:eastAsia="Times New Roman" w:cs="Arial"/>
                <w:b w:val="0"/>
                <w:color w:val="000000" w:themeColor="text1"/>
                <w:sz w:val="22"/>
                <w:szCs w:val="22"/>
              </w:rPr>
              <w:t xml:space="preserve">one of Khalil’s colleagues’ posts on Twitter that God created men to be men and women to be women and that people who transition from one sex to another are against God’s will. Khalil sees the post and makes a complaint to the Head of People and Culture the following day. </w:t>
            </w:r>
          </w:p>
          <w:p w14:paraId="032506C2" w14:textId="7EE970BC" w:rsidR="009324E2" w:rsidRDefault="00512E9E" w:rsidP="00A82495">
            <w:pPr>
              <w:pStyle w:val="VEOHRCHeading2"/>
              <w:keepNext w:val="0"/>
              <w:spacing w:before="80" w:after="120" w:line="240" w:lineRule="auto"/>
              <w:rPr>
                <w:rFonts w:eastAsia="Times New Roman" w:cs="Arial"/>
                <w:b w:val="0"/>
                <w:color w:val="000000" w:themeColor="text1"/>
                <w:sz w:val="22"/>
                <w:szCs w:val="22"/>
              </w:rPr>
            </w:pPr>
            <w:r w:rsidRPr="009324E2">
              <w:rPr>
                <w:rFonts w:cs="Arial"/>
                <w:b w:val="0"/>
                <w:color w:val="000000" w:themeColor="text1"/>
                <w:sz w:val="22"/>
                <w:szCs w:val="22"/>
              </w:rPr>
              <w:t>The Head of People and Culture wants to send an email to the staff member confirming that upholding this aspect of the code of conduct is a core part of their job and that social media posts that are not respectful could be viewed as harassment and bullying to other employees are unacceptable. The Head of People and Culture is not sure whether they can send the email. On one hand</w:t>
            </w:r>
            <w:r w:rsidR="00416E67">
              <w:rPr>
                <w:rFonts w:cs="Arial"/>
                <w:b w:val="0"/>
                <w:color w:val="000000" w:themeColor="text1"/>
                <w:sz w:val="22"/>
                <w:szCs w:val="22"/>
              </w:rPr>
              <w:t>,</w:t>
            </w:r>
            <w:r w:rsidRPr="009324E2">
              <w:rPr>
                <w:rFonts w:cs="Arial"/>
                <w:b w:val="0"/>
                <w:color w:val="000000" w:themeColor="text1"/>
                <w:sz w:val="22"/>
                <w:szCs w:val="22"/>
              </w:rPr>
              <w:t xml:space="preserve"> they have an obligation under occupational health laws to ensure that the workplace is safe and free from bullying and an obligation to ensure that the employer conduct rules are complied with. On the other hand, they are not sure if the Bill would prevent this aspect of the code of conduct from being an inherent requirement of the job, </w:t>
            </w:r>
            <w:r w:rsidRPr="009324E2">
              <w:rPr>
                <w:rFonts w:eastAsia="Times New Roman" w:cs="Arial"/>
                <w:b w:val="0"/>
                <w:color w:val="000000" w:themeColor="text1"/>
                <w:sz w:val="22"/>
                <w:szCs w:val="22"/>
              </w:rPr>
              <w:t xml:space="preserve">as complying with it would restrict the employee from making statements outside of work hours. </w:t>
            </w:r>
          </w:p>
          <w:p w14:paraId="46BEC99A" w14:textId="6809F18E" w:rsidR="00512E9E" w:rsidRPr="00817CC6" w:rsidRDefault="0051266C" w:rsidP="00A82495">
            <w:pPr>
              <w:pStyle w:val="VEOHRCHeading2"/>
              <w:keepNext w:val="0"/>
              <w:spacing w:before="80" w:after="120" w:line="240" w:lineRule="auto"/>
              <w:rPr>
                <w:rFonts w:eastAsia="Times New Roman" w:cs="Arial"/>
                <w:b w:val="0"/>
                <w:color w:val="000000" w:themeColor="text1"/>
                <w:sz w:val="22"/>
                <w:szCs w:val="22"/>
              </w:rPr>
            </w:pPr>
            <w:r w:rsidRPr="009324E2">
              <w:rPr>
                <w:rFonts w:eastAsia="Times New Roman" w:cs="Arial"/>
                <w:b w:val="0"/>
                <w:color w:val="000000" w:themeColor="text1"/>
                <w:sz w:val="22"/>
                <w:szCs w:val="22"/>
              </w:rPr>
              <w:t>The provision may have the effect of creating ambiguity leading to people being less likely to call out certain conduct, even if it is clear that the conduct is not in line with the relevant code of conduct. T</w:t>
            </w:r>
            <w:r w:rsidRPr="009324E2">
              <w:rPr>
                <w:rFonts w:cs="Arial"/>
                <w:b w:val="0"/>
                <w:color w:val="000000" w:themeColor="text1"/>
                <w:sz w:val="22"/>
                <w:szCs w:val="22"/>
              </w:rPr>
              <w:t xml:space="preserve">he Head of People and Culture decides not to send the email. </w:t>
            </w:r>
            <w:r w:rsidR="001B6A05">
              <w:rPr>
                <w:rFonts w:cs="Arial"/>
                <w:b w:val="0"/>
                <w:color w:val="000000" w:themeColor="text1"/>
                <w:sz w:val="22"/>
                <w:szCs w:val="22"/>
              </w:rPr>
              <w:t xml:space="preserve">Also, </w:t>
            </w:r>
            <w:r w:rsidRPr="009324E2">
              <w:rPr>
                <w:rFonts w:cs="Arial"/>
                <w:b w:val="0"/>
                <w:color w:val="000000" w:themeColor="text1"/>
                <w:sz w:val="22"/>
                <w:szCs w:val="22"/>
              </w:rPr>
              <w:t xml:space="preserve">Khalil is </w:t>
            </w:r>
            <w:r w:rsidR="00817CC6">
              <w:rPr>
                <w:rFonts w:cs="Arial"/>
                <w:b w:val="0"/>
                <w:color w:val="000000" w:themeColor="text1"/>
                <w:sz w:val="22"/>
                <w:szCs w:val="22"/>
              </w:rPr>
              <w:t xml:space="preserve">unlikely to be </w:t>
            </w:r>
            <w:r w:rsidRPr="009324E2">
              <w:rPr>
                <w:rFonts w:cs="Arial"/>
                <w:b w:val="0"/>
                <w:color w:val="000000" w:themeColor="text1"/>
                <w:sz w:val="22"/>
                <w:szCs w:val="22"/>
              </w:rPr>
              <w:t>able to lodge a discrimination complaint against his colleague or employer (</w:t>
            </w:r>
            <w:r w:rsidR="00817CC6">
              <w:rPr>
                <w:rFonts w:cs="Arial"/>
                <w:b w:val="0"/>
                <w:color w:val="000000" w:themeColor="text1"/>
                <w:sz w:val="22"/>
                <w:szCs w:val="22"/>
              </w:rPr>
              <w:t xml:space="preserve">via </w:t>
            </w:r>
            <w:r w:rsidRPr="009324E2">
              <w:rPr>
                <w:rFonts w:cs="Arial"/>
                <w:b w:val="0"/>
                <w:color w:val="000000" w:themeColor="text1"/>
                <w:sz w:val="22"/>
                <w:szCs w:val="22"/>
              </w:rPr>
              <w:t xml:space="preserve">vicarious liability) because the Twitter post </w:t>
            </w:r>
            <w:r w:rsidR="00817CC6">
              <w:rPr>
                <w:rFonts w:cs="Arial"/>
                <w:b w:val="0"/>
                <w:color w:val="000000" w:themeColor="text1"/>
                <w:sz w:val="22"/>
                <w:szCs w:val="22"/>
              </w:rPr>
              <w:t>may be</w:t>
            </w:r>
            <w:r w:rsidRPr="009324E2">
              <w:rPr>
                <w:rFonts w:cs="Arial"/>
                <w:b w:val="0"/>
                <w:color w:val="000000" w:themeColor="text1"/>
                <w:sz w:val="22"/>
                <w:szCs w:val="22"/>
              </w:rPr>
              <w:t xml:space="preserve"> a statement of belief. </w:t>
            </w:r>
            <w:r w:rsidR="00817CC6">
              <w:rPr>
                <w:rFonts w:cs="Arial"/>
                <w:b w:val="0"/>
                <w:color w:val="000000" w:themeColor="text1"/>
                <w:sz w:val="22"/>
                <w:szCs w:val="22"/>
              </w:rPr>
              <w:t>As noted above, s</w:t>
            </w:r>
            <w:r w:rsidRPr="009324E2">
              <w:rPr>
                <w:rFonts w:cs="Arial"/>
                <w:b w:val="0"/>
                <w:color w:val="000000" w:themeColor="text1"/>
                <w:sz w:val="22"/>
                <w:szCs w:val="22"/>
              </w:rPr>
              <w:t>tatements of belief do not constitute discrimination for the purposes of any anti-discrimination law under clause 42 of the</w:t>
            </w:r>
            <w:r>
              <w:rPr>
                <w:rFonts w:cs="Arial"/>
                <w:b w:val="0"/>
                <w:color w:val="000000" w:themeColor="text1"/>
                <w:sz w:val="22"/>
                <w:szCs w:val="22"/>
              </w:rPr>
              <w:t xml:space="preserve"> Bill</w:t>
            </w:r>
            <w:r w:rsidR="00817CC6" w:rsidRPr="00512E9E">
              <w:rPr>
                <w:rFonts w:cs="Arial"/>
                <w:b w:val="0"/>
                <w:sz w:val="22"/>
                <w:szCs w:val="22"/>
              </w:rPr>
              <w:t xml:space="preserve"> </w:t>
            </w:r>
            <w:r w:rsidR="00817CC6">
              <w:rPr>
                <w:rFonts w:cs="Arial"/>
                <w:b w:val="0"/>
                <w:sz w:val="22"/>
                <w:szCs w:val="22"/>
              </w:rPr>
              <w:t xml:space="preserve">unless the </w:t>
            </w:r>
            <w:r w:rsidR="00817CC6" w:rsidRPr="00512E9E">
              <w:rPr>
                <w:rFonts w:cs="Arial"/>
                <w:b w:val="0"/>
                <w:sz w:val="22"/>
                <w:szCs w:val="22"/>
              </w:rPr>
              <w:t xml:space="preserve">statement </w:t>
            </w:r>
            <w:r w:rsidR="00817CC6">
              <w:rPr>
                <w:rFonts w:cs="Arial"/>
                <w:b w:val="0"/>
                <w:sz w:val="22"/>
                <w:szCs w:val="22"/>
              </w:rPr>
              <w:t xml:space="preserve">is malicious </w:t>
            </w:r>
            <w:r w:rsidR="00817CC6" w:rsidRPr="00663E28">
              <w:rPr>
                <w:rFonts w:cs="Arial"/>
                <w:b w:val="0"/>
                <w:sz w:val="22"/>
                <w:szCs w:val="22"/>
              </w:rPr>
              <w:t xml:space="preserve">or </w:t>
            </w:r>
            <w:r w:rsidR="00817CC6" w:rsidRPr="00512E9E">
              <w:rPr>
                <w:rFonts w:cs="Arial"/>
                <w:b w:val="0"/>
                <w:sz w:val="22"/>
                <w:szCs w:val="22"/>
              </w:rPr>
              <w:t>w</w:t>
            </w:r>
            <w:r w:rsidR="00817CC6">
              <w:rPr>
                <w:rFonts w:cs="Arial"/>
                <w:b w:val="0"/>
                <w:sz w:val="22"/>
                <w:szCs w:val="22"/>
              </w:rPr>
              <w:t>ould, or is l</w:t>
            </w:r>
            <w:r w:rsidR="00817CC6" w:rsidRPr="00512E9E">
              <w:rPr>
                <w:rFonts w:cs="Arial"/>
                <w:b w:val="0"/>
                <w:sz w:val="22"/>
                <w:szCs w:val="22"/>
              </w:rPr>
              <w:t xml:space="preserve">ikely to, ‘harass, threaten, seriously intimidate or </w:t>
            </w:r>
            <w:r w:rsidR="00817CC6" w:rsidRPr="001510B7">
              <w:rPr>
                <w:rFonts w:cs="Arial"/>
                <w:b w:val="0"/>
                <w:sz w:val="22"/>
                <w:szCs w:val="22"/>
              </w:rPr>
              <w:t>vilify’</w:t>
            </w:r>
            <w:r w:rsidR="00817CC6" w:rsidRPr="00D86574">
              <w:rPr>
                <w:rFonts w:cs="Arial"/>
                <w:b w:val="0"/>
                <w:sz w:val="22"/>
                <w:szCs w:val="22"/>
              </w:rPr>
              <w:t xml:space="preserve"> another person or group of persons</w:t>
            </w:r>
            <w:r>
              <w:rPr>
                <w:rFonts w:cs="Arial"/>
                <w:b w:val="0"/>
                <w:color w:val="000000" w:themeColor="text1"/>
                <w:sz w:val="22"/>
                <w:szCs w:val="22"/>
              </w:rPr>
              <w:t>.</w:t>
            </w:r>
          </w:p>
        </w:tc>
      </w:tr>
    </w:tbl>
    <w:p w14:paraId="663C07B7" w14:textId="5F82B2E6" w:rsidR="00512E9E" w:rsidRDefault="00512E9E" w:rsidP="008E0B9B">
      <w:pPr>
        <w:pStyle w:val="VEOHRCBodytext"/>
      </w:pPr>
    </w:p>
    <w:tbl>
      <w:tblPr>
        <w:tblStyle w:val="TableGrid"/>
        <w:tblW w:w="0" w:type="auto"/>
        <w:tblLook w:val="04A0" w:firstRow="1" w:lastRow="0" w:firstColumn="1" w:lastColumn="0" w:noHBand="0" w:noVBand="1"/>
      </w:tblPr>
      <w:tblGrid>
        <w:gridCol w:w="9628"/>
      </w:tblGrid>
      <w:tr w:rsidR="00817CC6" w14:paraId="62D6F372" w14:textId="77777777" w:rsidTr="00006063">
        <w:tc>
          <w:tcPr>
            <w:tcW w:w="9628" w:type="dxa"/>
            <w:shd w:val="clear" w:color="auto" w:fill="BDD6EE" w:themeFill="accent1" w:themeFillTint="66"/>
            <w:tcMar>
              <w:top w:w="113" w:type="dxa"/>
              <w:bottom w:w="113" w:type="dxa"/>
            </w:tcMar>
          </w:tcPr>
          <w:p w14:paraId="49D8C92F" w14:textId="77777777" w:rsidR="00817CC6" w:rsidRPr="00BD0986" w:rsidRDefault="00817CC6" w:rsidP="00006063">
            <w:pPr>
              <w:pStyle w:val="Casestudytitle"/>
            </w:pPr>
            <w:r w:rsidRPr="00BD0986">
              <w:t>Recommendation 4 (restated from our first submission)</w:t>
            </w:r>
          </w:p>
          <w:p w14:paraId="1CAAE319" w14:textId="77777777" w:rsidR="00817CC6" w:rsidRDefault="00817CC6" w:rsidP="00156300">
            <w:pPr>
              <w:pStyle w:val="VEOHRCBodytext"/>
              <w:keepNext w:val="0"/>
              <w:spacing w:after="80"/>
              <w:rPr>
                <w:rFonts w:cs="Arial"/>
                <w:szCs w:val="22"/>
              </w:rPr>
            </w:pPr>
            <w:r w:rsidRPr="002A0257">
              <w:rPr>
                <w:rFonts w:cs="Arial"/>
                <w:szCs w:val="22"/>
              </w:rPr>
              <w:t>The Attorney-General should remove clauses 32(6) and 32(7), dealing with additional limitations on what may be an inherent requirement of a job, from the Religious Discrimination Bill 2019 (Cth).</w:t>
            </w:r>
          </w:p>
        </w:tc>
      </w:tr>
    </w:tbl>
    <w:p w14:paraId="3043B645" w14:textId="5586EAE9" w:rsidR="002A0257" w:rsidRPr="002A0257" w:rsidRDefault="0004351D" w:rsidP="00006063">
      <w:pPr>
        <w:pStyle w:val="Heading1"/>
        <w:rPr>
          <w:szCs w:val="22"/>
        </w:rPr>
      </w:pPr>
      <w:r w:rsidRPr="00006063">
        <w:rPr>
          <w:b/>
          <w:szCs w:val="22"/>
        </w:rPr>
        <w:t>Key Concern</w:t>
      </w:r>
      <w:r w:rsidR="00884118" w:rsidRPr="00006063">
        <w:rPr>
          <w:b/>
          <w:szCs w:val="22"/>
        </w:rPr>
        <w:t xml:space="preserve"> 5</w:t>
      </w:r>
      <w:r w:rsidR="00CA6D7D" w:rsidRPr="00006063">
        <w:rPr>
          <w:b/>
          <w:szCs w:val="22"/>
        </w:rPr>
        <w:br/>
      </w:r>
      <w:r w:rsidR="002A0257" w:rsidRPr="002A0257">
        <w:t>Conduct rules regarding conscientious health objections</w:t>
      </w:r>
      <w:r w:rsidR="002A0257" w:rsidRPr="002A0257">
        <w:rPr>
          <w:szCs w:val="22"/>
        </w:rPr>
        <w:t xml:space="preserve"> </w:t>
      </w:r>
    </w:p>
    <w:p w14:paraId="77A74ED5" w14:textId="1D72CF3B" w:rsidR="000F1BE3" w:rsidRPr="00D86574" w:rsidRDefault="000F1BE3" w:rsidP="008E0B9B">
      <w:pPr>
        <w:pStyle w:val="VEOHRCBodytext"/>
      </w:pPr>
      <w:r w:rsidRPr="00663E28">
        <w:rPr>
          <w:rFonts w:cs="Arial"/>
          <w:szCs w:val="22"/>
        </w:rPr>
        <w:t xml:space="preserve">The Bill </w:t>
      </w:r>
      <w:r w:rsidR="002621B7" w:rsidRPr="00663E28">
        <w:rPr>
          <w:rFonts w:cs="Arial"/>
          <w:szCs w:val="22"/>
        </w:rPr>
        <w:t xml:space="preserve">continues to </w:t>
      </w:r>
      <w:r w:rsidRPr="00663E28">
        <w:rPr>
          <w:rFonts w:cs="Arial"/>
          <w:szCs w:val="22"/>
        </w:rPr>
        <w:t>undermine</w:t>
      </w:r>
      <w:r w:rsidRPr="00512E9E">
        <w:rPr>
          <w:rFonts w:cs="Arial"/>
          <w:szCs w:val="22"/>
        </w:rPr>
        <w:t xml:space="preserve"> access to safe and inclusive health services</w:t>
      </w:r>
      <w:r w:rsidR="00D91B06">
        <w:rPr>
          <w:rFonts w:cs="Arial"/>
          <w:szCs w:val="22"/>
        </w:rPr>
        <w:t>. It also</w:t>
      </w:r>
      <w:r w:rsidRPr="00512E9E">
        <w:rPr>
          <w:rFonts w:cs="Arial"/>
          <w:szCs w:val="22"/>
        </w:rPr>
        <w:t xml:space="preserve"> create</w:t>
      </w:r>
      <w:r w:rsidR="00D91B06">
        <w:rPr>
          <w:rFonts w:cs="Arial"/>
          <w:szCs w:val="22"/>
        </w:rPr>
        <w:t>s</w:t>
      </w:r>
      <w:r w:rsidRPr="001510B7">
        <w:rPr>
          <w:rFonts w:cs="Arial"/>
          <w:szCs w:val="22"/>
        </w:rPr>
        <w:t xml:space="preserve"> a risk of confusion among health provid</w:t>
      </w:r>
      <w:r w:rsidRPr="003E63C4">
        <w:rPr>
          <w:rFonts w:cs="Arial"/>
          <w:szCs w:val="22"/>
        </w:rPr>
        <w:t>ers seeking to comply with existing conscientious objection laws and policy directives</w:t>
      </w:r>
      <w:r w:rsidR="00493A0B" w:rsidRPr="003E63C4">
        <w:rPr>
          <w:rFonts w:cs="Arial"/>
          <w:szCs w:val="22"/>
        </w:rPr>
        <w:t xml:space="preserve">. </w:t>
      </w:r>
      <w:r w:rsidR="00663E28">
        <w:rPr>
          <w:rFonts w:cs="Arial"/>
          <w:szCs w:val="22"/>
        </w:rPr>
        <w:t>It</w:t>
      </w:r>
      <w:r w:rsidR="002621B7" w:rsidRPr="00663E28">
        <w:rPr>
          <w:rFonts w:cs="Arial"/>
          <w:szCs w:val="22"/>
        </w:rPr>
        <w:t xml:space="preserve"> does so by introducing</w:t>
      </w:r>
      <w:r w:rsidR="002621B7" w:rsidRPr="00512E9E">
        <w:rPr>
          <w:rFonts w:cs="Arial"/>
          <w:szCs w:val="22"/>
        </w:rPr>
        <w:t xml:space="preserve"> broad conscientious objection provisions without appropriate safeguards </w:t>
      </w:r>
      <w:r w:rsidR="00D91B06">
        <w:rPr>
          <w:rFonts w:cs="Arial"/>
          <w:szCs w:val="22"/>
        </w:rPr>
        <w:t xml:space="preserve">in circumstances </w:t>
      </w:r>
      <w:r w:rsidRPr="001510B7">
        <w:rPr>
          <w:rFonts w:cs="Arial"/>
          <w:szCs w:val="22"/>
        </w:rPr>
        <w:t>where no state and territory conscientious objection laws exist</w:t>
      </w:r>
      <w:r w:rsidR="002621B7" w:rsidRPr="001510B7">
        <w:rPr>
          <w:rFonts w:cs="Arial"/>
          <w:szCs w:val="22"/>
        </w:rPr>
        <w:t>.</w:t>
      </w:r>
      <w:r w:rsidRPr="003E63C4">
        <w:rPr>
          <w:rFonts w:cs="Arial"/>
          <w:szCs w:val="22"/>
        </w:rPr>
        <w:t xml:space="preserve"> </w:t>
      </w:r>
      <w:r w:rsidR="0010301B">
        <w:rPr>
          <w:rFonts w:cs="Arial"/>
          <w:szCs w:val="22"/>
        </w:rPr>
        <w:t>Whilst it is clear for states like Victoria that have legislation dealing with conscientious objection for procedures such as abortion and</w:t>
      </w:r>
      <w:r w:rsidR="00D8772B">
        <w:rPr>
          <w:rFonts w:cs="Arial"/>
          <w:szCs w:val="22"/>
        </w:rPr>
        <w:t xml:space="preserve"> voluntary</w:t>
      </w:r>
      <w:r w:rsidR="0010301B">
        <w:rPr>
          <w:rFonts w:cs="Arial"/>
          <w:szCs w:val="22"/>
        </w:rPr>
        <w:t xml:space="preserve"> assisted dying, it may not be as clear for states and territories that do not have </w:t>
      </w:r>
      <w:r w:rsidR="00D8772B">
        <w:rPr>
          <w:rFonts w:cs="Arial"/>
          <w:szCs w:val="22"/>
        </w:rPr>
        <w:t>equivalent</w:t>
      </w:r>
      <w:r w:rsidR="0010301B">
        <w:rPr>
          <w:rFonts w:cs="Arial"/>
          <w:szCs w:val="22"/>
        </w:rPr>
        <w:t xml:space="preserve"> legislation.</w:t>
      </w:r>
    </w:p>
    <w:p w14:paraId="6C5B2252" w14:textId="0CB5A38F" w:rsidR="002621B7" w:rsidRPr="00D86574" w:rsidRDefault="002621B7" w:rsidP="00006063">
      <w:pPr>
        <w:pStyle w:val="Heading2"/>
      </w:pPr>
      <w:r w:rsidRPr="00D86574">
        <w:t xml:space="preserve">What’s changed in the second exposure draft? </w:t>
      </w:r>
    </w:p>
    <w:p w14:paraId="3334988D" w14:textId="445FED52" w:rsidR="000F1BE3" w:rsidRPr="001510B7" w:rsidRDefault="000F1BE3" w:rsidP="00627C0B">
      <w:pPr>
        <w:pStyle w:val="VEOHRCHeading2"/>
        <w:spacing w:before="80" w:after="120" w:line="240" w:lineRule="auto"/>
        <w:rPr>
          <w:rFonts w:cs="Arial"/>
          <w:b w:val="0"/>
          <w:sz w:val="22"/>
          <w:szCs w:val="22"/>
        </w:rPr>
      </w:pPr>
      <w:r w:rsidRPr="00D86574">
        <w:rPr>
          <w:rFonts w:cs="Arial"/>
          <w:b w:val="0"/>
          <w:sz w:val="22"/>
          <w:szCs w:val="22"/>
        </w:rPr>
        <w:t>The definition of ‘health service’</w:t>
      </w:r>
      <w:r w:rsidRPr="00663E28">
        <w:rPr>
          <w:rStyle w:val="EndnoteReference"/>
          <w:rFonts w:cs="Arial"/>
          <w:b w:val="0"/>
          <w:sz w:val="22"/>
          <w:szCs w:val="22"/>
        </w:rPr>
        <w:endnoteReference w:id="10"/>
      </w:r>
      <w:r w:rsidRPr="00663E28">
        <w:rPr>
          <w:rFonts w:cs="Arial"/>
          <w:b w:val="0"/>
          <w:sz w:val="22"/>
          <w:szCs w:val="22"/>
        </w:rPr>
        <w:t xml:space="preserve"> no longer includes dentists, radiologists, occupational therapists, optometrists, physiotherapists, podiatrists and Aboriginal and Torres Strait Islander health practices. </w:t>
      </w:r>
      <w:r w:rsidR="00663E28">
        <w:rPr>
          <w:rFonts w:cs="Arial"/>
          <w:b w:val="0"/>
          <w:sz w:val="22"/>
          <w:szCs w:val="22"/>
        </w:rPr>
        <w:t>In addition, c</w:t>
      </w:r>
      <w:r w:rsidRPr="00663E28">
        <w:rPr>
          <w:rFonts w:cs="Arial"/>
          <w:b w:val="0"/>
          <w:sz w:val="22"/>
          <w:szCs w:val="22"/>
        </w:rPr>
        <w:t xml:space="preserve">lause 8(6) has been broadened to apply to a health practitioner ‘providing </w:t>
      </w:r>
      <w:r w:rsidRPr="00512E9E">
        <w:rPr>
          <w:rFonts w:cs="Arial"/>
          <w:b w:val="0"/>
          <w:i/>
          <w:sz w:val="22"/>
          <w:szCs w:val="22"/>
        </w:rPr>
        <w:t>or participating</w:t>
      </w:r>
      <w:r w:rsidRPr="00512E9E">
        <w:rPr>
          <w:rFonts w:cs="Arial"/>
          <w:b w:val="0"/>
          <w:sz w:val="22"/>
          <w:szCs w:val="22"/>
        </w:rPr>
        <w:t xml:space="preserve"> in a particular kind of health service’.</w:t>
      </w:r>
    </w:p>
    <w:p w14:paraId="4214607A" w14:textId="2F504997" w:rsidR="002621B7" w:rsidRPr="00D86574" w:rsidRDefault="002621B7" w:rsidP="00006063">
      <w:pPr>
        <w:pStyle w:val="Heading2"/>
      </w:pPr>
      <w:r w:rsidRPr="001510B7">
        <w:t xml:space="preserve">Do the changes address our concerns? </w:t>
      </w:r>
    </w:p>
    <w:p w14:paraId="224B44F2" w14:textId="7F1A7C1C" w:rsidR="00CA6D7D" w:rsidRPr="00006063" w:rsidRDefault="00CA6D7D" w:rsidP="00627C0B">
      <w:pPr>
        <w:pStyle w:val="VEOHRCHeading2"/>
        <w:spacing w:before="80" w:after="120" w:line="240" w:lineRule="auto"/>
        <w:rPr>
          <w:rFonts w:cs="Arial"/>
          <w:b w:val="0"/>
          <w:color w:val="FF9933"/>
          <w:sz w:val="22"/>
          <w:szCs w:val="22"/>
        </w:rPr>
      </w:pPr>
      <w:r w:rsidRPr="00006063">
        <w:rPr>
          <w:rFonts w:cs="Arial"/>
          <w:b w:val="0"/>
          <w:color w:val="FF9933"/>
          <w:sz w:val="22"/>
          <w:szCs w:val="22"/>
        </w:rPr>
        <w:sym w:font="Wingdings 2" w:char="F098"/>
      </w:r>
      <w:r w:rsidRPr="00006063">
        <w:rPr>
          <w:rFonts w:cs="Arial"/>
          <w:b w:val="0"/>
          <w:color w:val="FF9933"/>
          <w:sz w:val="22"/>
          <w:szCs w:val="22"/>
        </w:rPr>
        <w:t xml:space="preserve"> </w:t>
      </w:r>
      <w:r w:rsidR="002621B7" w:rsidRPr="00006063">
        <w:rPr>
          <w:rFonts w:cs="Arial"/>
          <w:b w:val="0"/>
          <w:color w:val="FF9933"/>
          <w:sz w:val="22"/>
          <w:szCs w:val="22"/>
        </w:rPr>
        <w:t>The changes to clause 8(6) do not adequately address our concerns.</w:t>
      </w:r>
      <w:r w:rsidR="00617EA5" w:rsidRPr="00006063">
        <w:rPr>
          <w:rFonts w:cs="Arial"/>
          <w:b w:val="0"/>
          <w:color w:val="FF9933"/>
          <w:sz w:val="22"/>
          <w:szCs w:val="22"/>
        </w:rPr>
        <w:t xml:space="preserve"> </w:t>
      </w:r>
    </w:p>
    <w:p w14:paraId="18FB68D8" w14:textId="5884C447" w:rsidR="00663E28" w:rsidRPr="00663E28" w:rsidRDefault="000F1BE3" w:rsidP="00627C0B">
      <w:pPr>
        <w:pStyle w:val="VEOHRCHeading2"/>
        <w:spacing w:before="80" w:after="120" w:line="240" w:lineRule="auto"/>
        <w:rPr>
          <w:rFonts w:cs="Arial"/>
          <w:sz w:val="22"/>
          <w:szCs w:val="22"/>
        </w:rPr>
      </w:pPr>
      <w:r w:rsidRPr="00663E28">
        <w:rPr>
          <w:rFonts w:cs="Arial"/>
          <w:b w:val="0"/>
          <w:sz w:val="22"/>
          <w:szCs w:val="22"/>
        </w:rPr>
        <w:t xml:space="preserve">Overall, the Commission remains concerned about the introduction of the clauses relating to conscientious objections by health practitioners. The </w:t>
      </w:r>
      <w:r w:rsidR="00AF04A2">
        <w:rPr>
          <w:rFonts w:cs="Arial"/>
          <w:b w:val="0"/>
          <w:sz w:val="22"/>
          <w:szCs w:val="22"/>
        </w:rPr>
        <w:t>amendments</w:t>
      </w:r>
      <w:r w:rsidRPr="00663E28">
        <w:rPr>
          <w:rFonts w:cs="Arial"/>
          <w:b w:val="0"/>
          <w:sz w:val="22"/>
          <w:szCs w:val="22"/>
        </w:rPr>
        <w:t xml:space="preserve"> raise </w:t>
      </w:r>
      <w:r w:rsidR="00416E67">
        <w:rPr>
          <w:rFonts w:cs="Arial"/>
          <w:b w:val="0"/>
          <w:sz w:val="22"/>
          <w:szCs w:val="22"/>
        </w:rPr>
        <w:t>three</w:t>
      </w:r>
      <w:r w:rsidR="00416E67" w:rsidRPr="00663E28">
        <w:rPr>
          <w:rFonts w:cs="Arial"/>
          <w:b w:val="0"/>
          <w:sz w:val="22"/>
          <w:szCs w:val="22"/>
        </w:rPr>
        <w:t xml:space="preserve"> </w:t>
      </w:r>
      <w:r w:rsidRPr="00663E28">
        <w:rPr>
          <w:rFonts w:cs="Arial"/>
          <w:b w:val="0"/>
          <w:sz w:val="22"/>
          <w:szCs w:val="22"/>
        </w:rPr>
        <w:t>key issues</w:t>
      </w:r>
      <w:r w:rsidR="008D792C">
        <w:rPr>
          <w:rFonts w:cs="Arial"/>
          <w:b w:val="0"/>
          <w:sz w:val="22"/>
          <w:szCs w:val="22"/>
        </w:rPr>
        <w:t>.</w:t>
      </w:r>
    </w:p>
    <w:p w14:paraId="2E58566E" w14:textId="0B8718F7" w:rsidR="000F1BE3" w:rsidRPr="008F5EE9" w:rsidRDefault="00A83C43" w:rsidP="00627C0B">
      <w:pPr>
        <w:pStyle w:val="VEOHRCHeading2"/>
        <w:spacing w:before="80" w:after="120" w:line="240" w:lineRule="auto"/>
        <w:contextualSpacing/>
        <w:rPr>
          <w:b w:val="0"/>
          <w:sz w:val="22"/>
          <w:szCs w:val="22"/>
        </w:rPr>
      </w:pPr>
      <w:r>
        <w:rPr>
          <w:b w:val="0"/>
          <w:sz w:val="22"/>
          <w:szCs w:val="22"/>
        </w:rPr>
        <w:t>First, t</w:t>
      </w:r>
      <w:r w:rsidR="00512E9E" w:rsidRPr="008F5EE9">
        <w:rPr>
          <w:b w:val="0"/>
          <w:sz w:val="22"/>
          <w:szCs w:val="22"/>
        </w:rPr>
        <w:t>he Commission</w:t>
      </w:r>
      <w:r w:rsidR="000F1BE3" w:rsidRPr="00E07EFE">
        <w:rPr>
          <w:b w:val="0"/>
          <w:sz w:val="22"/>
          <w:szCs w:val="22"/>
        </w:rPr>
        <w:t xml:space="preserve"> welcome</w:t>
      </w:r>
      <w:r w:rsidR="00512E9E" w:rsidRPr="00E07EFE">
        <w:rPr>
          <w:b w:val="0"/>
          <w:sz w:val="22"/>
          <w:szCs w:val="22"/>
        </w:rPr>
        <w:t>s</w:t>
      </w:r>
      <w:r w:rsidR="000F1BE3" w:rsidRPr="00E07EFE">
        <w:rPr>
          <w:b w:val="0"/>
          <w:sz w:val="22"/>
          <w:szCs w:val="22"/>
        </w:rPr>
        <w:t xml:space="preserve"> the narrowing of the range of health practitioners providing health services that can make conscientious objections under clause 8(6). However, the Commission is concerned that the definition of ‘health service’ still includes a broad ‘medical’ category, which is not defined and </w:t>
      </w:r>
      <w:r w:rsidR="000F1BE3" w:rsidRPr="00627C0B">
        <w:rPr>
          <w:b w:val="0"/>
          <w:sz w:val="22"/>
          <w:szCs w:val="22"/>
        </w:rPr>
        <w:t xml:space="preserve">may have a wider application than originally intended. The meaning of ‘medical’ requires clarification to </w:t>
      </w:r>
      <w:r w:rsidR="00663E28" w:rsidRPr="00627C0B">
        <w:rPr>
          <w:b w:val="0"/>
          <w:sz w:val="22"/>
          <w:szCs w:val="22"/>
        </w:rPr>
        <w:t xml:space="preserve">only </w:t>
      </w:r>
      <w:r w:rsidR="000F1BE3" w:rsidRPr="00627C0B">
        <w:rPr>
          <w:b w:val="0"/>
          <w:sz w:val="22"/>
          <w:szCs w:val="22"/>
        </w:rPr>
        <w:t>apply to medical services delivered by a person registered under the Health Practitioner Regulation National Law to practice in the medical profession.</w:t>
      </w:r>
      <w:r w:rsidR="000F1BE3" w:rsidRPr="008F5EE9">
        <w:rPr>
          <w:rStyle w:val="EndnoteReference"/>
          <w:rFonts w:cs="Arial"/>
          <w:b w:val="0"/>
          <w:sz w:val="22"/>
          <w:szCs w:val="22"/>
        </w:rPr>
        <w:endnoteReference w:id="11"/>
      </w:r>
      <w:r w:rsidR="000F1BE3" w:rsidRPr="008F5EE9">
        <w:rPr>
          <w:b w:val="0"/>
          <w:sz w:val="22"/>
          <w:szCs w:val="22"/>
        </w:rPr>
        <w:t xml:space="preserve">    </w:t>
      </w:r>
    </w:p>
    <w:p w14:paraId="24A7CE14" w14:textId="6D8B8ED3" w:rsidR="00817CC6" w:rsidRDefault="00663E28" w:rsidP="008530F6">
      <w:pPr>
        <w:pStyle w:val="VEOHRCBodytext"/>
        <w:keepNext w:val="0"/>
        <w:contextualSpacing/>
        <w:rPr>
          <w:rFonts w:cs="Arial"/>
          <w:szCs w:val="22"/>
        </w:rPr>
      </w:pPr>
      <w:r>
        <w:rPr>
          <w:rFonts w:cs="Arial"/>
          <w:szCs w:val="22"/>
        </w:rPr>
        <w:t>Second, t</w:t>
      </w:r>
      <w:r w:rsidR="000F1BE3" w:rsidRPr="00663E28">
        <w:rPr>
          <w:rFonts w:cs="Arial"/>
          <w:szCs w:val="22"/>
        </w:rPr>
        <w:t>he Commission is also concerned that the clause has been broadened to apply not only to a health practitioner ‘providing a health service’, but also to any health practitioners ‘participating in a particular kind of health service’. This ambiguously expands the scope of health practitioners who can make a conscientious objection. We are concerned that the meaning of ‘participating’ could be</w:t>
      </w:r>
      <w:r w:rsidR="000F1BE3" w:rsidRPr="00617EA5">
        <w:rPr>
          <w:rFonts w:cs="Arial"/>
          <w:szCs w:val="22"/>
        </w:rPr>
        <w:t xml:space="preserve"> applied more broadly than intended to include actions such as referrals. This is especially concerning in a small service or health services in rural and remote areas. </w:t>
      </w:r>
    </w:p>
    <w:p w14:paraId="5C3BD114" w14:textId="1DF32233" w:rsidR="00E0307C" w:rsidRDefault="00416E67" w:rsidP="00A82495">
      <w:pPr>
        <w:pStyle w:val="VEOHRCHeading2"/>
        <w:keepNext w:val="0"/>
        <w:spacing w:before="80" w:after="120" w:line="240" w:lineRule="auto"/>
        <w:rPr>
          <w:rFonts w:cs="Arial"/>
          <w:sz w:val="22"/>
          <w:szCs w:val="22"/>
        </w:rPr>
      </w:pPr>
      <w:r>
        <w:rPr>
          <w:rFonts w:cs="Arial"/>
          <w:b w:val="0"/>
          <w:sz w:val="22"/>
          <w:szCs w:val="22"/>
        </w:rPr>
        <w:t>Finally</w:t>
      </w:r>
      <w:r w:rsidR="00663E28">
        <w:rPr>
          <w:rFonts w:cs="Arial"/>
          <w:sz w:val="22"/>
          <w:szCs w:val="22"/>
        </w:rPr>
        <w:t xml:space="preserve">, </w:t>
      </w:r>
      <w:r w:rsidR="00663E28" w:rsidRPr="00817CC6">
        <w:rPr>
          <w:rFonts w:cs="Arial"/>
          <w:b w:val="0"/>
          <w:sz w:val="22"/>
          <w:szCs w:val="22"/>
        </w:rPr>
        <w:t>t</w:t>
      </w:r>
      <w:r w:rsidR="000F1BE3" w:rsidRPr="00817CC6">
        <w:rPr>
          <w:rFonts w:cs="Arial"/>
          <w:b w:val="0"/>
          <w:sz w:val="22"/>
          <w:szCs w:val="22"/>
        </w:rPr>
        <w:t>he Commission notes that the explanatory notes state that the objection must be to providing or participating in a particular kind of health service, such as procedures like abortion or voluntary assisted dying.</w:t>
      </w:r>
      <w:r w:rsidR="000F1BE3" w:rsidRPr="00817CC6">
        <w:rPr>
          <w:rStyle w:val="EndnoteReference"/>
          <w:rFonts w:cs="Arial"/>
          <w:b w:val="0"/>
          <w:sz w:val="22"/>
          <w:szCs w:val="22"/>
        </w:rPr>
        <w:endnoteReference w:id="12"/>
      </w:r>
      <w:r w:rsidR="000F1BE3" w:rsidRPr="00817CC6">
        <w:rPr>
          <w:rFonts w:cs="Arial"/>
          <w:b w:val="0"/>
          <w:sz w:val="22"/>
          <w:szCs w:val="22"/>
        </w:rPr>
        <w:t xml:space="preserve"> The objection cannot be to the personal attributes of the person seeking the service.</w:t>
      </w:r>
      <w:r w:rsidR="000F1BE3" w:rsidRPr="00817CC6">
        <w:rPr>
          <w:rStyle w:val="EndnoteReference"/>
          <w:rFonts w:cs="Arial"/>
          <w:b w:val="0"/>
          <w:sz w:val="22"/>
          <w:szCs w:val="22"/>
        </w:rPr>
        <w:endnoteReference w:id="13"/>
      </w:r>
      <w:r w:rsidR="000F1BE3" w:rsidRPr="00817CC6">
        <w:rPr>
          <w:rFonts w:cs="Arial"/>
          <w:b w:val="0"/>
          <w:sz w:val="22"/>
          <w:szCs w:val="22"/>
        </w:rPr>
        <w:t xml:space="preserve"> The Commission remains concerned that it may be difficult to draw a distinction between the service and the personal attributes of the person seeking that service.</w:t>
      </w:r>
      <w:r w:rsidR="00663E28" w:rsidRPr="00817CC6">
        <w:rPr>
          <w:rFonts w:cs="Arial"/>
          <w:b w:val="0"/>
          <w:sz w:val="22"/>
          <w:szCs w:val="22"/>
        </w:rPr>
        <w:t xml:space="preserve"> For example, a transgender person seeking sex reassignment surgery is seeking this service because of their personal attributes.</w:t>
      </w:r>
    </w:p>
    <w:tbl>
      <w:tblPr>
        <w:tblStyle w:val="TableGrid"/>
        <w:tblW w:w="0" w:type="auto"/>
        <w:tblLook w:val="04A0" w:firstRow="1" w:lastRow="0" w:firstColumn="1" w:lastColumn="0" w:noHBand="0" w:noVBand="1"/>
      </w:tblPr>
      <w:tblGrid>
        <w:gridCol w:w="9628"/>
      </w:tblGrid>
      <w:tr w:rsidR="00E0307C" w:rsidRPr="00E0307C" w14:paraId="7CFA4924" w14:textId="77777777" w:rsidTr="00006063">
        <w:tc>
          <w:tcPr>
            <w:tcW w:w="9628" w:type="dxa"/>
            <w:shd w:val="clear" w:color="auto" w:fill="BDD6EE" w:themeFill="accent1" w:themeFillTint="66"/>
            <w:tcMar>
              <w:top w:w="113" w:type="dxa"/>
              <w:bottom w:w="113" w:type="dxa"/>
            </w:tcMar>
          </w:tcPr>
          <w:p w14:paraId="3820170A" w14:textId="010A1598" w:rsidR="00E0307C" w:rsidRDefault="00E0307C" w:rsidP="00A82495">
            <w:pPr>
              <w:pStyle w:val="Casestudytitle"/>
              <w:keepNext w:val="0"/>
            </w:pPr>
            <w:r w:rsidRPr="009324E2">
              <w:t xml:space="preserve">Recommendation </w:t>
            </w:r>
            <w:r w:rsidR="00D05E3F">
              <w:t>5</w:t>
            </w:r>
            <w:r w:rsidRPr="009324E2">
              <w:t xml:space="preserve"> (restated from our first submission)</w:t>
            </w:r>
          </w:p>
          <w:p w14:paraId="4220BCDD" w14:textId="77777777" w:rsidR="00E0307C" w:rsidRPr="00E0307C" w:rsidRDefault="00E0307C" w:rsidP="00A82495">
            <w:pPr>
              <w:pStyle w:val="VEOHRCBodytext"/>
              <w:keepNext w:val="0"/>
              <w:contextualSpacing/>
              <w:rPr>
                <w:rFonts w:cs="Arial"/>
                <w:szCs w:val="22"/>
              </w:rPr>
            </w:pPr>
            <w:r w:rsidRPr="009324E2">
              <w:rPr>
                <w:rFonts w:cs="Arial"/>
                <w:szCs w:val="22"/>
              </w:rPr>
              <w:t>The Attorney-General should remove clauses 8(6) and 8(7), dealing with rules about conscientious objections by health practitioners, from the Religious Discrimination Bill 2019 (Cth).</w:t>
            </w:r>
            <w:r w:rsidRPr="00E0307C">
              <w:rPr>
                <w:rFonts w:cs="Arial"/>
                <w:szCs w:val="22"/>
              </w:rPr>
              <w:t xml:space="preserve"> </w:t>
            </w:r>
          </w:p>
        </w:tc>
      </w:tr>
    </w:tbl>
    <w:p w14:paraId="22E78C0A" w14:textId="77777777" w:rsidR="00E0307C" w:rsidRDefault="00E0307C" w:rsidP="008530F6">
      <w:pPr>
        <w:pStyle w:val="VEOHRCBodytext"/>
        <w:keepNext w:val="0"/>
        <w:contextualSpacing/>
        <w:rPr>
          <w:rFonts w:cs="Arial"/>
          <w:szCs w:val="22"/>
        </w:rPr>
      </w:pPr>
    </w:p>
    <w:tbl>
      <w:tblPr>
        <w:tblStyle w:val="TableGrid"/>
        <w:tblW w:w="0" w:type="auto"/>
        <w:tblLook w:val="04A0" w:firstRow="1" w:lastRow="0" w:firstColumn="1" w:lastColumn="0" w:noHBand="0" w:noVBand="1"/>
      </w:tblPr>
      <w:tblGrid>
        <w:gridCol w:w="9628"/>
      </w:tblGrid>
      <w:tr w:rsidR="008530F6" w:rsidRPr="00CA7F18" w14:paraId="70BCBD8C" w14:textId="77777777" w:rsidTr="00006063">
        <w:tc>
          <w:tcPr>
            <w:tcW w:w="9628" w:type="dxa"/>
            <w:shd w:val="clear" w:color="auto" w:fill="C5E0B3" w:themeFill="accent6" w:themeFillTint="66"/>
            <w:tcMar>
              <w:top w:w="113" w:type="dxa"/>
              <w:bottom w:w="113" w:type="dxa"/>
            </w:tcMar>
          </w:tcPr>
          <w:p w14:paraId="4E780D07" w14:textId="4EC7CC8F" w:rsidR="008530F6" w:rsidRDefault="008530F6" w:rsidP="00006063">
            <w:pPr>
              <w:pStyle w:val="Casestudytitle"/>
            </w:pPr>
            <w:r w:rsidRPr="003F5F17">
              <w:t>Case Stud</w:t>
            </w:r>
            <w:r w:rsidR="00507A75">
              <w:t>ies</w:t>
            </w:r>
            <w:r w:rsidRPr="003F5F17">
              <w:t xml:space="preserve"> of potential harm</w:t>
            </w:r>
          </w:p>
          <w:p w14:paraId="3FE00095" w14:textId="0A295B08" w:rsidR="00F90FA3" w:rsidRDefault="00884118" w:rsidP="001E2D91">
            <w:pPr>
              <w:pStyle w:val="VEOHRCBodytext"/>
              <w:keepNext w:val="0"/>
              <w:spacing w:after="80"/>
              <w:rPr>
                <w:rFonts w:cs="Arial"/>
                <w:szCs w:val="22"/>
              </w:rPr>
            </w:pPr>
            <w:r w:rsidRPr="00A83C43">
              <w:rPr>
                <w:rFonts w:cs="Arial"/>
                <w:szCs w:val="22"/>
              </w:rPr>
              <w:t>A</w:t>
            </w:r>
            <w:r w:rsidRPr="003F5F17">
              <w:rPr>
                <w:rFonts w:cs="Arial"/>
                <w:szCs w:val="22"/>
              </w:rPr>
              <w:t xml:space="preserve"> young trans person seeks assistance from a rural GP. The practitioner refuses to provide a prescription for hormone replacement treatment, order baseline blood tests or provide a referral to an endocrinologist. In explaining their position, the GP states they cannot assist the person because God created men and women, and it would be an affront to their religion to interfere with God’s plans. The GP does not provide a referral to a transgender specialist GP and the young person fails to receive treatment. The young person’s mental health deteriorates, and they continue to suffer unsupported as they are afraid to approach another health service in case they receive the same response. </w:t>
            </w:r>
            <w:r w:rsidR="00F90FA3" w:rsidRPr="003F5F17">
              <w:rPr>
                <w:rFonts w:cs="Arial"/>
                <w:szCs w:val="22"/>
              </w:rPr>
              <w:t xml:space="preserve"> </w:t>
            </w:r>
          </w:p>
          <w:p w14:paraId="3470ACD2" w14:textId="77777777" w:rsidR="00507A75" w:rsidRDefault="00507A75" w:rsidP="001E2D91">
            <w:pPr>
              <w:pStyle w:val="VEOHRCBodytext"/>
              <w:keepNext w:val="0"/>
              <w:spacing w:after="80"/>
              <w:rPr>
                <w:rFonts w:cs="Arial"/>
                <w:szCs w:val="22"/>
              </w:rPr>
            </w:pPr>
          </w:p>
          <w:p w14:paraId="6E98A347" w14:textId="75989109" w:rsidR="00507A75" w:rsidRPr="00CA7F18" w:rsidRDefault="00507A75" w:rsidP="001E2D91">
            <w:pPr>
              <w:pStyle w:val="VEOHRCBodytext"/>
              <w:keepNext w:val="0"/>
              <w:spacing w:after="80"/>
              <w:rPr>
                <w:rFonts w:cs="Arial"/>
                <w:szCs w:val="22"/>
              </w:rPr>
            </w:pPr>
            <w:r>
              <w:t>A woman seek</w:t>
            </w:r>
            <w:r w:rsidR="00184FE8">
              <w:t>s</w:t>
            </w:r>
            <w:r>
              <w:t xml:space="preserve"> medical termination of pregnancy (MTOP) early in </w:t>
            </w:r>
            <w:r w:rsidR="00184FE8">
              <w:t xml:space="preserve">her </w:t>
            </w:r>
            <w:r>
              <w:t>pregnancy</w:t>
            </w:r>
            <w:r w:rsidR="00184FE8">
              <w:t>. She is</w:t>
            </w:r>
            <w:r>
              <w:t xml:space="preserve"> told by her GP that they do not provide these services. The GP </w:t>
            </w:r>
            <w:r w:rsidR="00184FE8">
              <w:t xml:space="preserve">informs her </w:t>
            </w:r>
            <w:r>
              <w:t>that the only services available are private</w:t>
            </w:r>
            <w:r w:rsidR="00184FE8">
              <w:t xml:space="preserve"> </w:t>
            </w:r>
            <w:r>
              <w:t xml:space="preserve">and cost several thousands of dollars. </w:t>
            </w:r>
            <w:r w:rsidR="00184FE8">
              <w:t>The GP does not make any referrals. She then calls several other</w:t>
            </w:r>
            <w:r>
              <w:t xml:space="preserve"> clinics looking for a MTOP before accessing 1800 My Options</w:t>
            </w:r>
            <w:r w:rsidR="00184FE8">
              <w:t>, a service provided by Women’s Health Victoria</w:t>
            </w:r>
            <w:r>
              <w:t>. By this time, she ha</w:t>
            </w:r>
            <w:r w:rsidR="00184FE8">
              <w:t>s</w:t>
            </w:r>
            <w:r>
              <w:t xml:space="preserve"> exceeded the gestational limit for MTOP, and the only option </w:t>
            </w:r>
            <w:r w:rsidR="00184FE8">
              <w:t>is a</w:t>
            </w:r>
            <w:r>
              <w:t xml:space="preserve"> surgical termination which ha</w:t>
            </w:r>
            <w:r w:rsidR="00184FE8">
              <w:t xml:space="preserve">s </w:t>
            </w:r>
            <w:r>
              <w:t>financial implications</w:t>
            </w:r>
          </w:p>
        </w:tc>
      </w:tr>
    </w:tbl>
    <w:p w14:paraId="443DCC48" w14:textId="6F95EC8A" w:rsidR="00BD0986" w:rsidRPr="00BD0986" w:rsidRDefault="0004351D" w:rsidP="00006063">
      <w:pPr>
        <w:pStyle w:val="Heading1"/>
      </w:pPr>
      <w:r w:rsidRPr="00006063">
        <w:rPr>
          <w:b/>
        </w:rPr>
        <w:t>Key Concern</w:t>
      </w:r>
      <w:r w:rsidR="00884118" w:rsidRPr="00006063">
        <w:rPr>
          <w:b/>
        </w:rPr>
        <w:t xml:space="preserve"> 6</w:t>
      </w:r>
      <w:r w:rsidR="00CA6D7D" w:rsidRPr="00006063">
        <w:rPr>
          <w:b/>
        </w:rPr>
        <w:br/>
      </w:r>
      <w:r w:rsidR="00496410" w:rsidRPr="00496410">
        <w:t xml:space="preserve">Protections for </w:t>
      </w:r>
      <w:r w:rsidR="00496410" w:rsidRPr="00496410">
        <w:rPr>
          <w:color w:val="000000" w:themeColor="text1"/>
        </w:rPr>
        <w:t>corporations who are</w:t>
      </w:r>
      <w:r w:rsidR="00496410">
        <w:rPr>
          <w:color w:val="000000" w:themeColor="text1"/>
        </w:rPr>
        <w:t xml:space="preserve"> associated </w:t>
      </w:r>
      <w:r w:rsidR="00496410" w:rsidRPr="00D05E3F">
        <w:rPr>
          <w:color w:val="000000" w:themeColor="text1"/>
        </w:rPr>
        <w:t xml:space="preserve">with </w:t>
      </w:r>
      <w:r w:rsidR="00D05E3F">
        <w:rPr>
          <w:color w:val="000000" w:themeColor="text1"/>
        </w:rPr>
        <w:t xml:space="preserve">religious </w:t>
      </w:r>
      <w:r w:rsidR="00D05E3F" w:rsidRPr="00D05E3F">
        <w:t>individuals</w:t>
      </w:r>
    </w:p>
    <w:p w14:paraId="19E2ECB7" w14:textId="65A05188" w:rsidR="000F1BE3" w:rsidRDefault="000F1BE3" w:rsidP="00627C0B">
      <w:pPr>
        <w:pStyle w:val="VEOHRCBodytext"/>
        <w:keepNext w:val="0"/>
        <w:rPr>
          <w:rFonts w:cs="Arial"/>
          <w:szCs w:val="22"/>
        </w:rPr>
      </w:pPr>
      <w:r w:rsidRPr="002A0257">
        <w:rPr>
          <w:rFonts w:cs="Arial"/>
          <w:szCs w:val="22"/>
        </w:rPr>
        <w:t xml:space="preserve">The Bill </w:t>
      </w:r>
      <w:r w:rsidR="003C2C39">
        <w:rPr>
          <w:rFonts w:cs="Arial"/>
          <w:szCs w:val="22"/>
        </w:rPr>
        <w:t xml:space="preserve">continues to </w:t>
      </w:r>
      <w:r w:rsidRPr="002A0257">
        <w:rPr>
          <w:rFonts w:cs="Arial"/>
          <w:szCs w:val="22"/>
        </w:rPr>
        <w:t>depart from traditional anti-discrimination law</w:t>
      </w:r>
      <w:r w:rsidR="00884118">
        <w:rPr>
          <w:rFonts w:cs="Arial"/>
          <w:szCs w:val="22"/>
        </w:rPr>
        <w:t xml:space="preserve">, </w:t>
      </w:r>
      <w:r w:rsidR="00496410">
        <w:rPr>
          <w:rFonts w:cs="Arial"/>
          <w:szCs w:val="22"/>
        </w:rPr>
        <w:t xml:space="preserve">by </w:t>
      </w:r>
      <w:r w:rsidR="00884118">
        <w:rPr>
          <w:rFonts w:cs="Arial"/>
          <w:szCs w:val="22"/>
        </w:rPr>
        <w:t xml:space="preserve">extending discrimination protections to ‘persons’ </w:t>
      </w:r>
      <w:r w:rsidR="00496410">
        <w:rPr>
          <w:rFonts w:cs="Arial"/>
          <w:szCs w:val="22"/>
        </w:rPr>
        <w:t xml:space="preserve">(including </w:t>
      </w:r>
      <w:r w:rsidR="00D8772B">
        <w:rPr>
          <w:color w:val="000000" w:themeColor="text1"/>
          <w:szCs w:val="22"/>
        </w:rPr>
        <w:t xml:space="preserve">a natural person </w:t>
      </w:r>
      <w:r w:rsidR="00496410" w:rsidRPr="00D86574">
        <w:rPr>
          <w:color w:val="000000" w:themeColor="text1"/>
          <w:szCs w:val="22"/>
        </w:rPr>
        <w:t xml:space="preserve">or </w:t>
      </w:r>
      <w:r w:rsidR="00D8772B">
        <w:rPr>
          <w:color w:val="000000" w:themeColor="text1"/>
          <w:szCs w:val="22"/>
        </w:rPr>
        <w:t xml:space="preserve">a </w:t>
      </w:r>
      <w:r w:rsidR="00496410" w:rsidRPr="00D86574">
        <w:rPr>
          <w:color w:val="000000" w:themeColor="text1"/>
          <w:szCs w:val="22"/>
        </w:rPr>
        <w:t>corporation</w:t>
      </w:r>
      <w:r w:rsidR="00496410">
        <w:rPr>
          <w:color w:val="000000" w:themeColor="text1"/>
          <w:szCs w:val="22"/>
        </w:rPr>
        <w:t>)</w:t>
      </w:r>
      <w:r w:rsidR="00D8772B">
        <w:rPr>
          <w:rStyle w:val="EndnoteReference"/>
          <w:color w:val="000000" w:themeColor="text1"/>
          <w:szCs w:val="22"/>
        </w:rPr>
        <w:endnoteReference w:id="14"/>
      </w:r>
      <w:r w:rsidR="00496410" w:rsidRPr="00D86574">
        <w:rPr>
          <w:color w:val="000000" w:themeColor="text1"/>
          <w:szCs w:val="22"/>
        </w:rPr>
        <w:t xml:space="preserve"> </w:t>
      </w:r>
      <w:r w:rsidR="00D8772B">
        <w:rPr>
          <w:color w:val="000000" w:themeColor="text1"/>
          <w:szCs w:val="22"/>
        </w:rPr>
        <w:t xml:space="preserve">associated </w:t>
      </w:r>
      <w:r w:rsidR="00884118" w:rsidRPr="00D86574">
        <w:rPr>
          <w:color w:val="000000" w:themeColor="text1"/>
          <w:szCs w:val="22"/>
        </w:rPr>
        <w:t>with individuals who hold or engage in a religious belief or activity</w:t>
      </w:r>
      <w:r w:rsidR="003C2C39">
        <w:rPr>
          <w:rFonts w:cs="Arial"/>
          <w:szCs w:val="22"/>
        </w:rPr>
        <w:t xml:space="preserve">. This </w:t>
      </w:r>
      <w:r w:rsidRPr="002A0257">
        <w:rPr>
          <w:rFonts w:cs="Arial"/>
          <w:szCs w:val="22"/>
        </w:rPr>
        <w:t>afford</w:t>
      </w:r>
      <w:r w:rsidR="003C2C39">
        <w:rPr>
          <w:rFonts w:cs="Arial"/>
          <w:szCs w:val="22"/>
        </w:rPr>
        <w:t xml:space="preserve">s </w:t>
      </w:r>
      <w:r w:rsidRPr="002A0257">
        <w:rPr>
          <w:rFonts w:cs="Arial"/>
          <w:szCs w:val="22"/>
        </w:rPr>
        <w:t>businesses protections against discrimination ordinarily provided only to individual persons.</w:t>
      </w:r>
    </w:p>
    <w:p w14:paraId="5C914EE9" w14:textId="0BDBCC9E" w:rsidR="003C2C39" w:rsidRPr="003E63C4" w:rsidRDefault="003C2C39" w:rsidP="00006063">
      <w:pPr>
        <w:pStyle w:val="Heading2"/>
      </w:pPr>
      <w:r w:rsidRPr="00C16FBF">
        <w:t xml:space="preserve">What’s changed in the second exposure draft? </w:t>
      </w:r>
    </w:p>
    <w:p w14:paraId="326E4B05" w14:textId="298B591C" w:rsidR="000F1BE3" w:rsidRPr="00422665" w:rsidRDefault="000F1BE3" w:rsidP="00627C0B">
      <w:pPr>
        <w:pStyle w:val="VEOHRCHeading2"/>
        <w:spacing w:before="80" w:after="120" w:line="240" w:lineRule="auto"/>
        <w:rPr>
          <w:rFonts w:cs="Arial"/>
          <w:sz w:val="22"/>
          <w:szCs w:val="22"/>
        </w:rPr>
      </w:pPr>
      <w:r w:rsidRPr="00F87F8B">
        <w:rPr>
          <w:rFonts w:cs="Arial"/>
          <w:b w:val="0"/>
          <w:sz w:val="22"/>
          <w:szCs w:val="22"/>
        </w:rPr>
        <w:t>The definition of ‘person’ in cl</w:t>
      </w:r>
      <w:r w:rsidR="003C2C39" w:rsidRPr="00F87F8B">
        <w:rPr>
          <w:rFonts w:cs="Arial"/>
          <w:b w:val="0"/>
          <w:sz w:val="22"/>
          <w:szCs w:val="22"/>
        </w:rPr>
        <w:t>ause</w:t>
      </w:r>
      <w:r w:rsidRPr="00F87F8B">
        <w:rPr>
          <w:rFonts w:cs="Arial"/>
          <w:b w:val="0"/>
          <w:sz w:val="22"/>
          <w:szCs w:val="22"/>
        </w:rPr>
        <w:t> 5 has</w:t>
      </w:r>
      <w:r w:rsidR="003C2C39" w:rsidRPr="00F87F8B">
        <w:rPr>
          <w:rFonts w:cs="Arial"/>
          <w:b w:val="0"/>
          <w:sz w:val="22"/>
          <w:szCs w:val="22"/>
        </w:rPr>
        <w:t xml:space="preserve"> now</w:t>
      </w:r>
      <w:r w:rsidRPr="00F87F8B">
        <w:rPr>
          <w:rFonts w:cs="Arial"/>
          <w:b w:val="0"/>
          <w:sz w:val="22"/>
          <w:szCs w:val="22"/>
        </w:rPr>
        <w:t xml:space="preserve"> been removed. </w:t>
      </w:r>
      <w:r w:rsidR="003C2C39" w:rsidRPr="00F87F8B">
        <w:rPr>
          <w:rFonts w:cs="Arial"/>
          <w:b w:val="0"/>
          <w:sz w:val="22"/>
          <w:szCs w:val="22"/>
        </w:rPr>
        <w:t xml:space="preserve">However, there is a </w:t>
      </w:r>
      <w:r w:rsidRPr="00F87F8B">
        <w:rPr>
          <w:rFonts w:cs="Arial"/>
          <w:b w:val="0"/>
          <w:sz w:val="22"/>
          <w:szCs w:val="22"/>
        </w:rPr>
        <w:t xml:space="preserve">new clause 9 </w:t>
      </w:r>
      <w:r w:rsidR="003C2C39" w:rsidRPr="00F87F8B">
        <w:rPr>
          <w:rFonts w:cs="Arial"/>
          <w:b w:val="0"/>
          <w:sz w:val="22"/>
          <w:szCs w:val="22"/>
        </w:rPr>
        <w:t xml:space="preserve">which </w:t>
      </w:r>
      <w:r w:rsidRPr="00F87F8B">
        <w:rPr>
          <w:rFonts w:cs="Arial"/>
          <w:b w:val="0"/>
          <w:sz w:val="22"/>
          <w:szCs w:val="22"/>
        </w:rPr>
        <w:t>allows complaints to be made by</w:t>
      </w:r>
      <w:r w:rsidR="003C4CFB" w:rsidRPr="00F87F8B">
        <w:rPr>
          <w:rFonts w:cs="Arial"/>
          <w:b w:val="0"/>
          <w:sz w:val="22"/>
          <w:szCs w:val="22"/>
        </w:rPr>
        <w:t xml:space="preserve"> persons who have an association with an individual who holds or engages in a religious belief or activity. Whilst the term “person’ is not defined in the Bill, the Explanatory Notes</w:t>
      </w:r>
      <w:r w:rsidR="003C4CFB" w:rsidRPr="00F87F8B">
        <w:rPr>
          <w:bCs w:val="0"/>
          <w:color w:val="000000" w:themeColor="text1"/>
        </w:rPr>
        <w:t xml:space="preserve"> </w:t>
      </w:r>
      <w:r w:rsidR="003C4CFB" w:rsidRPr="00F87F8B">
        <w:rPr>
          <w:b w:val="0"/>
          <w:bCs w:val="0"/>
          <w:sz w:val="22"/>
          <w:szCs w:val="22"/>
        </w:rPr>
        <w:t xml:space="preserve">import the meaning of person in clause 9 from section 2C of the </w:t>
      </w:r>
      <w:r w:rsidR="003C4CFB" w:rsidRPr="00F87F8B">
        <w:rPr>
          <w:b w:val="0"/>
          <w:bCs w:val="0"/>
          <w:i/>
          <w:sz w:val="22"/>
          <w:szCs w:val="22"/>
        </w:rPr>
        <w:t>Acts Interpretation Act 1901</w:t>
      </w:r>
      <w:r w:rsidR="003C4CFB" w:rsidRPr="00F87F8B">
        <w:rPr>
          <w:rFonts w:cs="Arial"/>
          <w:b w:val="0"/>
          <w:sz w:val="22"/>
          <w:szCs w:val="22"/>
        </w:rPr>
        <w:t xml:space="preserve"> which extends to </w:t>
      </w:r>
      <w:r w:rsidRPr="00F87F8B">
        <w:rPr>
          <w:rFonts w:cs="Arial"/>
          <w:b w:val="0"/>
          <w:sz w:val="22"/>
          <w:szCs w:val="22"/>
        </w:rPr>
        <w:t>corporations</w:t>
      </w:r>
      <w:r w:rsidR="003C4CFB" w:rsidRPr="00F87F8B">
        <w:rPr>
          <w:rFonts w:cs="Arial"/>
          <w:b w:val="0"/>
          <w:sz w:val="22"/>
          <w:szCs w:val="22"/>
        </w:rPr>
        <w:t>. This means corporations may</w:t>
      </w:r>
      <w:r w:rsidRPr="00F87F8B">
        <w:rPr>
          <w:rFonts w:cs="Arial"/>
          <w:b w:val="0"/>
          <w:sz w:val="22"/>
          <w:szCs w:val="22"/>
        </w:rPr>
        <w:t xml:space="preserve"> make complaints of religious discrimination in their own right as associates of a</w:t>
      </w:r>
      <w:r w:rsidR="000649E5" w:rsidRPr="00F87F8B">
        <w:rPr>
          <w:rFonts w:cs="Arial"/>
          <w:b w:val="0"/>
          <w:sz w:val="22"/>
          <w:szCs w:val="22"/>
        </w:rPr>
        <w:t>n individual</w:t>
      </w:r>
      <w:r w:rsidRPr="00F87F8B">
        <w:rPr>
          <w:rFonts w:cs="Arial"/>
          <w:b w:val="0"/>
          <w:sz w:val="22"/>
          <w:szCs w:val="22"/>
        </w:rPr>
        <w:t xml:space="preserve"> with a religious belief.</w:t>
      </w:r>
    </w:p>
    <w:p w14:paraId="74C7DACF" w14:textId="3CABCAE4" w:rsidR="003C2C39" w:rsidRDefault="003C2C39" w:rsidP="00006063">
      <w:pPr>
        <w:pStyle w:val="VEOHRCHeading2"/>
      </w:pPr>
      <w:r w:rsidRPr="001510B7">
        <w:t xml:space="preserve">Do the changes address our concerns? </w:t>
      </w:r>
    </w:p>
    <w:p w14:paraId="71420A34" w14:textId="6D6EDDF9" w:rsidR="00416E67" w:rsidRDefault="00CA6D7D" w:rsidP="005D6CFE">
      <w:pPr>
        <w:pStyle w:val="VEOHRCBodytext"/>
      </w:pPr>
      <w:r w:rsidRPr="00F87F8B">
        <w:rPr>
          <w:b/>
          <w:bCs/>
          <w:iCs/>
          <w:color w:val="FF0000"/>
        </w:rPr>
        <w:sym w:font="Wingdings 2" w:char="F098"/>
      </w:r>
      <w:r w:rsidRPr="00F87F8B">
        <w:rPr>
          <w:b/>
          <w:bCs/>
          <w:iCs/>
          <w:color w:val="FF0000"/>
        </w:rPr>
        <w:t xml:space="preserve"> </w:t>
      </w:r>
      <w:r w:rsidR="003C2C39" w:rsidRPr="00886042">
        <w:rPr>
          <w:color w:val="FF0000"/>
        </w:rPr>
        <w:t xml:space="preserve">Our concerns with this part of the Bill </w:t>
      </w:r>
      <w:r w:rsidR="003C4CFB" w:rsidRPr="00886042">
        <w:rPr>
          <w:color w:val="FF0000"/>
        </w:rPr>
        <w:t xml:space="preserve">were initially </w:t>
      </w:r>
      <w:r w:rsidR="003C2C39" w:rsidRPr="00886042">
        <w:rPr>
          <w:color w:val="FF0000"/>
        </w:rPr>
        <w:t xml:space="preserve">addressed by the removal of the definition of person in clause 5. However, </w:t>
      </w:r>
      <w:r w:rsidR="003C4CFB" w:rsidRPr="00886042">
        <w:rPr>
          <w:color w:val="FF0000"/>
        </w:rPr>
        <w:t>this change is undermined by</w:t>
      </w:r>
      <w:r w:rsidR="003C2C39" w:rsidRPr="00886042">
        <w:rPr>
          <w:color w:val="FF0000"/>
        </w:rPr>
        <w:t xml:space="preserve"> </w:t>
      </w:r>
      <w:r w:rsidR="00C23BFA" w:rsidRPr="00886042">
        <w:rPr>
          <w:color w:val="FF0000"/>
        </w:rPr>
        <w:t>the introduction of clause 9.</w:t>
      </w:r>
      <w:r w:rsidR="00C23BFA" w:rsidRPr="00006063">
        <w:rPr>
          <w:color w:val="FF0000"/>
        </w:rPr>
        <w:t xml:space="preserve"> </w:t>
      </w:r>
    </w:p>
    <w:p w14:paraId="3D25B5A4" w14:textId="35ABE9F4" w:rsidR="00CA6D7D" w:rsidRDefault="000F1BE3" w:rsidP="00006063">
      <w:pPr>
        <w:pStyle w:val="VEOHRCBodytext"/>
      </w:pPr>
      <w:r w:rsidRPr="00D86574">
        <w:t xml:space="preserve">One of the Commission’s key concerns about the first exposure draft was that it allowed </w:t>
      </w:r>
      <w:r w:rsidRPr="00D86574">
        <w:rPr>
          <w:color w:val="000000" w:themeColor="text1"/>
        </w:rPr>
        <w:t xml:space="preserve">corporations and religious organisations to make claims of discrimination in their own right by including body corporates in the definition of ‘person’ in clause 5. The definition of ‘person’ in clause 5 has now been removed. The explanatory notes confirm that the Bill </w:t>
      </w:r>
      <w:r w:rsidR="00416E67">
        <w:rPr>
          <w:color w:val="000000" w:themeColor="text1"/>
        </w:rPr>
        <w:t>‘</w:t>
      </w:r>
      <w:r w:rsidRPr="00D86574">
        <w:rPr>
          <w:color w:val="000000" w:themeColor="text1"/>
        </w:rPr>
        <w:t>does not envisage that non-natural persons, such as bodies corporate, will hold or engage in religious beliefs or activities</w:t>
      </w:r>
      <w:r w:rsidR="00416E67" w:rsidRPr="00D86574">
        <w:rPr>
          <w:color w:val="000000" w:themeColor="text1"/>
        </w:rPr>
        <w:t>.</w:t>
      </w:r>
      <w:r w:rsidR="00416E67">
        <w:rPr>
          <w:color w:val="000000" w:themeColor="text1"/>
        </w:rPr>
        <w:t>’</w:t>
      </w:r>
    </w:p>
    <w:p w14:paraId="60B3A8ED" w14:textId="4F9A710F" w:rsidR="00CA6D7D" w:rsidRDefault="000F1BE3" w:rsidP="00006063">
      <w:pPr>
        <w:pStyle w:val="VEOHRCBodytext"/>
        <w:keepNext w:val="0"/>
      </w:pPr>
      <w:r w:rsidRPr="00D86574">
        <w:t xml:space="preserve">While </w:t>
      </w:r>
      <w:r w:rsidR="00C23BFA">
        <w:t>the Commission</w:t>
      </w:r>
      <w:r w:rsidRPr="00D86574">
        <w:t xml:space="preserve"> welcome</w:t>
      </w:r>
      <w:r w:rsidR="00C23BFA">
        <w:t>s</w:t>
      </w:r>
      <w:r w:rsidRPr="00D86574">
        <w:t xml:space="preserve"> this change, it is undermined by the introduction of clause 9 which extends protections from discrimination to persons associated with individuals who hold or engage in a religious belief or activity. The Bill does not define what the term ‘person’ means</w:t>
      </w:r>
      <w:r w:rsidR="00C23BFA">
        <w:t>. However,</w:t>
      </w:r>
      <w:r w:rsidRPr="00D86574">
        <w:t xml:space="preserve"> the explanatory notes on the second exposure draft</w:t>
      </w:r>
      <w:r w:rsidRPr="00D86574">
        <w:rPr>
          <w:rStyle w:val="EndnoteReference"/>
          <w:rFonts w:cs="Arial"/>
          <w:color w:val="000000" w:themeColor="text1"/>
          <w:szCs w:val="22"/>
        </w:rPr>
        <w:endnoteReference w:id="15"/>
      </w:r>
      <w:r w:rsidRPr="00D86574">
        <w:t xml:space="preserve"> import the meaning of person in clause 9 from section 2C of the </w:t>
      </w:r>
      <w:r w:rsidRPr="00D86574">
        <w:rPr>
          <w:i/>
        </w:rPr>
        <w:t>Acts Interpretation Act 1901</w:t>
      </w:r>
      <w:r w:rsidRPr="00D86574">
        <w:t>. Accordingly, a person, for the purposes of the Bill, includes natural persons, bodies corporate and bodies politic</w:t>
      </w:r>
      <w:r w:rsidR="000649E5">
        <w:t>.</w:t>
      </w:r>
      <w:r w:rsidRPr="00D86574">
        <w:rPr>
          <w:rStyle w:val="EndnoteReference"/>
          <w:rFonts w:cs="Arial"/>
          <w:color w:val="000000" w:themeColor="text1"/>
          <w:szCs w:val="22"/>
        </w:rPr>
        <w:endnoteReference w:id="16"/>
      </w:r>
      <w:r w:rsidRPr="00D86574">
        <w:t xml:space="preserve"> This means </w:t>
      </w:r>
      <w:r w:rsidR="000649E5">
        <w:t>corporations</w:t>
      </w:r>
      <w:r w:rsidRPr="00D86574">
        <w:t xml:space="preserve"> can still make claims of discrimination against a natural person</w:t>
      </w:r>
      <w:r w:rsidR="00C4671D" w:rsidRPr="003E63C4">
        <w:t xml:space="preserve"> as</w:t>
      </w:r>
      <w:r w:rsidRPr="00D86574">
        <w:t xml:space="preserve"> associates of a</w:t>
      </w:r>
      <w:r w:rsidR="000649E5">
        <w:t>n individual</w:t>
      </w:r>
      <w:r w:rsidRPr="00D86574">
        <w:t xml:space="preserve"> with a religious belief. </w:t>
      </w:r>
    </w:p>
    <w:p w14:paraId="60BED213" w14:textId="72F01BF2" w:rsidR="008530F6" w:rsidRDefault="000F1BE3" w:rsidP="00006063">
      <w:pPr>
        <w:pStyle w:val="VEOHRCHeading2"/>
        <w:keepNext w:val="0"/>
        <w:spacing w:before="80" w:after="120" w:line="240" w:lineRule="auto"/>
        <w:contextualSpacing/>
        <w:rPr>
          <w:b w:val="0"/>
          <w:i/>
          <w:color w:val="000000" w:themeColor="text1"/>
          <w:sz w:val="22"/>
          <w:szCs w:val="22"/>
        </w:rPr>
      </w:pPr>
      <w:r w:rsidRPr="00D86574">
        <w:rPr>
          <w:b w:val="0"/>
          <w:color w:val="000000" w:themeColor="text1"/>
          <w:sz w:val="22"/>
          <w:szCs w:val="22"/>
        </w:rPr>
        <w:t>If clause 9 is removed from the Bill, it will not prevent an associated person</w:t>
      </w:r>
      <w:r w:rsidR="00C4671D">
        <w:rPr>
          <w:b w:val="0"/>
          <w:color w:val="000000" w:themeColor="text1"/>
          <w:sz w:val="22"/>
          <w:szCs w:val="22"/>
        </w:rPr>
        <w:t xml:space="preserve">, </w:t>
      </w:r>
      <w:r w:rsidRPr="00D86574">
        <w:rPr>
          <w:b w:val="0"/>
          <w:color w:val="000000" w:themeColor="text1"/>
          <w:sz w:val="22"/>
          <w:szCs w:val="22"/>
        </w:rPr>
        <w:t>including a company</w:t>
      </w:r>
      <w:r w:rsidR="00C4671D">
        <w:rPr>
          <w:b w:val="0"/>
          <w:color w:val="000000" w:themeColor="text1"/>
          <w:sz w:val="22"/>
          <w:szCs w:val="22"/>
        </w:rPr>
        <w:t>,</w:t>
      </w:r>
      <w:r w:rsidRPr="00D86574">
        <w:rPr>
          <w:b w:val="0"/>
          <w:color w:val="000000" w:themeColor="text1"/>
          <w:sz w:val="22"/>
          <w:szCs w:val="22"/>
        </w:rPr>
        <w:t xml:space="preserve"> from making a representative complaint to the Australian Human Rights Commission under section 46P of the </w:t>
      </w:r>
      <w:r w:rsidRPr="00D86574">
        <w:rPr>
          <w:b w:val="0"/>
          <w:i/>
          <w:color w:val="000000" w:themeColor="text1"/>
          <w:sz w:val="22"/>
          <w:szCs w:val="22"/>
        </w:rPr>
        <w:t>Australian Human Rights Commission Act 1996.</w:t>
      </w:r>
      <w:r w:rsidRPr="00D86574">
        <w:rPr>
          <w:rStyle w:val="EndnoteReference"/>
          <w:rFonts w:cs="Arial"/>
          <w:b w:val="0"/>
          <w:i/>
          <w:color w:val="000000" w:themeColor="text1"/>
          <w:sz w:val="22"/>
          <w:szCs w:val="22"/>
        </w:rPr>
        <w:endnoteReference w:id="17"/>
      </w:r>
    </w:p>
    <w:tbl>
      <w:tblPr>
        <w:tblStyle w:val="TableGrid"/>
        <w:tblW w:w="0" w:type="auto"/>
        <w:tblLook w:val="04A0" w:firstRow="1" w:lastRow="0" w:firstColumn="1" w:lastColumn="0" w:noHBand="0" w:noVBand="1"/>
      </w:tblPr>
      <w:tblGrid>
        <w:gridCol w:w="9628"/>
      </w:tblGrid>
      <w:tr w:rsidR="008530F6" w14:paraId="11F9FFE4" w14:textId="77777777" w:rsidTr="00006063">
        <w:tc>
          <w:tcPr>
            <w:tcW w:w="9628" w:type="dxa"/>
            <w:shd w:val="clear" w:color="auto" w:fill="C5E0B3" w:themeFill="accent6" w:themeFillTint="66"/>
            <w:tcMar>
              <w:top w:w="113" w:type="dxa"/>
              <w:bottom w:w="113" w:type="dxa"/>
            </w:tcMar>
          </w:tcPr>
          <w:p w14:paraId="02CF6468" w14:textId="7885FA1A" w:rsidR="008530F6" w:rsidRPr="00BD0986" w:rsidRDefault="008530F6" w:rsidP="00006063">
            <w:pPr>
              <w:pStyle w:val="Casestudytitle"/>
              <w:keepNext w:val="0"/>
            </w:pPr>
            <w:r w:rsidRPr="00BD0986">
              <w:t xml:space="preserve">Case </w:t>
            </w:r>
            <w:r w:rsidR="00416E67">
              <w:t>s</w:t>
            </w:r>
            <w:r w:rsidR="00416E67" w:rsidRPr="00BD0986">
              <w:t xml:space="preserve">tudy </w:t>
            </w:r>
            <w:r w:rsidRPr="00BD0986">
              <w:t>of potential harm</w:t>
            </w:r>
          </w:p>
          <w:p w14:paraId="694B8A00" w14:textId="77777777" w:rsidR="008530F6" w:rsidRPr="00BD0986" w:rsidRDefault="008530F6" w:rsidP="005D6CFE">
            <w:pPr>
              <w:pStyle w:val="VEOHRCBodytext"/>
              <w:keepNext w:val="0"/>
              <w:spacing w:after="80"/>
              <w:rPr>
                <w:rFonts w:cs="Arial"/>
                <w:szCs w:val="22"/>
              </w:rPr>
            </w:pPr>
            <w:r w:rsidRPr="002A0257">
              <w:rPr>
                <w:rFonts w:cs="Arial"/>
                <w:szCs w:val="22"/>
              </w:rPr>
              <w:t>The CEO of a restaurant chain, who is also a Christian, makes several public comments about the LGBTIQ community including that marriage should be between a man and woman and that members of that community will go to hell. One of the major vendors to his restaurant chain informs the restaurant chain that they will not be engaging in any further business with them because of the comments as they are a supporter of LGBTIQ rights. In this scenario, the restaurant chain may be able to lodge a complaint of discrimination against the vendor as an ‘associate’ of a person, i.e. the CEO, with a religious belief or activity in the provision of goods and services.</w:t>
            </w:r>
          </w:p>
        </w:tc>
      </w:tr>
    </w:tbl>
    <w:p w14:paraId="1724FF48" w14:textId="328CA09F" w:rsidR="00BD0986" w:rsidRDefault="00BD0986" w:rsidP="00006063">
      <w:pPr>
        <w:pStyle w:val="VEOHRCHeading2"/>
        <w:keepNext w:val="0"/>
        <w:spacing w:before="80" w:after="120" w:line="240" w:lineRule="auto"/>
        <w:rPr>
          <w:rFonts w:cs="Arial"/>
          <w:b w:val="0"/>
          <w:i/>
          <w:sz w:val="22"/>
          <w:szCs w:val="22"/>
        </w:rPr>
      </w:pPr>
    </w:p>
    <w:tbl>
      <w:tblPr>
        <w:tblStyle w:val="TableGrid"/>
        <w:tblW w:w="0" w:type="auto"/>
        <w:tblLook w:val="04A0" w:firstRow="1" w:lastRow="0" w:firstColumn="1" w:lastColumn="0" w:noHBand="0" w:noVBand="1"/>
      </w:tblPr>
      <w:tblGrid>
        <w:gridCol w:w="9628"/>
      </w:tblGrid>
      <w:tr w:rsidR="00BD0986" w14:paraId="460DEEC8" w14:textId="77777777" w:rsidTr="00006063">
        <w:tc>
          <w:tcPr>
            <w:tcW w:w="9628" w:type="dxa"/>
            <w:shd w:val="clear" w:color="auto" w:fill="BDD6EE" w:themeFill="accent1" w:themeFillTint="66"/>
            <w:tcMar>
              <w:top w:w="113" w:type="dxa"/>
              <w:bottom w:w="113" w:type="dxa"/>
            </w:tcMar>
          </w:tcPr>
          <w:p w14:paraId="5AE20F51" w14:textId="7AEB2176" w:rsidR="00BD0986" w:rsidRPr="00BD0986" w:rsidRDefault="00BD0986" w:rsidP="00006063">
            <w:pPr>
              <w:pStyle w:val="Casestudytitle"/>
              <w:keepNext w:val="0"/>
            </w:pPr>
            <w:bookmarkStart w:id="5" w:name="_Hlk31210339"/>
            <w:r w:rsidRPr="00BD0986">
              <w:t xml:space="preserve">Recommendation </w:t>
            </w:r>
            <w:r w:rsidR="00D05E3F">
              <w:t>6</w:t>
            </w:r>
            <w:r w:rsidRPr="00BD0986">
              <w:t xml:space="preserve"> </w:t>
            </w:r>
            <w:r w:rsidR="001B4865">
              <w:t>(new)</w:t>
            </w:r>
          </w:p>
          <w:p w14:paraId="75FEABB3" w14:textId="7B1B07A1" w:rsidR="00BD0986" w:rsidRPr="00BD0986" w:rsidRDefault="00BD0986" w:rsidP="005D6CFE">
            <w:pPr>
              <w:pStyle w:val="VEOHRCBodytext"/>
              <w:keepNext w:val="0"/>
              <w:spacing w:after="80"/>
              <w:rPr>
                <w:rFonts w:cs="Arial"/>
                <w:i/>
                <w:szCs w:val="22"/>
              </w:rPr>
            </w:pPr>
            <w:r w:rsidRPr="002A0257">
              <w:rPr>
                <w:rFonts w:cs="Arial"/>
                <w:szCs w:val="22"/>
              </w:rPr>
              <w:t xml:space="preserve">The Attorney-General </w:t>
            </w:r>
            <w:r w:rsidRPr="0085527E">
              <w:rPr>
                <w:rFonts w:cs="Arial"/>
                <w:szCs w:val="22"/>
              </w:rPr>
              <w:t xml:space="preserve">should amend </w:t>
            </w:r>
            <w:r w:rsidR="00E01ADD">
              <w:rPr>
                <w:rFonts w:cs="Arial"/>
                <w:szCs w:val="22"/>
              </w:rPr>
              <w:t>clause 9 of the Religious Discrimination Bill</w:t>
            </w:r>
            <w:r w:rsidRPr="0085527E">
              <w:rPr>
                <w:rFonts w:cs="Arial"/>
                <w:szCs w:val="22"/>
              </w:rPr>
              <w:t xml:space="preserve"> to make it clear that a</w:t>
            </w:r>
            <w:r w:rsidR="00F172C0" w:rsidRPr="0085527E">
              <w:rPr>
                <w:rFonts w:cs="Arial"/>
                <w:szCs w:val="22"/>
              </w:rPr>
              <w:t>n associate</w:t>
            </w:r>
            <w:r w:rsidRPr="0085527E">
              <w:rPr>
                <w:rFonts w:cs="Arial"/>
                <w:szCs w:val="22"/>
              </w:rPr>
              <w:t xml:space="preserve"> may only be a natural person</w:t>
            </w:r>
            <w:r w:rsidR="004B5157">
              <w:rPr>
                <w:rFonts w:cs="Arial"/>
              </w:rPr>
              <w:t xml:space="preserve"> (for example</w:t>
            </w:r>
            <w:r w:rsidR="00E01ADD">
              <w:rPr>
                <w:rFonts w:cs="Arial"/>
              </w:rPr>
              <w:t xml:space="preserve"> partners,</w:t>
            </w:r>
            <w:r w:rsidR="004B5157">
              <w:rPr>
                <w:rFonts w:cs="Arial"/>
              </w:rPr>
              <w:t xml:space="preserve"> </w:t>
            </w:r>
            <w:r w:rsidR="00F172C0" w:rsidRPr="0085527E">
              <w:t>parents, carers and advocates</w:t>
            </w:r>
            <w:r w:rsidR="004B5157">
              <w:t>)</w:t>
            </w:r>
            <w:r w:rsidRPr="0085527E">
              <w:rPr>
                <w:rFonts w:cs="Arial"/>
                <w:szCs w:val="22"/>
              </w:rPr>
              <w:t>.</w:t>
            </w:r>
            <w:bookmarkEnd w:id="5"/>
          </w:p>
        </w:tc>
      </w:tr>
    </w:tbl>
    <w:p w14:paraId="5F74F6E0" w14:textId="417EA058" w:rsidR="00BD0986" w:rsidRPr="00A30DDE" w:rsidRDefault="0004351D" w:rsidP="00006063">
      <w:pPr>
        <w:pStyle w:val="Heading1"/>
      </w:pPr>
      <w:r w:rsidRPr="00006063">
        <w:rPr>
          <w:b/>
        </w:rPr>
        <w:t>Key Concern</w:t>
      </w:r>
      <w:r w:rsidR="00D05E3F" w:rsidRPr="00006063">
        <w:rPr>
          <w:b/>
        </w:rPr>
        <w:t xml:space="preserve"> </w:t>
      </w:r>
      <w:r w:rsidR="004C785E" w:rsidRPr="00006063">
        <w:rPr>
          <w:b/>
        </w:rPr>
        <w:t>7</w:t>
      </w:r>
      <w:r w:rsidR="00CA6D7D" w:rsidRPr="00006063">
        <w:rPr>
          <w:b/>
        </w:rPr>
        <w:br/>
      </w:r>
      <w:r w:rsidR="00BD0986">
        <w:t>G</w:t>
      </w:r>
      <w:r w:rsidR="00BD0986" w:rsidRPr="00A30DDE">
        <w:t>ranting religious bodies broader exceptions</w:t>
      </w:r>
      <w:r w:rsidR="00D05E3F">
        <w:t xml:space="preserve"> </w:t>
      </w:r>
      <w:r w:rsidR="00892C4E">
        <w:t>that permit</w:t>
      </w:r>
      <w:r w:rsidR="00D05E3F">
        <w:t xml:space="preserve"> discrimination</w:t>
      </w:r>
    </w:p>
    <w:p w14:paraId="089A4443" w14:textId="30F8D319" w:rsidR="00C4671D" w:rsidRDefault="000F1BE3" w:rsidP="00627C0B">
      <w:pPr>
        <w:pStyle w:val="VEOHRCBodytext"/>
        <w:keepNext w:val="0"/>
        <w:rPr>
          <w:rFonts w:cs="Arial"/>
          <w:szCs w:val="22"/>
        </w:rPr>
      </w:pPr>
      <w:r w:rsidRPr="002A0257">
        <w:rPr>
          <w:rFonts w:cs="Arial"/>
          <w:szCs w:val="22"/>
        </w:rPr>
        <w:t xml:space="preserve">The Bill </w:t>
      </w:r>
      <w:r w:rsidR="00C4671D">
        <w:rPr>
          <w:rFonts w:cs="Arial"/>
          <w:szCs w:val="22"/>
        </w:rPr>
        <w:t xml:space="preserve">continues to </w:t>
      </w:r>
      <w:r w:rsidRPr="002A0257">
        <w:rPr>
          <w:rFonts w:cs="Arial"/>
          <w:szCs w:val="22"/>
        </w:rPr>
        <w:t>elevate the rights of religious bodies over those of individuals and other bodies by expanding when they can lawfully discriminate based on religious belief or activity</w:t>
      </w:r>
      <w:r w:rsidR="00C4671D">
        <w:rPr>
          <w:rFonts w:cs="Arial"/>
          <w:szCs w:val="22"/>
        </w:rPr>
        <w:t xml:space="preserve"> in clause 11.</w:t>
      </w:r>
    </w:p>
    <w:p w14:paraId="35690DCA" w14:textId="5B95458E" w:rsidR="00C4671D" w:rsidRPr="00D86574" w:rsidRDefault="00C4671D" w:rsidP="00006063">
      <w:pPr>
        <w:pStyle w:val="Heading2"/>
      </w:pPr>
      <w:r w:rsidRPr="00D86574">
        <w:t xml:space="preserve">What’s changed in the second exposure draft? </w:t>
      </w:r>
    </w:p>
    <w:p w14:paraId="60735BF1" w14:textId="5700A7F1" w:rsidR="000F1BE3" w:rsidRPr="00D86574" w:rsidRDefault="00144B92" w:rsidP="00627C0B">
      <w:pPr>
        <w:pStyle w:val="VEOHRCHeading2"/>
        <w:spacing w:before="80" w:after="120" w:line="240" w:lineRule="auto"/>
        <w:rPr>
          <w:rFonts w:cs="Arial"/>
          <w:b w:val="0"/>
          <w:sz w:val="22"/>
          <w:szCs w:val="22"/>
        </w:rPr>
      </w:pPr>
      <w:r w:rsidRPr="00D05E3F">
        <w:rPr>
          <w:rFonts w:cs="Arial"/>
          <w:b w:val="0"/>
          <w:sz w:val="22"/>
          <w:szCs w:val="22"/>
        </w:rPr>
        <w:t>The previous definition of a ‘religious body’ in clause 11(5) which included registered charities, has been expanded to include public benevolent institutions. In addition, the</w:t>
      </w:r>
      <w:r w:rsidR="000F1BE3" w:rsidRPr="00D86574">
        <w:rPr>
          <w:rFonts w:cs="Arial"/>
          <w:b w:val="0"/>
          <w:sz w:val="22"/>
          <w:szCs w:val="22"/>
        </w:rPr>
        <w:t xml:space="preserve"> second exposure draft further expands </w:t>
      </w:r>
      <w:r>
        <w:rPr>
          <w:rFonts w:cs="Arial"/>
          <w:b w:val="0"/>
          <w:sz w:val="22"/>
          <w:szCs w:val="22"/>
        </w:rPr>
        <w:t xml:space="preserve">the circumstances </w:t>
      </w:r>
      <w:r w:rsidR="008241F8">
        <w:rPr>
          <w:rFonts w:cs="Arial"/>
          <w:b w:val="0"/>
          <w:sz w:val="22"/>
          <w:szCs w:val="22"/>
        </w:rPr>
        <w:t xml:space="preserve">in which </w:t>
      </w:r>
      <w:r w:rsidR="000F1BE3" w:rsidRPr="00D86574">
        <w:rPr>
          <w:rFonts w:cs="Arial"/>
          <w:b w:val="0"/>
          <w:sz w:val="22"/>
          <w:szCs w:val="22"/>
        </w:rPr>
        <w:t>religious bodies can lawfully discriminate based on religious belief or activity</w:t>
      </w:r>
      <w:r>
        <w:rPr>
          <w:rFonts w:cs="Arial"/>
          <w:b w:val="0"/>
          <w:sz w:val="22"/>
          <w:szCs w:val="22"/>
        </w:rPr>
        <w:t xml:space="preserve"> through the introduction of</w:t>
      </w:r>
      <w:r w:rsidRPr="00144B92">
        <w:rPr>
          <w:rFonts w:cs="Arial"/>
          <w:sz w:val="22"/>
          <w:szCs w:val="22"/>
        </w:rPr>
        <w:t xml:space="preserve"> </w:t>
      </w:r>
      <w:r w:rsidRPr="00D86574">
        <w:rPr>
          <w:rFonts w:cs="Arial"/>
          <w:b w:val="0"/>
          <w:sz w:val="22"/>
          <w:szCs w:val="22"/>
        </w:rPr>
        <w:t>clauses 11(3) and 11(4)</w:t>
      </w:r>
      <w:r>
        <w:rPr>
          <w:rFonts w:cs="Arial"/>
          <w:b w:val="0"/>
          <w:sz w:val="22"/>
          <w:szCs w:val="22"/>
        </w:rPr>
        <w:t>.</w:t>
      </w:r>
    </w:p>
    <w:p w14:paraId="5BB27932" w14:textId="6F7EEB84" w:rsidR="00C4671D" w:rsidRDefault="00C4671D" w:rsidP="00006063">
      <w:pPr>
        <w:pStyle w:val="Heading2"/>
      </w:pPr>
      <w:r w:rsidRPr="001510B7">
        <w:t xml:space="preserve">Do the changes address our concerns? </w:t>
      </w:r>
    </w:p>
    <w:p w14:paraId="02B3452E" w14:textId="4F37BD83" w:rsidR="00CA6D7D" w:rsidRPr="00006063" w:rsidRDefault="00CA6D7D" w:rsidP="00627C0B">
      <w:pPr>
        <w:pStyle w:val="VEOHRCHeading2"/>
        <w:spacing w:before="80" w:after="120" w:line="240" w:lineRule="auto"/>
        <w:rPr>
          <w:rFonts w:cs="Arial"/>
          <w:b w:val="0"/>
          <w:color w:val="FF0000"/>
          <w:sz w:val="22"/>
          <w:szCs w:val="22"/>
        </w:rPr>
      </w:pPr>
      <w:r w:rsidRPr="00006063">
        <w:rPr>
          <w:rFonts w:cs="Arial"/>
          <w:b w:val="0"/>
          <w:color w:val="FF0000"/>
          <w:sz w:val="22"/>
          <w:szCs w:val="22"/>
        </w:rPr>
        <w:sym w:font="Wingdings 2" w:char="F098"/>
      </w:r>
      <w:r w:rsidRPr="00006063">
        <w:rPr>
          <w:rFonts w:cs="Arial"/>
          <w:b w:val="0"/>
          <w:color w:val="FF0000"/>
          <w:sz w:val="22"/>
          <w:szCs w:val="22"/>
        </w:rPr>
        <w:t xml:space="preserve"> </w:t>
      </w:r>
      <w:r w:rsidR="00C4671D" w:rsidRPr="00006063">
        <w:rPr>
          <w:rFonts w:cs="Arial"/>
          <w:b w:val="0"/>
          <w:color w:val="FF0000"/>
          <w:sz w:val="22"/>
          <w:szCs w:val="22"/>
        </w:rPr>
        <w:t>The Commission’s concerns in relation to clause 11 have not been addressed</w:t>
      </w:r>
      <w:r w:rsidR="008241F8">
        <w:rPr>
          <w:rFonts w:cs="Arial"/>
          <w:b w:val="0"/>
          <w:color w:val="FF0000"/>
          <w:sz w:val="22"/>
          <w:szCs w:val="22"/>
        </w:rPr>
        <w:t>. They have been</w:t>
      </w:r>
      <w:r w:rsidR="00C4671D" w:rsidRPr="00006063">
        <w:rPr>
          <w:rFonts w:cs="Arial"/>
          <w:b w:val="0"/>
          <w:color w:val="FF0000"/>
          <w:sz w:val="22"/>
          <w:szCs w:val="22"/>
        </w:rPr>
        <w:t xml:space="preserve"> partly exacerbated</w:t>
      </w:r>
      <w:r w:rsidR="00144B92" w:rsidRPr="00006063">
        <w:rPr>
          <w:rFonts w:cs="Arial"/>
          <w:b w:val="0"/>
          <w:color w:val="FF0000"/>
          <w:sz w:val="22"/>
          <w:szCs w:val="22"/>
        </w:rPr>
        <w:t xml:space="preserve"> by the introduction of new provisions and the amendment to the definition of religious </w:t>
      </w:r>
      <w:r w:rsidR="00083245" w:rsidRPr="00006063">
        <w:rPr>
          <w:rFonts w:cs="Arial"/>
          <w:b w:val="0"/>
          <w:color w:val="FF0000"/>
          <w:sz w:val="22"/>
          <w:szCs w:val="22"/>
        </w:rPr>
        <w:t>body</w:t>
      </w:r>
      <w:r w:rsidR="00C4671D" w:rsidRPr="00006063">
        <w:rPr>
          <w:rFonts w:cs="Arial"/>
          <w:b w:val="0"/>
          <w:color w:val="FF0000"/>
          <w:sz w:val="22"/>
          <w:szCs w:val="22"/>
        </w:rPr>
        <w:t xml:space="preserve">. </w:t>
      </w:r>
    </w:p>
    <w:p w14:paraId="416045DC" w14:textId="55960E77" w:rsidR="001B31B2" w:rsidRPr="00422665" w:rsidRDefault="001B31B2" w:rsidP="00627C0B">
      <w:pPr>
        <w:pStyle w:val="VEOHRCHeading2"/>
        <w:spacing w:before="80" w:after="120" w:line="240" w:lineRule="auto"/>
        <w:rPr>
          <w:rFonts w:cs="Arial"/>
          <w:sz w:val="22"/>
          <w:szCs w:val="22"/>
        </w:rPr>
      </w:pPr>
      <w:r w:rsidRPr="00D86574">
        <w:rPr>
          <w:rFonts w:cs="Arial"/>
          <w:b w:val="0"/>
          <w:sz w:val="22"/>
          <w:szCs w:val="22"/>
        </w:rPr>
        <w:t>The</w:t>
      </w:r>
      <w:r w:rsidR="00083245">
        <w:rPr>
          <w:rFonts w:cs="Arial"/>
          <w:b w:val="0"/>
          <w:sz w:val="22"/>
          <w:szCs w:val="22"/>
        </w:rPr>
        <w:t>se</w:t>
      </w:r>
      <w:r w:rsidRPr="00D86574">
        <w:rPr>
          <w:rFonts w:cs="Arial"/>
          <w:b w:val="0"/>
          <w:sz w:val="22"/>
          <w:szCs w:val="22"/>
        </w:rPr>
        <w:t xml:space="preserve"> </w:t>
      </w:r>
      <w:r w:rsidR="00C4671D">
        <w:rPr>
          <w:rFonts w:cs="Arial"/>
          <w:b w:val="0"/>
          <w:sz w:val="22"/>
          <w:szCs w:val="22"/>
        </w:rPr>
        <w:t>changes</w:t>
      </w:r>
      <w:r w:rsidR="008241F8">
        <w:rPr>
          <w:rFonts w:cs="Arial"/>
          <w:b w:val="0"/>
          <w:sz w:val="22"/>
          <w:szCs w:val="22"/>
        </w:rPr>
        <w:t xml:space="preserve"> outlined above</w:t>
      </w:r>
      <w:r w:rsidR="00C4671D" w:rsidRPr="00D86574">
        <w:rPr>
          <w:rFonts w:cs="Arial"/>
          <w:b w:val="0"/>
          <w:sz w:val="22"/>
          <w:szCs w:val="22"/>
        </w:rPr>
        <w:t xml:space="preserve"> </w:t>
      </w:r>
      <w:r w:rsidRPr="00D86574">
        <w:rPr>
          <w:rFonts w:cs="Arial"/>
          <w:b w:val="0"/>
          <w:sz w:val="22"/>
          <w:szCs w:val="22"/>
        </w:rPr>
        <w:t xml:space="preserve">raise </w:t>
      </w:r>
      <w:r w:rsidR="00416E67">
        <w:rPr>
          <w:rFonts w:cs="Arial"/>
          <w:b w:val="0"/>
          <w:sz w:val="22"/>
          <w:szCs w:val="22"/>
        </w:rPr>
        <w:t>three</w:t>
      </w:r>
      <w:r w:rsidR="00416E67" w:rsidRPr="00D86574">
        <w:rPr>
          <w:rFonts w:cs="Arial"/>
          <w:b w:val="0"/>
          <w:sz w:val="22"/>
          <w:szCs w:val="22"/>
        </w:rPr>
        <w:t xml:space="preserve"> </w:t>
      </w:r>
      <w:r w:rsidRPr="00D86574">
        <w:rPr>
          <w:rFonts w:cs="Arial"/>
          <w:b w:val="0"/>
          <w:sz w:val="22"/>
          <w:szCs w:val="22"/>
        </w:rPr>
        <w:t>key issues</w:t>
      </w:r>
      <w:r w:rsidR="00C4671D">
        <w:rPr>
          <w:rFonts w:cs="Arial"/>
          <w:b w:val="0"/>
          <w:sz w:val="22"/>
          <w:szCs w:val="22"/>
        </w:rPr>
        <w:t>.</w:t>
      </w:r>
    </w:p>
    <w:p w14:paraId="416EFFC4" w14:textId="69799640" w:rsidR="00144B92" w:rsidRDefault="00C4671D" w:rsidP="003F5F17">
      <w:pPr>
        <w:pStyle w:val="VEOHRCBodytext"/>
        <w:keepNext w:val="0"/>
        <w:rPr>
          <w:rFonts w:cs="Arial"/>
          <w:szCs w:val="22"/>
        </w:rPr>
      </w:pPr>
      <w:r>
        <w:rPr>
          <w:rFonts w:cs="Arial"/>
          <w:szCs w:val="22"/>
        </w:rPr>
        <w:t xml:space="preserve">First, </w:t>
      </w:r>
      <w:r w:rsidR="001B31B2" w:rsidRPr="00493A0B">
        <w:rPr>
          <w:rFonts w:cs="Arial"/>
          <w:szCs w:val="22"/>
        </w:rPr>
        <w:t>the previous definition of a ‘religious body’, which included registered charities, has been expanded to include public benevolent institutions.</w:t>
      </w:r>
      <w:r w:rsidR="001B31B2" w:rsidRPr="00493A0B">
        <w:rPr>
          <w:rStyle w:val="EndnoteReference"/>
          <w:rFonts w:cs="Arial"/>
          <w:szCs w:val="22"/>
        </w:rPr>
        <w:endnoteReference w:id="18"/>
      </w:r>
      <w:r w:rsidR="001B31B2" w:rsidRPr="00493A0B">
        <w:rPr>
          <w:rFonts w:cs="Arial"/>
          <w:szCs w:val="22"/>
        </w:rPr>
        <w:t xml:space="preserve"> This definition will capture all registered charities that are also registered as public benevolent institutions which are conducted in accordance with religious doctrines.</w:t>
      </w:r>
      <w:r w:rsidR="001B31B2" w:rsidRPr="00493A0B">
        <w:rPr>
          <w:rStyle w:val="EndnoteReference"/>
          <w:rFonts w:cs="Arial"/>
          <w:szCs w:val="22"/>
        </w:rPr>
        <w:endnoteReference w:id="19"/>
      </w:r>
      <w:r w:rsidR="001B31B2" w:rsidRPr="00493A0B">
        <w:rPr>
          <w:rFonts w:cs="Arial"/>
          <w:szCs w:val="22"/>
        </w:rPr>
        <w:t xml:space="preserve"> A registered charity which is not a registered public benevolent institution</w:t>
      </w:r>
      <w:r w:rsidR="00144B92">
        <w:rPr>
          <w:rFonts w:cs="Arial"/>
          <w:szCs w:val="22"/>
        </w:rPr>
        <w:t>,</w:t>
      </w:r>
      <w:r w:rsidR="001B31B2" w:rsidRPr="00493A0B">
        <w:rPr>
          <w:rFonts w:cs="Arial"/>
          <w:szCs w:val="22"/>
        </w:rPr>
        <w:t xml:space="preserve"> </w:t>
      </w:r>
      <w:r w:rsidR="00144B92" w:rsidRPr="00493A0B">
        <w:rPr>
          <w:rFonts w:cs="Arial"/>
          <w:szCs w:val="22"/>
        </w:rPr>
        <w:t>and is not engaged solely or primarily in commercial activities</w:t>
      </w:r>
      <w:r w:rsidR="00144B92">
        <w:rPr>
          <w:rFonts w:cs="Arial"/>
          <w:szCs w:val="22"/>
        </w:rPr>
        <w:t>,</w:t>
      </w:r>
      <w:r w:rsidR="00144B92" w:rsidRPr="00493A0B">
        <w:rPr>
          <w:rFonts w:cs="Arial"/>
          <w:szCs w:val="22"/>
        </w:rPr>
        <w:t xml:space="preserve"> </w:t>
      </w:r>
      <w:r w:rsidR="001B31B2" w:rsidRPr="00493A0B">
        <w:rPr>
          <w:rFonts w:cs="Arial"/>
          <w:szCs w:val="22"/>
        </w:rPr>
        <w:t>may still fall within the scope of clause 11(5)(c) if conducted in accordance with religi</w:t>
      </w:r>
      <w:r w:rsidR="00144B92">
        <w:rPr>
          <w:rFonts w:cs="Arial"/>
          <w:szCs w:val="22"/>
        </w:rPr>
        <w:t>ous doctrines, tenets, beliefs and teachings</w:t>
      </w:r>
      <w:r w:rsidR="001B31B2" w:rsidRPr="00493A0B">
        <w:rPr>
          <w:rFonts w:cs="Arial"/>
          <w:szCs w:val="22"/>
        </w:rPr>
        <w:t>.</w:t>
      </w:r>
      <w:r w:rsidR="001B31B2" w:rsidRPr="00493A0B">
        <w:rPr>
          <w:rStyle w:val="EndnoteReference"/>
          <w:rFonts w:cs="Arial"/>
          <w:szCs w:val="22"/>
        </w:rPr>
        <w:endnoteReference w:id="20"/>
      </w:r>
      <w:r w:rsidR="001B31B2" w:rsidRPr="00493A0B">
        <w:rPr>
          <w:rFonts w:cs="Arial"/>
          <w:szCs w:val="22"/>
        </w:rPr>
        <w:t xml:space="preserve"> </w:t>
      </w:r>
      <w:r w:rsidR="00144B92">
        <w:rPr>
          <w:rFonts w:cs="Arial"/>
          <w:szCs w:val="22"/>
        </w:rPr>
        <w:t>These changes mean that even more bodies will be permitted to discriminate under the Bill.</w:t>
      </w:r>
    </w:p>
    <w:tbl>
      <w:tblPr>
        <w:tblStyle w:val="TableGrid"/>
        <w:tblW w:w="0" w:type="auto"/>
        <w:tblLook w:val="04A0" w:firstRow="1" w:lastRow="0" w:firstColumn="1" w:lastColumn="0" w:noHBand="0" w:noVBand="1"/>
      </w:tblPr>
      <w:tblGrid>
        <w:gridCol w:w="9628"/>
      </w:tblGrid>
      <w:tr w:rsidR="00C4749B" w14:paraId="152E21E6" w14:textId="77777777" w:rsidTr="00006063">
        <w:tc>
          <w:tcPr>
            <w:tcW w:w="9628" w:type="dxa"/>
            <w:shd w:val="clear" w:color="auto" w:fill="BDD6EE" w:themeFill="accent1" w:themeFillTint="66"/>
            <w:tcMar>
              <w:top w:w="113" w:type="dxa"/>
              <w:bottom w:w="113" w:type="dxa"/>
            </w:tcMar>
          </w:tcPr>
          <w:p w14:paraId="10E2ABC0" w14:textId="296FA361" w:rsidR="00C4749B" w:rsidRPr="00BD0986" w:rsidRDefault="00C4749B" w:rsidP="00006063">
            <w:pPr>
              <w:pStyle w:val="Casestudytitle"/>
            </w:pPr>
            <w:r w:rsidRPr="00BD0986">
              <w:t xml:space="preserve">Recommendation </w:t>
            </w:r>
            <w:r w:rsidR="001B4865">
              <w:t>7</w:t>
            </w:r>
            <w:r w:rsidRPr="00BD0986">
              <w:t xml:space="preserve"> (restated from our first submission)</w:t>
            </w:r>
          </w:p>
          <w:p w14:paraId="62E3972D" w14:textId="77777777" w:rsidR="00C4749B" w:rsidRPr="002A0257" w:rsidRDefault="00C4749B" w:rsidP="00A937A8">
            <w:pPr>
              <w:pStyle w:val="VEOHRCBodytext"/>
              <w:keepNext w:val="0"/>
              <w:spacing w:after="80"/>
              <w:rPr>
                <w:rFonts w:cs="Arial"/>
                <w:szCs w:val="22"/>
              </w:rPr>
            </w:pPr>
            <w:r w:rsidRPr="002A0257">
              <w:rPr>
                <w:rFonts w:cs="Arial"/>
                <w:szCs w:val="22"/>
              </w:rPr>
              <w:t xml:space="preserve">The Attorney-General should amend clause 11 to: </w:t>
            </w:r>
          </w:p>
          <w:p w14:paraId="502B7C8D" w14:textId="77777777" w:rsidR="00C4749B" w:rsidRPr="002A0257" w:rsidRDefault="00C4749B" w:rsidP="00A937A8">
            <w:pPr>
              <w:pStyle w:val="VEOHRCBodytext"/>
              <w:keepNext w:val="0"/>
              <w:numPr>
                <w:ilvl w:val="0"/>
                <w:numId w:val="30"/>
              </w:numPr>
              <w:spacing w:after="80"/>
              <w:rPr>
                <w:rFonts w:cs="Arial"/>
                <w:szCs w:val="22"/>
              </w:rPr>
            </w:pPr>
            <w:r w:rsidRPr="002A0257">
              <w:rPr>
                <w:rFonts w:cs="Arial"/>
                <w:szCs w:val="22"/>
              </w:rPr>
              <w:t>limit the definition of ‘religious body’ to ‘bodies established for religious purposes’</w:t>
            </w:r>
          </w:p>
          <w:p w14:paraId="2F5619F2" w14:textId="286E3930" w:rsidR="00C4749B" w:rsidRPr="00BD0986" w:rsidRDefault="00C4749B" w:rsidP="00A937A8">
            <w:pPr>
              <w:pStyle w:val="VEOHRCBodytext"/>
              <w:keepNext w:val="0"/>
              <w:numPr>
                <w:ilvl w:val="0"/>
                <w:numId w:val="30"/>
              </w:numPr>
              <w:spacing w:after="80"/>
              <w:rPr>
                <w:rFonts w:cs="Arial"/>
                <w:szCs w:val="22"/>
              </w:rPr>
            </w:pPr>
            <w:r w:rsidRPr="002A0257">
              <w:rPr>
                <w:rFonts w:cs="Arial"/>
                <w:szCs w:val="22"/>
              </w:rPr>
              <w:t>make clear that the general ex</w:t>
            </w:r>
            <w:r w:rsidR="008326E5">
              <w:rPr>
                <w:rFonts w:cs="Arial"/>
                <w:szCs w:val="22"/>
              </w:rPr>
              <w:t>emption</w:t>
            </w:r>
            <w:r w:rsidRPr="002A0257">
              <w:rPr>
                <w:rFonts w:cs="Arial"/>
                <w:szCs w:val="22"/>
              </w:rPr>
              <w:t xml:space="preserve"> does not apply to any conduct connected with commercial activities</w:t>
            </w:r>
            <w:r w:rsidR="00416E67">
              <w:rPr>
                <w:rFonts w:cs="Arial"/>
                <w:szCs w:val="22"/>
              </w:rPr>
              <w:t>.</w:t>
            </w:r>
          </w:p>
        </w:tc>
      </w:tr>
    </w:tbl>
    <w:p w14:paraId="7366D1E7" w14:textId="27949DD0" w:rsidR="008241F8" w:rsidRDefault="00144B92" w:rsidP="00A9115F">
      <w:pPr>
        <w:pStyle w:val="VEOHRCBodytext"/>
        <w:keepNext w:val="0"/>
        <w:rPr>
          <w:rFonts w:cs="Arial"/>
          <w:szCs w:val="22"/>
        </w:rPr>
      </w:pPr>
      <w:r>
        <w:rPr>
          <w:rFonts w:cs="Arial"/>
          <w:szCs w:val="22"/>
        </w:rPr>
        <w:t>Second, t</w:t>
      </w:r>
      <w:r w:rsidR="001B31B2" w:rsidRPr="002A0257">
        <w:rPr>
          <w:rFonts w:cs="Arial"/>
          <w:szCs w:val="22"/>
        </w:rPr>
        <w:t xml:space="preserve">he test for whether a religious body is entitled to an exemption from discrimination has also been broadened in clause 11(1) of the Bill. The previous test was an objective test which required an assessment of whether the religious body is engaging in </w:t>
      </w:r>
      <w:r w:rsidR="00792AB8">
        <w:rPr>
          <w:rFonts w:cs="Arial"/>
          <w:szCs w:val="22"/>
        </w:rPr>
        <w:t>‘</w:t>
      </w:r>
      <w:r w:rsidR="001B31B2" w:rsidRPr="00006063">
        <w:t>conduct that may reasonably be regarded as being in accordance with teachings of the religion</w:t>
      </w:r>
      <w:r w:rsidR="001B31B2" w:rsidRPr="005D6CFE">
        <w:t>.</w:t>
      </w:r>
      <w:r w:rsidR="00792AB8">
        <w:t>’</w:t>
      </w:r>
      <w:r w:rsidR="001B31B2" w:rsidRPr="002A0257">
        <w:rPr>
          <w:rStyle w:val="EndnoteReference"/>
          <w:rFonts w:cs="Arial"/>
          <w:szCs w:val="22"/>
        </w:rPr>
        <w:endnoteReference w:id="21"/>
      </w:r>
      <w:r w:rsidR="001B31B2" w:rsidRPr="002A0257">
        <w:rPr>
          <w:rFonts w:cs="Arial"/>
          <w:szCs w:val="22"/>
        </w:rPr>
        <w:t xml:space="preserve"> The new test is </w:t>
      </w:r>
      <w:r>
        <w:rPr>
          <w:rFonts w:cs="Arial"/>
          <w:szCs w:val="22"/>
        </w:rPr>
        <w:t xml:space="preserve">a </w:t>
      </w:r>
      <w:r w:rsidR="001B31B2" w:rsidRPr="002A0257">
        <w:rPr>
          <w:rFonts w:cs="Arial"/>
          <w:szCs w:val="22"/>
        </w:rPr>
        <w:t xml:space="preserve">more subjective test </w:t>
      </w:r>
      <w:r>
        <w:rPr>
          <w:rFonts w:cs="Arial"/>
          <w:szCs w:val="22"/>
        </w:rPr>
        <w:t xml:space="preserve">that looks at </w:t>
      </w:r>
      <w:r w:rsidR="001B31B2" w:rsidRPr="002A0257">
        <w:rPr>
          <w:rFonts w:cs="Arial"/>
          <w:szCs w:val="22"/>
        </w:rPr>
        <w:t xml:space="preserve">whether the religious body is engaging in conduct that </w:t>
      </w:r>
      <w:r w:rsidR="00792AB8">
        <w:rPr>
          <w:rFonts w:cs="Arial"/>
          <w:szCs w:val="22"/>
        </w:rPr>
        <w:t>‘</w:t>
      </w:r>
      <w:r w:rsidR="001B31B2" w:rsidRPr="00006063">
        <w:t>a person of the same religion as the religious body could reasonably consider to be in accordance with the doctrines, tenets, beliefs or teachings of that religion</w:t>
      </w:r>
      <w:r w:rsidR="001B31B2" w:rsidRPr="005D6CFE">
        <w:t>.</w:t>
      </w:r>
      <w:r w:rsidR="00792AB8">
        <w:t>’</w:t>
      </w:r>
      <w:r w:rsidR="001B31B2" w:rsidRPr="002A0257">
        <w:rPr>
          <w:rStyle w:val="EndnoteReference"/>
          <w:rFonts w:cs="Arial"/>
          <w:szCs w:val="22"/>
        </w:rPr>
        <w:endnoteReference w:id="22"/>
      </w:r>
      <w:r w:rsidR="001B31B2" w:rsidRPr="002A0257">
        <w:rPr>
          <w:rFonts w:cs="Arial"/>
          <w:szCs w:val="22"/>
        </w:rPr>
        <w:t xml:space="preserve"> </w:t>
      </w:r>
    </w:p>
    <w:p w14:paraId="68D44E0E" w14:textId="01072E07" w:rsidR="008F5EE9" w:rsidRDefault="001B31B2" w:rsidP="00A9115F">
      <w:pPr>
        <w:pStyle w:val="VEOHRCBodytext"/>
        <w:keepNext w:val="0"/>
        <w:rPr>
          <w:rFonts w:cs="Arial"/>
          <w:szCs w:val="22"/>
        </w:rPr>
      </w:pPr>
      <w:r w:rsidRPr="002A0257">
        <w:rPr>
          <w:rFonts w:cs="Arial"/>
          <w:szCs w:val="22"/>
        </w:rPr>
        <w:t>Arguably, under this</w:t>
      </w:r>
      <w:r w:rsidR="008241F8">
        <w:rPr>
          <w:rFonts w:cs="Arial"/>
          <w:szCs w:val="22"/>
        </w:rPr>
        <w:t xml:space="preserve"> revised</w:t>
      </w:r>
      <w:r w:rsidRPr="002A0257">
        <w:rPr>
          <w:rFonts w:cs="Arial"/>
          <w:szCs w:val="22"/>
        </w:rPr>
        <w:t xml:space="preserve"> test it takes only two people to establish a religious requirement exists and deserves protection.</w:t>
      </w:r>
      <w:r w:rsidR="00FC55D7">
        <w:rPr>
          <w:rFonts w:cs="Arial"/>
          <w:szCs w:val="22"/>
        </w:rPr>
        <w:t xml:space="preserve"> It is not clear how the issue of two people of the same faith having different interpretations about aspects of their religion would be resolved.</w:t>
      </w:r>
      <w:r w:rsidRPr="002A0257">
        <w:rPr>
          <w:rFonts w:cs="Arial"/>
          <w:szCs w:val="22"/>
        </w:rPr>
        <w:t xml:space="preserve"> The test has also been expanded to include conduct that includes giving preference to persons of the same religion as the religious body and conduct that avoids injury to the religious susceptibilities of adherents of the same religion as the religious body.</w:t>
      </w:r>
      <w:r w:rsidRPr="002A0257">
        <w:rPr>
          <w:rStyle w:val="EndnoteReference"/>
          <w:rFonts w:cs="Arial"/>
          <w:szCs w:val="22"/>
        </w:rPr>
        <w:endnoteReference w:id="23"/>
      </w:r>
      <w:r w:rsidRPr="002A0257">
        <w:rPr>
          <w:rFonts w:cs="Arial"/>
          <w:szCs w:val="22"/>
        </w:rPr>
        <w:t xml:space="preserve"> </w:t>
      </w:r>
    </w:p>
    <w:tbl>
      <w:tblPr>
        <w:tblStyle w:val="TableGrid"/>
        <w:tblW w:w="0" w:type="auto"/>
        <w:tblLook w:val="04A0" w:firstRow="1" w:lastRow="0" w:firstColumn="1" w:lastColumn="0" w:noHBand="0" w:noVBand="1"/>
      </w:tblPr>
      <w:tblGrid>
        <w:gridCol w:w="9628"/>
      </w:tblGrid>
      <w:tr w:rsidR="00FD5288" w14:paraId="3C945806" w14:textId="77777777" w:rsidTr="001C4508">
        <w:tc>
          <w:tcPr>
            <w:tcW w:w="9628" w:type="dxa"/>
            <w:shd w:val="clear" w:color="auto" w:fill="C5E0B3" w:themeFill="accent6" w:themeFillTint="66"/>
            <w:tcMar>
              <w:top w:w="113" w:type="dxa"/>
              <w:bottom w:w="113" w:type="dxa"/>
            </w:tcMar>
          </w:tcPr>
          <w:p w14:paraId="67B52905" w14:textId="77777777" w:rsidR="00FD5288" w:rsidRPr="00BD0986" w:rsidRDefault="00FD5288" w:rsidP="001C4508">
            <w:pPr>
              <w:pStyle w:val="Casestudytitle"/>
            </w:pPr>
            <w:r w:rsidRPr="00BD0986">
              <w:t>Case Study of potential harm</w:t>
            </w:r>
          </w:p>
          <w:p w14:paraId="2BF3A1D6" w14:textId="0B76F0F5" w:rsidR="00FD5288" w:rsidRPr="00BD0986" w:rsidRDefault="00FD5288" w:rsidP="001C4508">
            <w:pPr>
              <w:pStyle w:val="VEOHRCBodytext"/>
              <w:keepNext w:val="0"/>
              <w:spacing w:after="80"/>
              <w:rPr>
                <w:rFonts w:cs="Arial"/>
                <w:szCs w:val="22"/>
              </w:rPr>
            </w:pPr>
            <w:r w:rsidRPr="002A0257">
              <w:rPr>
                <w:rFonts w:cs="Arial"/>
                <w:szCs w:val="22"/>
              </w:rPr>
              <w:t xml:space="preserve">Elyse lives </w:t>
            </w:r>
            <w:r>
              <w:rPr>
                <w:rFonts w:cs="Arial"/>
                <w:szCs w:val="22"/>
              </w:rPr>
              <w:t xml:space="preserve">in </w:t>
            </w:r>
            <w:r w:rsidRPr="002A0257">
              <w:rPr>
                <w:rFonts w:cs="Arial"/>
                <w:szCs w:val="22"/>
              </w:rPr>
              <w:t>a rural town that has recently been affected by floods. She approaches a relief service run by a Christian charity, which is giving out clothes and meals to affected community members. She asks if she can volunteer.</w:t>
            </w:r>
            <w:r>
              <w:rPr>
                <w:rFonts w:cs="Arial"/>
                <w:szCs w:val="22"/>
              </w:rPr>
              <w:t xml:space="preserve"> </w:t>
            </w:r>
            <w:r w:rsidRPr="002A0257">
              <w:rPr>
                <w:rFonts w:cs="Arial"/>
                <w:szCs w:val="22"/>
              </w:rPr>
              <w:t xml:space="preserve">The relief service staff tell Elyse that to volunteer she must uphold and act consistently with Christian doctrines including mandatory group prayer at certain times of the day. Elyse explains that she doesn’t feel comfortable participating in group prayer because she is </w:t>
            </w:r>
            <w:r>
              <w:rPr>
                <w:rFonts w:cs="Arial"/>
                <w:szCs w:val="22"/>
              </w:rPr>
              <w:t>an a</w:t>
            </w:r>
            <w:r w:rsidRPr="002A0257">
              <w:rPr>
                <w:rFonts w:cs="Arial"/>
                <w:szCs w:val="22"/>
              </w:rPr>
              <w:t>theist. However, she still wants to do what she can to contribute in this time of cris</w:t>
            </w:r>
            <w:r>
              <w:rPr>
                <w:rFonts w:cs="Arial"/>
                <w:szCs w:val="22"/>
              </w:rPr>
              <w:t>i</w:t>
            </w:r>
            <w:r w:rsidRPr="002A0257">
              <w:rPr>
                <w:rFonts w:cs="Arial"/>
                <w:szCs w:val="22"/>
              </w:rPr>
              <w:t>s. The Christian charity refuse</w:t>
            </w:r>
            <w:r>
              <w:rPr>
                <w:rFonts w:cs="Arial"/>
                <w:szCs w:val="22"/>
              </w:rPr>
              <w:t>s</w:t>
            </w:r>
            <w:r w:rsidRPr="002A0257">
              <w:rPr>
                <w:rFonts w:cs="Arial"/>
                <w:szCs w:val="22"/>
              </w:rPr>
              <w:t xml:space="preserve"> to accept her as a volunteer</w:t>
            </w:r>
            <w:r>
              <w:rPr>
                <w:rFonts w:cs="Arial"/>
                <w:szCs w:val="22"/>
              </w:rPr>
              <w:t>.</w:t>
            </w:r>
          </w:p>
        </w:tc>
      </w:tr>
    </w:tbl>
    <w:p w14:paraId="6A858363" w14:textId="31DA14D4" w:rsidR="009F7514" w:rsidRDefault="00416E67" w:rsidP="00A9115F">
      <w:pPr>
        <w:pStyle w:val="VEOHRCBodytext"/>
        <w:keepNext w:val="0"/>
        <w:rPr>
          <w:rFonts w:cs="Arial"/>
          <w:szCs w:val="22"/>
        </w:rPr>
      </w:pPr>
      <w:r>
        <w:rPr>
          <w:rFonts w:cs="Arial"/>
          <w:szCs w:val="22"/>
        </w:rPr>
        <w:t>Finally</w:t>
      </w:r>
      <w:r w:rsidR="00453D10">
        <w:rPr>
          <w:rFonts w:cs="Arial"/>
          <w:szCs w:val="22"/>
        </w:rPr>
        <w:t>, the introduction of clauses 11(3) and 11(4) means that a</w:t>
      </w:r>
      <w:r w:rsidR="00453D10" w:rsidRPr="002A0257">
        <w:rPr>
          <w:rFonts w:cs="Arial"/>
          <w:szCs w:val="22"/>
        </w:rPr>
        <w:t xml:space="preserve"> broader range of conduct </w:t>
      </w:r>
      <w:r w:rsidR="00453D10">
        <w:rPr>
          <w:rFonts w:cs="Arial"/>
          <w:szCs w:val="22"/>
        </w:rPr>
        <w:t>by</w:t>
      </w:r>
      <w:r w:rsidR="00453D10" w:rsidRPr="002A0257">
        <w:rPr>
          <w:rFonts w:cs="Arial"/>
          <w:szCs w:val="22"/>
        </w:rPr>
        <w:t xml:space="preserve"> religious bodies </w:t>
      </w:r>
      <w:r w:rsidR="00453D10">
        <w:rPr>
          <w:rFonts w:cs="Arial"/>
          <w:szCs w:val="22"/>
        </w:rPr>
        <w:t>is</w:t>
      </w:r>
      <w:r w:rsidR="00453D10" w:rsidRPr="002A0257">
        <w:rPr>
          <w:rFonts w:cs="Arial"/>
          <w:szCs w:val="22"/>
        </w:rPr>
        <w:t xml:space="preserve"> now exempt from conduct that would otherwise be considered discriminatory.</w:t>
      </w:r>
      <w:r w:rsidR="00453D10" w:rsidRPr="00453D10">
        <w:rPr>
          <w:rFonts w:cs="Arial"/>
          <w:szCs w:val="22"/>
        </w:rPr>
        <w:t xml:space="preserve"> </w:t>
      </w:r>
      <w:r w:rsidR="00453D10">
        <w:rPr>
          <w:rFonts w:cs="Arial"/>
          <w:szCs w:val="22"/>
        </w:rPr>
        <w:t>Religious bodies will not be considered to engage in discriminatory conduct if conduct is engaged in good faith to avoid injury to the religious susceptibilities of adherents of its religion. It will also not be discriminatory if the religious body engages in conduct that gives preference to persons of the same religion as the religious bodies.</w:t>
      </w:r>
      <w:r w:rsidR="00453D10">
        <w:rPr>
          <w:rStyle w:val="EndnoteReference"/>
          <w:rFonts w:cs="Arial"/>
          <w:szCs w:val="22"/>
        </w:rPr>
        <w:endnoteReference w:id="24"/>
      </w:r>
    </w:p>
    <w:tbl>
      <w:tblPr>
        <w:tblStyle w:val="TableGrid"/>
        <w:tblW w:w="0" w:type="auto"/>
        <w:tblLook w:val="04A0" w:firstRow="1" w:lastRow="0" w:firstColumn="1" w:lastColumn="0" w:noHBand="0" w:noVBand="1"/>
      </w:tblPr>
      <w:tblGrid>
        <w:gridCol w:w="9628"/>
      </w:tblGrid>
      <w:tr w:rsidR="00C4749B" w14:paraId="32DEC7E1" w14:textId="77777777" w:rsidTr="00006063">
        <w:tc>
          <w:tcPr>
            <w:tcW w:w="9628" w:type="dxa"/>
            <w:shd w:val="clear" w:color="auto" w:fill="BDD6EE" w:themeFill="accent1" w:themeFillTint="66"/>
            <w:tcMar>
              <w:top w:w="113" w:type="dxa"/>
              <w:bottom w:w="113" w:type="dxa"/>
            </w:tcMar>
          </w:tcPr>
          <w:p w14:paraId="2AF84E27" w14:textId="3ADB9AD4" w:rsidR="00C4749B" w:rsidRPr="00BD0986" w:rsidRDefault="00C4749B" w:rsidP="00006063">
            <w:pPr>
              <w:pStyle w:val="Casestudytitle"/>
            </w:pPr>
            <w:r w:rsidRPr="00BD0986">
              <w:t xml:space="preserve">Recommendation </w:t>
            </w:r>
            <w:r w:rsidR="001B4865">
              <w:t>8</w:t>
            </w:r>
            <w:r w:rsidRPr="00BD0986">
              <w:t xml:space="preserve"> (new)</w:t>
            </w:r>
          </w:p>
          <w:p w14:paraId="41569D56" w14:textId="406A974C" w:rsidR="00C4749B" w:rsidRPr="00BD0986" w:rsidRDefault="00C4749B" w:rsidP="009324E2">
            <w:pPr>
              <w:pStyle w:val="VEOHRCBodytext"/>
              <w:keepNext w:val="0"/>
              <w:spacing w:after="80"/>
              <w:rPr>
                <w:rFonts w:cs="Arial"/>
                <w:szCs w:val="22"/>
              </w:rPr>
            </w:pPr>
            <w:bookmarkStart w:id="6" w:name="_Hlk31352371"/>
            <w:r w:rsidRPr="0085527E">
              <w:rPr>
                <w:rFonts w:cs="Arial"/>
                <w:szCs w:val="22"/>
              </w:rPr>
              <w:t>The Attorney-General should redraft the test</w:t>
            </w:r>
            <w:r w:rsidR="008F166D" w:rsidRPr="0085527E">
              <w:rPr>
                <w:rFonts w:cs="Arial"/>
                <w:szCs w:val="22"/>
              </w:rPr>
              <w:t>s</w:t>
            </w:r>
            <w:r w:rsidRPr="0085527E">
              <w:rPr>
                <w:rFonts w:cs="Arial"/>
                <w:szCs w:val="22"/>
              </w:rPr>
              <w:t xml:space="preserve"> in clause</w:t>
            </w:r>
            <w:r w:rsidR="00892C4E" w:rsidRPr="0085527E">
              <w:rPr>
                <w:rFonts w:cs="Arial"/>
                <w:szCs w:val="22"/>
              </w:rPr>
              <w:t>s</w:t>
            </w:r>
            <w:r w:rsidRPr="0085527E">
              <w:rPr>
                <w:rFonts w:cs="Arial"/>
                <w:szCs w:val="22"/>
              </w:rPr>
              <w:t xml:space="preserve"> 11(1)</w:t>
            </w:r>
            <w:r w:rsidR="00792AB8" w:rsidRPr="0085527E">
              <w:rPr>
                <w:rFonts w:cs="Arial"/>
                <w:szCs w:val="22"/>
              </w:rPr>
              <w:t>–</w:t>
            </w:r>
            <w:r w:rsidR="00453D10" w:rsidRPr="0085527E">
              <w:rPr>
                <w:rFonts w:cs="Arial"/>
                <w:szCs w:val="22"/>
              </w:rPr>
              <w:t>(4)</w:t>
            </w:r>
            <w:r w:rsidRPr="0085527E">
              <w:rPr>
                <w:rFonts w:cs="Arial"/>
                <w:szCs w:val="22"/>
              </w:rPr>
              <w:t xml:space="preserve"> relating to the requirements that need to be met for an exemption </w:t>
            </w:r>
            <w:r w:rsidRPr="002A0257">
              <w:rPr>
                <w:rFonts w:cs="Arial"/>
                <w:szCs w:val="22"/>
              </w:rPr>
              <w:t>from discriminatory conduct for religious bodies to apply, to ensure that an adequate balancing of rights is struck to better protect the rights of people who are employed with, interact with or receive services delivered by that religious body. The test should take into account factors including whether</w:t>
            </w:r>
            <w:r w:rsidR="001B4865">
              <w:rPr>
                <w:rFonts w:cs="Arial"/>
                <w:szCs w:val="22"/>
              </w:rPr>
              <w:t xml:space="preserve"> </w:t>
            </w:r>
            <w:r w:rsidRPr="002A0257">
              <w:rPr>
                <w:rFonts w:cs="Arial"/>
                <w:szCs w:val="22"/>
              </w:rPr>
              <w:t xml:space="preserve">the conduct is reasonable, justified and </w:t>
            </w:r>
            <w:r w:rsidR="00E26D8B">
              <w:rPr>
                <w:rFonts w:cs="Arial"/>
                <w:szCs w:val="22"/>
              </w:rPr>
              <w:t>proportionate</w:t>
            </w:r>
            <w:r w:rsidRPr="002A0257">
              <w:rPr>
                <w:rFonts w:cs="Arial"/>
                <w:szCs w:val="22"/>
              </w:rPr>
              <w:t xml:space="preserve"> in the circumstances</w:t>
            </w:r>
            <w:r w:rsidR="001B4865">
              <w:rPr>
                <w:rFonts w:cs="Arial"/>
                <w:szCs w:val="22"/>
              </w:rPr>
              <w:t>.</w:t>
            </w:r>
            <w:bookmarkEnd w:id="6"/>
          </w:p>
        </w:tc>
      </w:tr>
    </w:tbl>
    <w:p w14:paraId="50314CC0" w14:textId="77777777" w:rsidR="00C4749B" w:rsidRDefault="00C4749B" w:rsidP="00C4749B">
      <w:pPr>
        <w:pStyle w:val="VEOHRCBodytext"/>
        <w:keepNext w:val="0"/>
        <w:rPr>
          <w:rFonts w:cs="Arial"/>
          <w:szCs w:val="22"/>
        </w:rPr>
      </w:pPr>
    </w:p>
    <w:p w14:paraId="48BCB521" w14:textId="04E17FD8" w:rsidR="006240CF" w:rsidRPr="00493A0B" w:rsidRDefault="0004351D" w:rsidP="00A82495">
      <w:pPr>
        <w:pStyle w:val="Heading1"/>
        <w:keepLines/>
      </w:pPr>
      <w:r w:rsidRPr="00006063">
        <w:rPr>
          <w:b/>
        </w:rPr>
        <w:t>Key Concern</w:t>
      </w:r>
      <w:r w:rsidR="001B4865" w:rsidRPr="00006063">
        <w:rPr>
          <w:b/>
        </w:rPr>
        <w:t xml:space="preserve"> </w:t>
      </w:r>
      <w:r w:rsidR="004C785E" w:rsidRPr="00006063">
        <w:rPr>
          <w:b/>
        </w:rPr>
        <w:t>8</w:t>
      </w:r>
      <w:r w:rsidR="00CA6D7D" w:rsidRPr="00006063">
        <w:rPr>
          <w:b/>
        </w:rPr>
        <w:br/>
      </w:r>
      <w:r w:rsidR="006240CF" w:rsidRPr="00493A0B">
        <w:t xml:space="preserve">Expansion of circumstances in which religious bodies may discriminate </w:t>
      </w:r>
      <w:r w:rsidR="008E0B9B">
        <w:t>–</w:t>
      </w:r>
      <w:r w:rsidR="008E0B9B" w:rsidRPr="00493A0B">
        <w:t xml:space="preserve"> </w:t>
      </w:r>
      <w:r w:rsidR="006240CF" w:rsidRPr="00493A0B">
        <w:t>hospitals, aged care facilities, certain accommodation providers, religious camps and conference sites</w:t>
      </w:r>
    </w:p>
    <w:p w14:paraId="4CD521EC" w14:textId="4FE16037" w:rsidR="0081730E" w:rsidRPr="002A0257" w:rsidRDefault="001B31B2" w:rsidP="00006063">
      <w:pPr>
        <w:pStyle w:val="VEOHRCBodytext"/>
      </w:pPr>
      <w:r w:rsidRPr="002A0257">
        <w:t xml:space="preserve">The Bill has expanded the exceptions </w:t>
      </w:r>
      <w:r w:rsidR="0081730E">
        <w:t xml:space="preserve">available </w:t>
      </w:r>
      <w:r w:rsidRPr="002A0257">
        <w:t>to religious hospitals</w:t>
      </w:r>
      <w:r w:rsidR="0081730E">
        <w:t>,</w:t>
      </w:r>
      <w:r w:rsidRPr="002A0257">
        <w:t xml:space="preserve"> aged care facilities and </w:t>
      </w:r>
      <w:r w:rsidR="0081730E">
        <w:t xml:space="preserve">certain </w:t>
      </w:r>
      <w:r w:rsidRPr="002A0257">
        <w:t>accommodation providers to discriminate against people with different or no beliefs</w:t>
      </w:r>
      <w:r w:rsidR="0081730E">
        <w:t xml:space="preserve"> with the introduction of new clauses 32(8</w:t>
      </w:r>
      <w:r w:rsidR="00792AB8">
        <w:t>)–</w:t>
      </w:r>
      <w:r w:rsidR="0081730E">
        <w:t>32(12). It has also</w:t>
      </w:r>
      <w:r w:rsidRPr="002A0257">
        <w:t xml:space="preserve"> added an exception</w:t>
      </w:r>
      <w:r w:rsidR="003D0D1F">
        <w:t xml:space="preserve"> in new clause </w:t>
      </w:r>
      <w:r w:rsidR="003D0D1F" w:rsidRPr="002A0257">
        <w:t>33(2</w:t>
      </w:r>
      <w:r w:rsidR="00792AB8" w:rsidRPr="002A0257">
        <w:t>)</w:t>
      </w:r>
      <w:r w:rsidR="00792AB8">
        <w:t>–</w:t>
      </w:r>
      <w:r w:rsidR="003D0D1F">
        <w:t>33</w:t>
      </w:r>
      <w:r w:rsidR="003D0D1F" w:rsidRPr="002A0257">
        <w:t>(5))</w:t>
      </w:r>
      <w:r w:rsidRPr="002A0257">
        <w:t xml:space="preserve"> for religious camps </w:t>
      </w:r>
      <w:r w:rsidR="003D0D1F" w:rsidRPr="002A0257">
        <w:t>and conference</w:t>
      </w:r>
      <w:r w:rsidRPr="002A0257">
        <w:t xml:space="preserve"> sites to engage in conduct </w:t>
      </w:r>
      <w:r w:rsidR="003D0D1F">
        <w:t xml:space="preserve">that would otherwise be discriminatory </w:t>
      </w:r>
      <w:r w:rsidRPr="002A0257">
        <w:t>against people with different or no beliefs in the provision of accommodation on these camps and sites</w:t>
      </w:r>
      <w:r w:rsidR="003D0D1F">
        <w:t>. This is</w:t>
      </w:r>
      <w:r w:rsidRPr="002A0257">
        <w:t xml:space="preserve"> provided they have a publicly available policy that describes who they will provide accommodation to</w:t>
      </w:r>
      <w:r w:rsidR="003D0D1F">
        <w:t>.</w:t>
      </w:r>
    </w:p>
    <w:p w14:paraId="745F038D" w14:textId="75D21F4B" w:rsidR="0081730E" w:rsidRPr="002A0257" w:rsidRDefault="001B31B2" w:rsidP="00006063">
      <w:pPr>
        <w:pStyle w:val="VEOHRCBodytext"/>
      </w:pPr>
      <w:r w:rsidRPr="002A0257">
        <w:t>Th</w:t>
      </w:r>
      <w:r w:rsidR="0081730E">
        <w:t xml:space="preserve">ese provisions raise two </w:t>
      </w:r>
      <w:r w:rsidRPr="002A0257">
        <w:t>key issues</w:t>
      </w:r>
      <w:r w:rsidR="0081730E">
        <w:t>. First, t</w:t>
      </w:r>
      <w:r w:rsidRPr="002A0257">
        <w:t>he Bill has expanded its list of exceptions relating to areas of public life in clause 32(8)-(11). Religious hospitals, aged care facilities and accommodation providers are exempt from discrimination against people with different or no beliefs in relation to their staffing arrangements</w:t>
      </w:r>
      <w:r w:rsidR="0081730E">
        <w:t xml:space="preserve">. This is </w:t>
      </w:r>
      <w:r w:rsidRPr="002A0257">
        <w:t>even</w:t>
      </w:r>
      <w:r w:rsidR="0081730E">
        <w:t xml:space="preserve"> though</w:t>
      </w:r>
      <w:r w:rsidRPr="002A0257">
        <w:t xml:space="preserve"> it </w:t>
      </w:r>
      <w:r w:rsidR="0081730E">
        <w:t xml:space="preserve">is </w:t>
      </w:r>
      <w:r w:rsidRPr="002A0257">
        <w:t>not an inherent requirement of the role to be of a certain religion or belief</w:t>
      </w:r>
      <w:r w:rsidR="003D0D1F">
        <w:t>. They are also exempt</w:t>
      </w:r>
      <w:r w:rsidRPr="002A0257">
        <w:t xml:space="preserve"> in</w:t>
      </w:r>
      <w:r w:rsidR="0081730E">
        <w:t xml:space="preserve"> situations where th</w:t>
      </w:r>
      <w:r w:rsidR="003D0D1F">
        <w:t>ey seek to form partnerships with other people or organisations who adhere to their religious principles.</w:t>
      </w:r>
      <w:r w:rsidR="0081730E">
        <w:rPr>
          <w:rStyle w:val="EndnoteReference"/>
          <w:rFonts w:cs="Arial"/>
          <w:szCs w:val="22"/>
        </w:rPr>
        <w:endnoteReference w:id="25"/>
      </w:r>
      <w:r w:rsidRPr="002A0257">
        <w:t xml:space="preserve"> This expands the number of areas where religious bodies can lawfully discriminate.</w:t>
      </w:r>
    </w:p>
    <w:tbl>
      <w:tblPr>
        <w:tblStyle w:val="TableGrid"/>
        <w:tblW w:w="0" w:type="auto"/>
        <w:tblLook w:val="04A0" w:firstRow="1" w:lastRow="0" w:firstColumn="1" w:lastColumn="0" w:noHBand="0" w:noVBand="1"/>
      </w:tblPr>
      <w:tblGrid>
        <w:gridCol w:w="9628"/>
      </w:tblGrid>
      <w:tr w:rsidR="0081730E" w14:paraId="4DB04DC9" w14:textId="77777777" w:rsidTr="00006063">
        <w:tc>
          <w:tcPr>
            <w:tcW w:w="9628" w:type="dxa"/>
            <w:shd w:val="clear" w:color="auto" w:fill="C5E0B3" w:themeFill="accent6" w:themeFillTint="66"/>
            <w:tcMar>
              <w:top w:w="113" w:type="dxa"/>
              <w:bottom w:w="113" w:type="dxa"/>
            </w:tcMar>
          </w:tcPr>
          <w:p w14:paraId="7C182251" w14:textId="3C175A6F" w:rsidR="0081730E" w:rsidRPr="006240CF" w:rsidRDefault="0081730E" w:rsidP="00006063">
            <w:pPr>
              <w:pStyle w:val="Casestudytitle"/>
            </w:pPr>
            <w:r w:rsidRPr="006240CF">
              <w:t xml:space="preserve">Case </w:t>
            </w:r>
            <w:r w:rsidR="00792AB8">
              <w:t>s</w:t>
            </w:r>
            <w:r w:rsidRPr="006240CF">
              <w:t>tudy of potential harm</w:t>
            </w:r>
          </w:p>
          <w:p w14:paraId="44E9856C" w14:textId="77777777" w:rsidR="0081730E" w:rsidRPr="006240CF" w:rsidRDefault="0081730E" w:rsidP="001E2D91">
            <w:pPr>
              <w:pStyle w:val="VEOHRCBodytext"/>
              <w:keepNext w:val="0"/>
              <w:spacing w:after="80"/>
              <w:rPr>
                <w:rFonts w:cs="Arial"/>
                <w:szCs w:val="22"/>
              </w:rPr>
            </w:pPr>
            <w:r w:rsidRPr="002A0257">
              <w:rPr>
                <w:rFonts w:cs="Arial"/>
                <w:szCs w:val="22"/>
              </w:rPr>
              <w:t xml:space="preserve">Ali, a Muslim man, applies for a job as a receptionist in a Catholic-run hospital. The hospital advises him it cannot hire him because he is not of the Catholic faith and the hospital requires all staff interacting with the patients to be Catholic. The hospital notes that it relies on an exception under the federal religious discrimination law which allows it to select job candidates in this way, even though being a Catholic is not an inherent requirement of the receptionist role. </w:t>
            </w:r>
          </w:p>
        </w:tc>
      </w:tr>
    </w:tbl>
    <w:p w14:paraId="78AB0100" w14:textId="21F8717E" w:rsidR="00F106A8" w:rsidRDefault="001B31B2" w:rsidP="00A82495">
      <w:pPr>
        <w:pStyle w:val="VEOHRCBodytext"/>
        <w:keepNext w:val="0"/>
        <w:rPr>
          <w:shd w:val="clear" w:color="auto" w:fill="FFFFFF"/>
        </w:rPr>
      </w:pPr>
      <w:r w:rsidRPr="003E63C4">
        <w:rPr>
          <w:rFonts w:cs="Arial"/>
          <w:szCs w:val="22"/>
        </w:rPr>
        <w:t xml:space="preserve">Further, the Bill </w:t>
      </w:r>
      <w:r w:rsidR="003D0D1F">
        <w:rPr>
          <w:rFonts w:cs="Arial"/>
          <w:szCs w:val="22"/>
        </w:rPr>
        <w:t>allows</w:t>
      </w:r>
      <w:r w:rsidRPr="003E63C4">
        <w:rPr>
          <w:rFonts w:cs="Arial"/>
          <w:szCs w:val="22"/>
        </w:rPr>
        <w:t xml:space="preserve"> religious camps and conference sites </w:t>
      </w:r>
      <w:r w:rsidR="003D0D1F">
        <w:rPr>
          <w:rFonts w:cs="Arial"/>
          <w:szCs w:val="22"/>
        </w:rPr>
        <w:t>to</w:t>
      </w:r>
      <w:r w:rsidRPr="003E63C4">
        <w:rPr>
          <w:rFonts w:cs="Arial"/>
          <w:szCs w:val="22"/>
        </w:rPr>
        <w:t xml:space="preserve"> discriminate against people with d</w:t>
      </w:r>
      <w:r w:rsidRPr="00D86574">
        <w:rPr>
          <w:rFonts w:cs="Arial"/>
          <w:szCs w:val="22"/>
        </w:rPr>
        <w:t>ifferent or no beliefs in relation to the provision of accommodation at those camps and conference sites</w:t>
      </w:r>
      <w:r w:rsidR="003D0D1F" w:rsidRPr="003D0D1F">
        <w:rPr>
          <w:rFonts w:cs="Arial"/>
          <w:szCs w:val="22"/>
        </w:rPr>
        <w:t xml:space="preserve"> </w:t>
      </w:r>
      <w:r w:rsidR="003D0D1F">
        <w:rPr>
          <w:rFonts w:cs="Arial"/>
          <w:szCs w:val="22"/>
        </w:rPr>
        <w:t xml:space="preserve">under </w:t>
      </w:r>
      <w:r w:rsidR="003D0D1F" w:rsidRPr="00C16FBF">
        <w:rPr>
          <w:rFonts w:cs="Arial"/>
          <w:szCs w:val="22"/>
        </w:rPr>
        <w:t>clauses 33(2</w:t>
      </w:r>
      <w:r w:rsidR="00792AB8" w:rsidRPr="00C16FBF">
        <w:rPr>
          <w:rFonts w:cs="Arial"/>
          <w:szCs w:val="22"/>
        </w:rPr>
        <w:t>)</w:t>
      </w:r>
      <w:r w:rsidR="00792AB8">
        <w:rPr>
          <w:rFonts w:cs="Arial"/>
          <w:szCs w:val="22"/>
        </w:rPr>
        <w:t>–</w:t>
      </w:r>
      <w:r w:rsidR="003D0D1F">
        <w:rPr>
          <w:rFonts w:cs="Arial"/>
          <w:szCs w:val="22"/>
        </w:rPr>
        <w:t>33</w:t>
      </w:r>
      <w:r w:rsidR="003D0D1F" w:rsidRPr="00C16FBF">
        <w:rPr>
          <w:rFonts w:cs="Arial"/>
          <w:szCs w:val="22"/>
        </w:rPr>
        <w:t>(5</w:t>
      </w:r>
      <w:r w:rsidR="003D0D1F">
        <w:rPr>
          <w:rFonts w:cs="Arial"/>
          <w:szCs w:val="22"/>
        </w:rPr>
        <w:t>)</w:t>
      </w:r>
      <w:r w:rsidR="00FD5288">
        <w:rPr>
          <w:rFonts w:cs="Arial"/>
          <w:szCs w:val="22"/>
        </w:rPr>
        <w:t xml:space="preserve"> if they have a public policy that states who they will provide accommodation to</w:t>
      </w:r>
      <w:r w:rsidR="00FD5288" w:rsidRPr="00482FB7">
        <w:rPr>
          <w:rFonts w:cs="Arial"/>
          <w:szCs w:val="22"/>
        </w:rPr>
        <w:t xml:space="preserve">. </w:t>
      </w:r>
      <w:r w:rsidRPr="00482FB7">
        <w:rPr>
          <w:rFonts w:cs="Arial"/>
          <w:szCs w:val="22"/>
        </w:rPr>
        <w:t>The expansion of the ex</w:t>
      </w:r>
      <w:r w:rsidR="008326E5" w:rsidRPr="00482FB7">
        <w:rPr>
          <w:rFonts w:cs="Arial"/>
          <w:szCs w:val="22"/>
        </w:rPr>
        <w:t>ception</w:t>
      </w:r>
      <w:r w:rsidRPr="00482FB7">
        <w:rPr>
          <w:rFonts w:cs="Arial"/>
          <w:szCs w:val="22"/>
        </w:rPr>
        <w:t xml:space="preserve"> to the actual provision of accommodation is not common in anti-discrimination law and undermines</w:t>
      </w:r>
      <w:r w:rsidR="00FD5288" w:rsidRPr="00482FB7">
        <w:rPr>
          <w:rFonts w:cs="Arial"/>
          <w:szCs w:val="22"/>
        </w:rPr>
        <w:t xml:space="preserve"> the application of</w:t>
      </w:r>
      <w:r w:rsidRPr="00482FB7">
        <w:rPr>
          <w:rFonts w:cs="Arial"/>
          <w:szCs w:val="22"/>
        </w:rPr>
        <w:t xml:space="preserve"> Victoria’s </w:t>
      </w:r>
      <w:r w:rsidRPr="00482FB7">
        <w:rPr>
          <w:rFonts w:cs="Arial"/>
          <w:i/>
          <w:szCs w:val="22"/>
        </w:rPr>
        <w:t>Equal Opportunity Act</w:t>
      </w:r>
      <w:r w:rsidR="0081730E" w:rsidRPr="00482FB7">
        <w:rPr>
          <w:rFonts w:cs="Arial"/>
          <w:i/>
          <w:szCs w:val="22"/>
        </w:rPr>
        <w:t xml:space="preserve"> 2010</w:t>
      </w:r>
      <w:r w:rsidRPr="00482FB7">
        <w:rPr>
          <w:rFonts w:cs="Arial"/>
          <w:szCs w:val="22"/>
        </w:rPr>
        <w:t xml:space="preserve">. </w:t>
      </w:r>
      <w:r w:rsidR="00FD5288" w:rsidRPr="003274BC">
        <w:t xml:space="preserve">This exemption would wind back existing protections in Victoria, including by effectively overriding the Victorian Court of Appeal’s decision in </w:t>
      </w:r>
      <w:r w:rsidR="00FD5288" w:rsidRPr="003274BC">
        <w:rPr>
          <w:i/>
          <w:iCs/>
        </w:rPr>
        <w:t xml:space="preserve">Christian Youth Camps Limited v </w:t>
      </w:r>
      <w:proofErr w:type="spellStart"/>
      <w:r w:rsidR="00FD5288" w:rsidRPr="003274BC">
        <w:rPr>
          <w:i/>
          <w:iCs/>
        </w:rPr>
        <w:t>Cobaw</w:t>
      </w:r>
      <w:proofErr w:type="spellEnd"/>
      <w:r w:rsidR="00FD5288" w:rsidRPr="003274BC">
        <w:rPr>
          <w:i/>
          <w:iCs/>
        </w:rPr>
        <w:t xml:space="preserve"> Community Health Service Limited</w:t>
      </w:r>
      <w:r w:rsidR="00FD5288" w:rsidRPr="003274BC">
        <w:rPr>
          <w:rStyle w:val="EndnoteReference"/>
          <w:i/>
          <w:iCs/>
        </w:rPr>
        <w:endnoteReference w:id="26"/>
      </w:r>
      <w:r w:rsidR="00FD5288" w:rsidRPr="003274BC">
        <w:rPr>
          <w:i/>
          <w:iCs/>
        </w:rPr>
        <w:t xml:space="preserve"> </w:t>
      </w:r>
      <w:r w:rsidR="00FD5288" w:rsidRPr="003274BC">
        <w:t xml:space="preserve">which found that a Christian camp provider unlawfully discriminated in refusing a booking request for same-sex attracted youth </w:t>
      </w:r>
      <w:r w:rsidRPr="003274BC">
        <w:rPr>
          <w:rFonts w:cs="Arial"/>
          <w:szCs w:val="22"/>
        </w:rPr>
        <w:t>attending the proposed camp amounted to unlawful discrimination</w:t>
      </w:r>
      <w:r w:rsidR="00A251FD" w:rsidRPr="003274BC">
        <w:rPr>
          <w:rFonts w:cs="Arial"/>
          <w:szCs w:val="22"/>
        </w:rPr>
        <w:t xml:space="preserve"> and did not fall within the religious exceptions in the</w:t>
      </w:r>
      <w:r w:rsidR="00A251FD" w:rsidRPr="003274BC">
        <w:rPr>
          <w:rFonts w:cs="Arial"/>
          <w:i/>
          <w:szCs w:val="22"/>
        </w:rPr>
        <w:t xml:space="preserve"> Equal Opportunity Act 2010.</w:t>
      </w:r>
      <w:r w:rsidR="00A251FD" w:rsidRPr="00482FB7">
        <w:rPr>
          <w:rFonts w:cs="Arial"/>
          <w:szCs w:val="22"/>
        </w:rPr>
        <w:t xml:space="preserve"> </w:t>
      </w:r>
      <w:r w:rsidRPr="00482FB7">
        <w:rPr>
          <w:rStyle w:val="EndnoteReference"/>
          <w:rFonts w:cs="Arial"/>
          <w:szCs w:val="22"/>
        </w:rPr>
        <w:endnoteReference w:id="27"/>
      </w:r>
    </w:p>
    <w:tbl>
      <w:tblPr>
        <w:tblStyle w:val="TableGrid"/>
        <w:tblW w:w="0" w:type="auto"/>
        <w:tblLook w:val="04A0" w:firstRow="1" w:lastRow="0" w:firstColumn="1" w:lastColumn="0" w:noHBand="0" w:noVBand="1"/>
      </w:tblPr>
      <w:tblGrid>
        <w:gridCol w:w="9628"/>
      </w:tblGrid>
      <w:tr w:rsidR="009F7514" w14:paraId="39762EB4" w14:textId="77777777" w:rsidTr="00006063">
        <w:tc>
          <w:tcPr>
            <w:tcW w:w="9628" w:type="dxa"/>
            <w:shd w:val="clear" w:color="auto" w:fill="C5E0B3" w:themeFill="accent6" w:themeFillTint="66"/>
            <w:tcMar>
              <w:top w:w="113" w:type="dxa"/>
              <w:bottom w:w="113" w:type="dxa"/>
            </w:tcMar>
          </w:tcPr>
          <w:p w14:paraId="37AA6371" w14:textId="77777777" w:rsidR="009F7514" w:rsidRDefault="009F7514" w:rsidP="00A82495">
            <w:pPr>
              <w:pStyle w:val="Casestudytitle"/>
              <w:keepNext w:val="0"/>
            </w:pPr>
            <w:r w:rsidRPr="006240CF">
              <w:t>Case Study of potential harm</w:t>
            </w:r>
          </w:p>
          <w:p w14:paraId="1EB5A48B" w14:textId="77777777" w:rsidR="009F7514" w:rsidRPr="006240CF" w:rsidRDefault="009F7514">
            <w:pPr>
              <w:pStyle w:val="VEOHRCBodytext"/>
              <w:keepNext w:val="0"/>
              <w:spacing w:after="80"/>
              <w:rPr>
                <w:rFonts w:cs="Arial"/>
                <w:szCs w:val="22"/>
              </w:rPr>
            </w:pPr>
            <w:r w:rsidRPr="002A0257">
              <w:rPr>
                <w:rFonts w:cs="Arial"/>
                <w:szCs w:val="22"/>
              </w:rPr>
              <w:t>A Jewish school seeks to book a campsite run by a religious Christian organisation for a personal development weekend for senior students. The religious Christian organisation declines the booking because the school intends to teach students about Jewish cultural and religious traditions in the modern world. The camp tells the school that Jewish people are not welcome at the campsite because they do not accept Jesus as their Christ.</w:t>
            </w:r>
          </w:p>
        </w:tc>
      </w:tr>
    </w:tbl>
    <w:p w14:paraId="16F7B368" w14:textId="77777777" w:rsidR="009F7514" w:rsidRPr="00627C0B" w:rsidRDefault="009F7514" w:rsidP="00A82495">
      <w:pPr>
        <w:pStyle w:val="VEOHRCBodytext"/>
        <w:keepNext w:val="0"/>
        <w:rPr>
          <w:shd w:val="clear" w:color="auto" w:fill="FFFFFF"/>
        </w:rPr>
      </w:pPr>
    </w:p>
    <w:tbl>
      <w:tblPr>
        <w:tblStyle w:val="TableGrid"/>
        <w:tblW w:w="0" w:type="auto"/>
        <w:tblLook w:val="04A0" w:firstRow="1" w:lastRow="0" w:firstColumn="1" w:lastColumn="0" w:noHBand="0" w:noVBand="1"/>
      </w:tblPr>
      <w:tblGrid>
        <w:gridCol w:w="9628"/>
      </w:tblGrid>
      <w:tr w:rsidR="006240CF" w14:paraId="0258D8E9" w14:textId="77777777" w:rsidTr="00006063">
        <w:tc>
          <w:tcPr>
            <w:tcW w:w="9628" w:type="dxa"/>
            <w:shd w:val="clear" w:color="auto" w:fill="BDD6EE" w:themeFill="accent1" w:themeFillTint="66"/>
            <w:tcMar>
              <w:top w:w="113" w:type="dxa"/>
              <w:bottom w:w="113" w:type="dxa"/>
            </w:tcMar>
          </w:tcPr>
          <w:p w14:paraId="406F934C" w14:textId="15CF81A6" w:rsidR="006240CF" w:rsidRPr="006240CF" w:rsidRDefault="006240CF" w:rsidP="00A82495">
            <w:pPr>
              <w:pStyle w:val="Casestudytitle"/>
              <w:keepNext w:val="0"/>
            </w:pPr>
            <w:r w:rsidRPr="006240CF">
              <w:t xml:space="preserve">Recommendation </w:t>
            </w:r>
            <w:r w:rsidR="00FF046A">
              <w:t>9</w:t>
            </w:r>
            <w:r w:rsidRPr="006240CF">
              <w:t xml:space="preserve"> </w:t>
            </w:r>
          </w:p>
          <w:p w14:paraId="4960A113" w14:textId="14F470F7" w:rsidR="00685B1D" w:rsidRDefault="006240CF" w:rsidP="00685B1D">
            <w:pPr>
              <w:pStyle w:val="VEOHRCBodytext"/>
              <w:keepNext w:val="0"/>
              <w:spacing w:after="80"/>
              <w:rPr>
                <w:rFonts w:cs="Arial"/>
                <w:szCs w:val="22"/>
              </w:rPr>
            </w:pPr>
            <w:r w:rsidRPr="002A0257">
              <w:rPr>
                <w:rFonts w:eastAsia="Times New Roman" w:cs="Arial"/>
                <w:szCs w:val="22"/>
                <w:lang w:eastAsia="en-GB"/>
              </w:rPr>
              <w:t>The Attorney-</w:t>
            </w:r>
            <w:r w:rsidRPr="00685B1D">
              <w:rPr>
                <w:rFonts w:eastAsia="Times New Roman" w:cs="Arial"/>
                <w:szCs w:val="22"/>
                <w:lang w:eastAsia="en-GB"/>
              </w:rPr>
              <w:t>General should</w:t>
            </w:r>
            <w:r w:rsidR="003274BC" w:rsidRPr="00685B1D">
              <w:rPr>
                <w:rFonts w:cs="Arial"/>
                <w:szCs w:val="22"/>
              </w:rPr>
              <w:t xml:space="preserve"> remove </w:t>
            </w:r>
            <w:r w:rsidR="00685B1D" w:rsidRPr="009324E2">
              <w:rPr>
                <w:rFonts w:cs="Arial"/>
                <w:szCs w:val="22"/>
              </w:rPr>
              <w:t xml:space="preserve">from the Bill </w:t>
            </w:r>
            <w:r w:rsidR="003274BC" w:rsidRPr="00685B1D">
              <w:rPr>
                <w:rFonts w:cs="Arial"/>
                <w:szCs w:val="22"/>
              </w:rPr>
              <w:t>the exemptions in</w:t>
            </w:r>
            <w:r w:rsidR="00685B1D">
              <w:rPr>
                <w:rFonts w:cs="Arial"/>
                <w:szCs w:val="22"/>
              </w:rPr>
              <w:t>:</w:t>
            </w:r>
          </w:p>
          <w:p w14:paraId="1704268C" w14:textId="7D7F220B" w:rsidR="00685B1D" w:rsidRDefault="003274BC" w:rsidP="001D0D2A">
            <w:pPr>
              <w:pStyle w:val="VEOHRCBodytext"/>
              <w:keepNext w:val="0"/>
              <w:numPr>
                <w:ilvl w:val="0"/>
                <w:numId w:val="49"/>
              </w:numPr>
              <w:spacing w:after="80"/>
              <w:rPr>
                <w:rFonts w:cs="Arial"/>
                <w:szCs w:val="22"/>
              </w:rPr>
            </w:pPr>
            <w:r w:rsidRPr="00685B1D">
              <w:rPr>
                <w:rFonts w:cs="Arial"/>
                <w:szCs w:val="22"/>
              </w:rPr>
              <w:t>clauses 32(8)-(11)</w:t>
            </w:r>
            <w:r w:rsidR="00685B1D" w:rsidRPr="00685B1D">
              <w:rPr>
                <w:rFonts w:cs="Arial"/>
                <w:szCs w:val="22"/>
              </w:rPr>
              <w:t>, dealing with exemptions from religious discrimination in employment and partnerships for religious hospitals, aged care facilities and accommodation providers</w:t>
            </w:r>
            <w:r w:rsidR="00685B1D">
              <w:rPr>
                <w:rFonts w:cs="Arial"/>
                <w:szCs w:val="22"/>
              </w:rPr>
              <w:t>, and</w:t>
            </w:r>
          </w:p>
          <w:p w14:paraId="539E7E1C" w14:textId="79F556AD" w:rsidR="006240CF" w:rsidRPr="009324E2" w:rsidRDefault="00685B1D" w:rsidP="001D0D2A">
            <w:pPr>
              <w:pStyle w:val="VEOHRCBodytext"/>
              <w:keepNext w:val="0"/>
              <w:numPr>
                <w:ilvl w:val="0"/>
                <w:numId w:val="49"/>
              </w:numPr>
              <w:spacing w:after="80"/>
              <w:rPr>
                <w:rFonts w:cs="Arial"/>
                <w:szCs w:val="22"/>
              </w:rPr>
            </w:pPr>
            <w:r>
              <w:rPr>
                <w:rFonts w:cs="Arial"/>
                <w:szCs w:val="22"/>
              </w:rPr>
              <w:t xml:space="preserve">clauses </w:t>
            </w:r>
            <w:r w:rsidR="003274BC" w:rsidRPr="00685B1D">
              <w:rPr>
                <w:rFonts w:cs="Arial"/>
                <w:szCs w:val="22"/>
              </w:rPr>
              <w:t>33(2)-(5), dealing with exemptions from religious discrimination relating to accommodation for religious camps and conference</w:t>
            </w:r>
            <w:r w:rsidR="003274BC">
              <w:rPr>
                <w:rFonts w:cs="Arial"/>
                <w:szCs w:val="20"/>
              </w:rPr>
              <w:t xml:space="preserve"> sites</w:t>
            </w:r>
            <w:r w:rsidR="00FC55D7">
              <w:rPr>
                <w:rFonts w:cs="Arial"/>
                <w:szCs w:val="22"/>
              </w:rPr>
              <w:t>.</w:t>
            </w:r>
          </w:p>
        </w:tc>
      </w:tr>
    </w:tbl>
    <w:p w14:paraId="3CB708CC" w14:textId="77777777" w:rsidR="006240CF" w:rsidRDefault="006240CF" w:rsidP="001B31B2">
      <w:pPr>
        <w:pStyle w:val="VEOHRCHeading2"/>
        <w:spacing w:after="240"/>
        <w:rPr>
          <w:rFonts w:cs="Arial"/>
          <w:b w:val="0"/>
          <w:i/>
          <w:sz w:val="22"/>
          <w:szCs w:val="22"/>
        </w:rPr>
      </w:pPr>
    </w:p>
    <w:p w14:paraId="6219D9A7" w14:textId="77777777" w:rsidR="006C4FDB" w:rsidRPr="00905CCA" w:rsidRDefault="006C4FDB" w:rsidP="006C4FDB">
      <w:pPr>
        <w:pStyle w:val="VEOHRCBodytext"/>
        <w:keepNext w:val="0"/>
        <w:rPr>
          <w:rFonts w:cs="Arial"/>
          <w:sz w:val="21"/>
          <w:szCs w:val="21"/>
        </w:rPr>
        <w:sectPr w:rsidR="006C4FDB" w:rsidRPr="00905CCA" w:rsidSect="001B31B2">
          <w:endnotePr>
            <w:numFmt w:val="decimal"/>
          </w:endnotePr>
          <w:pgSz w:w="11906" w:h="16838" w:code="9"/>
          <w:pgMar w:top="1134" w:right="1134" w:bottom="567" w:left="1134" w:header="709" w:footer="272" w:gutter="0"/>
          <w:cols w:space="708"/>
          <w:titlePg/>
          <w:docGrid w:linePitch="360"/>
        </w:sectPr>
      </w:pPr>
    </w:p>
    <w:bookmarkEnd w:id="0"/>
    <w:bookmarkEnd w:id="1"/>
    <w:p w14:paraId="14BFBE6D" w14:textId="77777777" w:rsidR="006C4FDB" w:rsidRPr="00905CCA" w:rsidRDefault="006C4FDB" w:rsidP="008E0B9B">
      <w:pPr>
        <w:pStyle w:val="VEOHRCBodytext"/>
      </w:pPr>
    </w:p>
    <w:p w14:paraId="37B471F8" w14:textId="7ACBB396" w:rsidR="00BE0356" w:rsidRPr="006C4FDB" w:rsidRDefault="00BE0356" w:rsidP="008E0B9B">
      <w:pPr>
        <w:pStyle w:val="VEOHRCBodytext"/>
      </w:pPr>
    </w:p>
    <w:sectPr w:rsidR="00BE0356" w:rsidRPr="006C4FDB" w:rsidSect="003412DC">
      <w:footerReference w:type="default" r:id="rId13"/>
      <w:headerReference w:type="first" r:id="rId14"/>
      <w:footerReference w:type="first" r:id="rId15"/>
      <w:endnotePr>
        <w:numFmt w:val="decimal"/>
      </w:endnotePr>
      <w:pgSz w:w="11906" w:h="16838" w:code="9"/>
      <w:pgMar w:top="1134" w:right="1134" w:bottom="567" w:left="1134"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A9546" w14:textId="77777777" w:rsidR="0016096C" w:rsidRDefault="0016096C">
      <w:r>
        <w:separator/>
      </w:r>
    </w:p>
  </w:endnote>
  <w:endnote w:type="continuationSeparator" w:id="0">
    <w:p w14:paraId="379234AC" w14:textId="77777777" w:rsidR="0016096C" w:rsidRDefault="0016096C">
      <w:r>
        <w:continuationSeparator/>
      </w:r>
    </w:p>
  </w:endnote>
  <w:endnote w:id="1">
    <w:p w14:paraId="1AF91E83" w14:textId="77777777" w:rsidR="00156300" w:rsidRPr="0008004C" w:rsidRDefault="00156300" w:rsidP="006C4FDB">
      <w:pPr>
        <w:pStyle w:val="EndnoteText"/>
        <w:rPr>
          <w:rFonts w:cs="Arial"/>
          <w:sz w:val="18"/>
          <w:szCs w:val="18"/>
        </w:rPr>
      </w:pPr>
      <w:r w:rsidRPr="0008004C">
        <w:rPr>
          <w:rStyle w:val="EndnoteReference"/>
          <w:rFonts w:cs="Arial"/>
          <w:sz w:val="18"/>
          <w:szCs w:val="18"/>
        </w:rPr>
        <w:endnoteRef/>
      </w:r>
      <w:r w:rsidRPr="0008004C">
        <w:rPr>
          <w:rFonts w:cs="Arial"/>
          <w:sz w:val="18"/>
          <w:szCs w:val="18"/>
        </w:rPr>
        <w:t xml:space="preserve"> For example, section 7 of the </w:t>
      </w:r>
      <w:r w:rsidRPr="0008004C">
        <w:rPr>
          <w:rFonts w:cs="Arial"/>
          <w:i/>
          <w:sz w:val="18"/>
          <w:szCs w:val="18"/>
        </w:rPr>
        <w:t>Charter of Human Rights and Responsibilities Act 2006</w:t>
      </w:r>
      <w:r w:rsidRPr="0008004C">
        <w:rPr>
          <w:rFonts w:cs="Arial"/>
          <w:sz w:val="18"/>
          <w:szCs w:val="18"/>
        </w:rPr>
        <w:t xml:space="preserve"> (Vic) provides when and how a human right may be limited in Victoria</w:t>
      </w:r>
      <w:r w:rsidRPr="0008004C">
        <w:rPr>
          <w:rFonts w:cs="Arial"/>
          <w:i/>
          <w:sz w:val="18"/>
          <w:szCs w:val="18"/>
          <w:lang w:val="en-US"/>
        </w:rPr>
        <w:t>.</w:t>
      </w:r>
    </w:p>
  </w:endnote>
  <w:endnote w:id="2">
    <w:p w14:paraId="621442EE" w14:textId="77777777" w:rsidR="00156300" w:rsidRPr="0008004C" w:rsidRDefault="00156300" w:rsidP="006C4FDB">
      <w:pPr>
        <w:pStyle w:val="EndnoteText"/>
        <w:rPr>
          <w:rFonts w:cs="Arial"/>
          <w:sz w:val="18"/>
          <w:szCs w:val="18"/>
        </w:rPr>
      </w:pPr>
      <w:r w:rsidRPr="0008004C">
        <w:rPr>
          <w:rStyle w:val="EndnoteReference"/>
          <w:rFonts w:cs="Arial"/>
          <w:sz w:val="18"/>
          <w:szCs w:val="18"/>
        </w:rPr>
        <w:endnoteRef/>
      </w:r>
      <w:r w:rsidRPr="0008004C">
        <w:rPr>
          <w:rFonts w:cs="Arial"/>
          <w:sz w:val="18"/>
          <w:szCs w:val="18"/>
        </w:rPr>
        <w:t xml:space="preserve"> An electronic version of the Commission’s submission to the first exposure draft of the Religious Discrimination Bill 209 (Cth) can be found on our website; </w:t>
      </w:r>
      <w:hyperlink r:id="rId1" w:history="1">
        <w:r w:rsidRPr="0008004C">
          <w:rPr>
            <w:rFonts w:cs="Arial"/>
            <w:sz w:val="18"/>
            <w:szCs w:val="18"/>
            <w:u w:val="single"/>
          </w:rPr>
          <w:t>https://www.humanrightscommission.vic.gov.au/policy-submissions/item/1840-submission-on-the-draft-religious-discrimination-bill-oct-19</w:t>
        </w:r>
      </w:hyperlink>
      <w:r w:rsidRPr="0008004C">
        <w:rPr>
          <w:rFonts w:cs="Arial"/>
          <w:sz w:val="18"/>
          <w:szCs w:val="18"/>
        </w:rPr>
        <w:t>, accessed 31 December 2019</w:t>
      </w:r>
    </w:p>
  </w:endnote>
  <w:endnote w:id="3">
    <w:p w14:paraId="55FDD5FE" w14:textId="77777777" w:rsidR="00156300" w:rsidRPr="0008004C" w:rsidRDefault="00156300" w:rsidP="000F1BE3">
      <w:pPr>
        <w:pStyle w:val="EndnoteText"/>
        <w:rPr>
          <w:sz w:val="18"/>
          <w:szCs w:val="18"/>
        </w:rPr>
      </w:pPr>
      <w:r w:rsidRPr="0008004C">
        <w:rPr>
          <w:rStyle w:val="EndnoteReference"/>
          <w:sz w:val="18"/>
          <w:szCs w:val="18"/>
        </w:rPr>
        <w:endnoteRef/>
      </w:r>
      <w:r w:rsidRPr="0008004C">
        <w:rPr>
          <w:sz w:val="18"/>
          <w:szCs w:val="18"/>
        </w:rPr>
        <w:t xml:space="preserve"> </w:t>
      </w:r>
      <w:r w:rsidRPr="0008004C">
        <w:rPr>
          <w:rFonts w:cs="Arial"/>
          <w:sz w:val="18"/>
          <w:szCs w:val="18"/>
        </w:rPr>
        <w:t>Previously, the exclusion applied unless the statements would or are likely to, ‘harass, vilify or incite hatred or violence’.</w:t>
      </w:r>
    </w:p>
  </w:endnote>
  <w:endnote w:id="4">
    <w:p w14:paraId="0EAAAE15" w14:textId="77777777" w:rsidR="00156300" w:rsidRPr="0008004C" w:rsidRDefault="00156300" w:rsidP="000F1BE3">
      <w:pPr>
        <w:pStyle w:val="EndnoteText"/>
        <w:rPr>
          <w:rFonts w:cs="Arial"/>
          <w:sz w:val="18"/>
          <w:szCs w:val="18"/>
        </w:rPr>
      </w:pPr>
      <w:r w:rsidRPr="0008004C">
        <w:rPr>
          <w:rStyle w:val="EndnoteReference"/>
          <w:rFonts w:cs="Arial"/>
          <w:sz w:val="18"/>
          <w:szCs w:val="18"/>
        </w:rPr>
        <w:endnoteRef/>
      </w:r>
      <w:r w:rsidRPr="0008004C">
        <w:rPr>
          <w:rFonts w:cs="Arial"/>
          <w:sz w:val="18"/>
          <w:szCs w:val="18"/>
        </w:rPr>
        <w:t xml:space="preserve"> Clause 42(1) of the second exposure draft of the Religious Discrimination Bill 2019 (Cth)</w:t>
      </w:r>
    </w:p>
  </w:endnote>
  <w:endnote w:id="5">
    <w:p w14:paraId="44E52057" w14:textId="77777777" w:rsidR="00156300" w:rsidRPr="0008004C" w:rsidRDefault="00156300" w:rsidP="000F1BE3">
      <w:pPr>
        <w:pStyle w:val="EndnoteText"/>
        <w:rPr>
          <w:sz w:val="18"/>
          <w:szCs w:val="18"/>
        </w:rPr>
      </w:pPr>
      <w:r w:rsidRPr="0008004C">
        <w:rPr>
          <w:rStyle w:val="EndnoteReference"/>
          <w:sz w:val="18"/>
          <w:szCs w:val="18"/>
        </w:rPr>
        <w:endnoteRef/>
      </w:r>
      <w:r w:rsidRPr="0008004C">
        <w:rPr>
          <w:sz w:val="18"/>
          <w:szCs w:val="18"/>
        </w:rPr>
        <w:t xml:space="preserve"> </w:t>
      </w:r>
      <w:r w:rsidRPr="0008004C">
        <w:rPr>
          <w:rFonts w:cs="Arial"/>
          <w:sz w:val="18"/>
          <w:szCs w:val="18"/>
        </w:rPr>
        <w:t>Previously clause 41(2) in the first exposure draft of the Religious Discrimination Bill 2019 (Cth)</w:t>
      </w:r>
    </w:p>
  </w:endnote>
  <w:endnote w:id="6">
    <w:p w14:paraId="251672BD" w14:textId="77777777" w:rsidR="00156300" w:rsidRPr="0008004C" w:rsidRDefault="00156300" w:rsidP="000F1BE3">
      <w:pPr>
        <w:pStyle w:val="EndnoteText"/>
        <w:rPr>
          <w:rFonts w:cs="Arial"/>
          <w:sz w:val="18"/>
          <w:szCs w:val="18"/>
        </w:rPr>
      </w:pPr>
      <w:r w:rsidRPr="0008004C">
        <w:rPr>
          <w:rStyle w:val="EndnoteReference"/>
          <w:rFonts w:cs="Arial"/>
          <w:sz w:val="18"/>
          <w:szCs w:val="18"/>
        </w:rPr>
        <w:endnoteRef/>
      </w:r>
      <w:r w:rsidRPr="0008004C">
        <w:rPr>
          <w:rFonts w:cs="Arial"/>
          <w:sz w:val="18"/>
          <w:szCs w:val="18"/>
        </w:rPr>
        <w:t xml:space="preserve"> Clause 42(1)(a) imports the meaning of “anti-discrimination law” from section 351(3) of the </w:t>
      </w:r>
      <w:r w:rsidRPr="0008004C">
        <w:rPr>
          <w:rFonts w:cs="Arial"/>
          <w:i/>
          <w:sz w:val="18"/>
          <w:szCs w:val="18"/>
        </w:rPr>
        <w:t xml:space="preserve">Fair Work Act 2009 </w:t>
      </w:r>
      <w:r w:rsidRPr="0008004C">
        <w:rPr>
          <w:rFonts w:cs="Arial"/>
          <w:sz w:val="18"/>
          <w:szCs w:val="18"/>
        </w:rPr>
        <w:t xml:space="preserve">(Cth), which includes the </w:t>
      </w:r>
      <w:r w:rsidRPr="0008004C">
        <w:rPr>
          <w:rFonts w:cs="Arial"/>
          <w:i/>
          <w:sz w:val="18"/>
          <w:szCs w:val="18"/>
        </w:rPr>
        <w:t xml:space="preserve">Age Discrimination Act 2004 </w:t>
      </w:r>
      <w:r w:rsidRPr="0008004C">
        <w:rPr>
          <w:rFonts w:cs="Arial"/>
          <w:sz w:val="18"/>
          <w:szCs w:val="18"/>
        </w:rPr>
        <w:t xml:space="preserve">(Cth), the </w:t>
      </w:r>
      <w:r w:rsidRPr="0008004C">
        <w:rPr>
          <w:rFonts w:cs="Arial"/>
          <w:i/>
          <w:sz w:val="18"/>
          <w:szCs w:val="18"/>
        </w:rPr>
        <w:t xml:space="preserve">Disability Discrimination Act 1992 </w:t>
      </w:r>
      <w:r w:rsidRPr="0008004C">
        <w:rPr>
          <w:rFonts w:cs="Arial"/>
          <w:sz w:val="18"/>
          <w:szCs w:val="18"/>
        </w:rPr>
        <w:t xml:space="preserve">(Cth), the </w:t>
      </w:r>
      <w:r w:rsidRPr="0008004C">
        <w:rPr>
          <w:rFonts w:cs="Arial"/>
          <w:i/>
          <w:sz w:val="18"/>
          <w:szCs w:val="18"/>
        </w:rPr>
        <w:t xml:space="preserve">Racial Discrimination Act 1975 </w:t>
      </w:r>
      <w:r w:rsidRPr="0008004C">
        <w:rPr>
          <w:rFonts w:cs="Arial"/>
          <w:sz w:val="18"/>
          <w:szCs w:val="18"/>
        </w:rPr>
        <w:t xml:space="preserve">(Cth), the </w:t>
      </w:r>
      <w:r w:rsidRPr="0008004C">
        <w:rPr>
          <w:rFonts w:cs="Arial"/>
          <w:i/>
          <w:sz w:val="18"/>
          <w:szCs w:val="18"/>
        </w:rPr>
        <w:t xml:space="preserve">Sex Discrimination Act 1984 </w:t>
      </w:r>
      <w:r w:rsidRPr="0008004C">
        <w:rPr>
          <w:rFonts w:cs="Arial"/>
          <w:sz w:val="18"/>
          <w:szCs w:val="18"/>
        </w:rPr>
        <w:t xml:space="preserve">(Cth), the </w:t>
      </w:r>
      <w:r w:rsidRPr="0008004C">
        <w:rPr>
          <w:rFonts w:cs="Arial"/>
          <w:i/>
          <w:sz w:val="18"/>
          <w:szCs w:val="18"/>
        </w:rPr>
        <w:t xml:space="preserve">Equal Opportunity Act 2010 </w:t>
      </w:r>
      <w:r w:rsidRPr="0008004C">
        <w:rPr>
          <w:rFonts w:cs="Arial"/>
          <w:sz w:val="18"/>
          <w:szCs w:val="18"/>
        </w:rPr>
        <w:t xml:space="preserve">(Vic), the </w:t>
      </w:r>
      <w:r w:rsidRPr="0008004C">
        <w:rPr>
          <w:rFonts w:cs="Arial"/>
          <w:i/>
          <w:sz w:val="18"/>
          <w:szCs w:val="18"/>
        </w:rPr>
        <w:t xml:space="preserve">Anti-Discrimination Act 1991 </w:t>
      </w:r>
      <w:r w:rsidRPr="0008004C">
        <w:rPr>
          <w:rFonts w:cs="Arial"/>
          <w:sz w:val="18"/>
          <w:szCs w:val="18"/>
        </w:rPr>
        <w:t xml:space="preserve">(Qld), the </w:t>
      </w:r>
      <w:r w:rsidRPr="0008004C">
        <w:rPr>
          <w:rFonts w:cs="Arial"/>
          <w:i/>
          <w:sz w:val="18"/>
          <w:szCs w:val="18"/>
        </w:rPr>
        <w:t xml:space="preserve">Equal Opportunity Act 1984 </w:t>
      </w:r>
      <w:r w:rsidRPr="0008004C">
        <w:rPr>
          <w:rFonts w:cs="Arial"/>
          <w:sz w:val="18"/>
          <w:szCs w:val="18"/>
        </w:rPr>
        <w:t xml:space="preserve">(WA), the </w:t>
      </w:r>
      <w:r w:rsidRPr="0008004C">
        <w:rPr>
          <w:rFonts w:cs="Arial"/>
          <w:i/>
          <w:sz w:val="18"/>
          <w:szCs w:val="18"/>
        </w:rPr>
        <w:t xml:space="preserve">Equal Opportunity Act 1984 </w:t>
      </w:r>
      <w:r w:rsidRPr="0008004C">
        <w:rPr>
          <w:rFonts w:cs="Arial"/>
          <w:sz w:val="18"/>
          <w:szCs w:val="18"/>
        </w:rPr>
        <w:t xml:space="preserve">(SA), the </w:t>
      </w:r>
      <w:r w:rsidRPr="0008004C">
        <w:rPr>
          <w:rFonts w:cs="Arial"/>
          <w:i/>
          <w:sz w:val="18"/>
          <w:szCs w:val="18"/>
        </w:rPr>
        <w:t xml:space="preserve">Anti-Discrimination Act 1998 </w:t>
      </w:r>
      <w:r w:rsidRPr="0008004C">
        <w:rPr>
          <w:rFonts w:cs="Arial"/>
          <w:sz w:val="18"/>
          <w:szCs w:val="18"/>
        </w:rPr>
        <w:t xml:space="preserve">(Tas), the </w:t>
      </w:r>
      <w:r w:rsidRPr="0008004C">
        <w:rPr>
          <w:rFonts w:cs="Arial"/>
          <w:i/>
          <w:sz w:val="18"/>
          <w:szCs w:val="18"/>
        </w:rPr>
        <w:t xml:space="preserve">Discrimination Act 1991 </w:t>
      </w:r>
      <w:r w:rsidRPr="0008004C">
        <w:rPr>
          <w:rFonts w:cs="Arial"/>
          <w:sz w:val="18"/>
          <w:szCs w:val="18"/>
        </w:rPr>
        <w:t xml:space="preserve">(ACT), and the </w:t>
      </w:r>
      <w:r w:rsidRPr="0008004C">
        <w:rPr>
          <w:rFonts w:cs="Arial"/>
          <w:i/>
          <w:sz w:val="18"/>
          <w:szCs w:val="18"/>
        </w:rPr>
        <w:t xml:space="preserve">Anti-Discrimination Act 1992 </w:t>
      </w:r>
      <w:r w:rsidRPr="0008004C">
        <w:rPr>
          <w:rFonts w:cs="Arial"/>
          <w:sz w:val="18"/>
          <w:szCs w:val="18"/>
        </w:rPr>
        <w:t>(NT).</w:t>
      </w:r>
    </w:p>
  </w:endnote>
  <w:endnote w:id="7">
    <w:p w14:paraId="693C7AEC" w14:textId="77777777" w:rsidR="00156300" w:rsidRPr="0008004C" w:rsidRDefault="00156300" w:rsidP="000F1BE3">
      <w:pPr>
        <w:pStyle w:val="EndnoteText"/>
        <w:rPr>
          <w:rFonts w:cs="Arial"/>
          <w:sz w:val="18"/>
          <w:szCs w:val="18"/>
        </w:rPr>
      </w:pPr>
      <w:r w:rsidRPr="0008004C">
        <w:rPr>
          <w:rStyle w:val="EndnoteReference"/>
          <w:rFonts w:cs="Arial"/>
          <w:sz w:val="18"/>
          <w:szCs w:val="18"/>
        </w:rPr>
        <w:endnoteRef/>
      </w:r>
      <w:r w:rsidRPr="0008004C">
        <w:rPr>
          <w:rFonts w:cs="Arial"/>
          <w:sz w:val="18"/>
          <w:szCs w:val="18"/>
        </w:rPr>
        <w:t xml:space="preserve"> Clause 42 should be removed from the second exposure draft to bring anti-discrimination protections for religious communities into line with protections for other attributes and to allow federal law to operate concurrently with state and territory law anti-discrimination frameworks. See for example the </w:t>
      </w:r>
      <w:r w:rsidRPr="0008004C">
        <w:rPr>
          <w:rFonts w:cs="Arial"/>
          <w:i/>
          <w:sz w:val="18"/>
          <w:szCs w:val="18"/>
        </w:rPr>
        <w:t xml:space="preserve">Racial Discrimination Act 1975 </w:t>
      </w:r>
      <w:r w:rsidRPr="0008004C">
        <w:rPr>
          <w:rFonts w:cs="Arial"/>
          <w:sz w:val="18"/>
          <w:szCs w:val="18"/>
        </w:rPr>
        <w:t xml:space="preserve">(Cth) s 6A(1) which provides that the Act </w:t>
      </w:r>
      <w:r w:rsidRPr="0008004C">
        <w:rPr>
          <w:rFonts w:cs="Arial"/>
          <w:sz w:val="18"/>
          <w:szCs w:val="18"/>
          <w:shd w:val="clear" w:color="auto" w:fill="FFFFFF"/>
        </w:rPr>
        <w:t xml:space="preserve">is not intended, and shall be deemed never to have been intended, to exclude or limit the operation of a law of a State or Territory </w:t>
      </w:r>
    </w:p>
  </w:endnote>
  <w:endnote w:id="8">
    <w:p w14:paraId="498BD49D" w14:textId="77777777" w:rsidR="00156300" w:rsidRPr="0008004C" w:rsidRDefault="00156300" w:rsidP="00B04E6C">
      <w:pPr>
        <w:pStyle w:val="EndnoteText"/>
        <w:rPr>
          <w:rFonts w:cs="Arial"/>
          <w:sz w:val="18"/>
          <w:szCs w:val="18"/>
        </w:rPr>
      </w:pPr>
      <w:r w:rsidRPr="0008004C">
        <w:rPr>
          <w:rStyle w:val="EndnoteReference"/>
          <w:rFonts w:cs="Arial"/>
          <w:sz w:val="18"/>
          <w:szCs w:val="18"/>
        </w:rPr>
        <w:endnoteRef/>
      </w:r>
      <w:r w:rsidRPr="0008004C">
        <w:rPr>
          <w:rFonts w:cs="Arial"/>
          <w:sz w:val="18"/>
          <w:szCs w:val="18"/>
        </w:rPr>
        <w:t xml:space="preserve"> Previous clauses 31(2)-31(5) in the first exposure draft of the Religious Discrimination Bill 2019 (Cth)</w:t>
      </w:r>
    </w:p>
  </w:endnote>
  <w:endnote w:id="9">
    <w:p w14:paraId="14685A50" w14:textId="77777777" w:rsidR="00156300" w:rsidRPr="0008004C" w:rsidRDefault="00156300" w:rsidP="00B04E6C">
      <w:pPr>
        <w:pStyle w:val="EndnoteText"/>
        <w:rPr>
          <w:sz w:val="18"/>
          <w:szCs w:val="18"/>
        </w:rPr>
      </w:pPr>
      <w:r w:rsidRPr="0008004C">
        <w:rPr>
          <w:rStyle w:val="EndnoteReference"/>
          <w:sz w:val="18"/>
          <w:szCs w:val="18"/>
        </w:rPr>
        <w:endnoteRef/>
      </w:r>
      <w:r w:rsidRPr="0008004C">
        <w:rPr>
          <w:sz w:val="18"/>
          <w:szCs w:val="18"/>
        </w:rPr>
        <w:t xml:space="preserve"> Please refer to page 8 of our submission to the first exposure draft of the </w:t>
      </w:r>
      <w:r w:rsidRPr="0008004C">
        <w:rPr>
          <w:rFonts w:cs="Arial"/>
          <w:sz w:val="18"/>
          <w:szCs w:val="18"/>
        </w:rPr>
        <w:t>Religious Discrimination Bill 2019 (Cth)</w:t>
      </w:r>
    </w:p>
  </w:endnote>
  <w:endnote w:id="10">
    <w:p w14:paraId="02468ECE" w14:textId="77777777" w:rsidR="00156300" w:rsidRPr="0008004C" w:rsidRDefault="00156300" w:rsidP="000F1BE3">
      <w:pPr>
        <w:pStyle w:val="EndnoteText"/>
        <w:rPr>
          <w:rFonts w:cs="Arial"/>
          <w:sz w:val="18"/>
          <w:szCs w:val="18"/>
        </w:rPr>
      </w:pPr>
      <w:r w:rsidRPr="0008004C">
        <w:rPr>
          <w:rStyle w:val="EndnoteReference"/>
          <w:rFonts w:cs="Arial"/>
          <w:sz w:val="18"/>
          <w:szCs w:val="18"/>
        </w:rPr>
        <w:endnoteRef/>
      </w:r>
      <w:r w:rsidRPr="0008004C">
        <w:rPr>
          <w:rFonts w:cs="Arial"/>
          <w:sz w:val="18"/>
          <w:szCs w:val="18"/>
        </w:rPr>
        <w:t xml:space="preserve"> Under clause 5 of the second exposure draft of the Religious Discrimination Bill 2019 (Cth)</w:t>
      </w:r>
    </w:p>
  </w:endnote>
  <w:endnote w:id="11">
    <w:p w14:paraId="1E5C2E63" w14:textId="77777777" w:rsidR="00156300" w:rsidRPr="0008004C" w:rsidRDefault="00156300" w:rsidP="000F1BE3">
      <w:pPr>
        <w:pStyle w:val="EndnoteText"/>
        <w:rPr>
          <w:sz w:val="18"/>
          <w:szCs w:val="18"/>
        </w:rPr>
      </w:pPr>
      <w:r w:rsidRPr="0008004C">
        <w:rPr>
          <w:rStyle w:val="EndnoteReference"/>
          <w:sz w:val="18"/>
          <w:szCs w:val="18"/>
        </w:rPr>
        <w:endnoteRef/>
      </w:r>
      <w:r w:rsidRPr="0008004C">
        <w:rPr>
          <w:sz w:val="18"/>
          <w:szCs w:val="18"/>
        </w:rPr>
        <w:t xml:space="preserve"> Definition taken from Health Records Act 2001 (Vic). Also see Health Practitioner Regulation National Law (Victoria) Act 2009</w:t>
      </w:r>
    </w:p>
  </w:endnote>
  <w:endnote w:id="12">
    <w:p w14:paraId="516C607C" w14:textId="19954C02" w:rsidR="00156300" w:rsidRPr="0008004C" w:rsidRDefault="00156300" w:rsidP="000F1BE3">
      <w:pPr>
        <w:pStyle w:val="EndnoteText"/>
        <w:rPr>
          <w:sz w:val="18"/>
          <w:szCs w:val="18"/>
        </w:rPr>
      </w:pPr>
      <w:r w:rsidRPr="0008004C">
        <w:rPr>
          <w:rStyle w:val="EndnoteReference"/>
          <w:sz w:val="18"/>
          <w:szCs w:val="18"/>
        </w:rPr>
        <w:endnoteRef/>
      </w:r>
      <w:r w:rsidRPr="0008004C">
        <w:rPr>
          <w:sz w:val="18"/>
          <w:szCs w:val="18"/>
        </w:rPr>
        <w:t xml:space="preserve"> </w:t>
      </w:r>
      <w:r w:rsidRPr="0008004C">
        <w:rPr>
          <w:rFonts w:cs="Arial"/>
          <w:sz w:val="18"/>
          <w:szCs w:val="18"/>
        </w:rPr>
        <w:t xml:space="preserve">Explanatory Notes, Second Exposure Draft, Religious Discrimination Bill 2019, paragraph 167, page 22 </w:t>
      </w:r>
      <w:hyperlink r:id="rId2" w:history="1">
        <w:r w:rsidRPr="0008004C">
          <w:rPr>
            <w:rStyle w:val="Hyperlink"/>
            <w:rFonts w:cs="Arial"/>
            <w:color w:val="auto"/>
            <w:sz w:val="18"/>
            <w:szCs w:val="18"/>
          </w:rPr>
          <w:t>https://www.ag.gov.au/Consultations/Documents/religious-freedom-bills-second-draft/explanatory-notes-second-exposure-draft-religious-discrimination-bill-2019.pdf</w:t>
        </w:r>
      </w:hyperlink>
      <w:r w:rsidRPr="0008004C">
        <w:rPr>
          <w:rFonts w:cs="Arial"/>
          <w:sz w:val="18"/>
          <w:szCs w:val="18"/>
          <w:u w:val="single"/>
        </w:rPr>
        <w:t xml:space="preserve">, </w:t>
      </w:r>
      <w:r w:rsidRPr="0008004C">
        <w:rPr>
          <w:rFonts w:cs="Arial"/>
          <w:sz w:val="18"/>
          <w:szCs w:val="18"/>
        </w:rPr>
        <w:t>accessed 3 January 2020</w:t>
      </w:r>
    </w:p>
  </w:endnote>
  <w:endnote w:id="13">
    <w:p w14:paraId="45BE4AB1" w14:textId="77777777" w:rsidR="00156300" w:rsidRPr="0008004C" w:rsidRDefault="00156300" w:rsidP="000F1BE3">
      <w:pPr>
        <w:pStyle w:val="EndnoteText"/>
        <w:rPr>
          <w:rFonts w:cs="Arial"/>
          <w:sz w:val="18"/>
          <w:szCs w:val="18"/>
        </w:rPr>
      </w:pPr>
      <w:r w:rsidRPr="0008004C">
        <w:rPr>
          <w:rStyle w:val="EndnoteReference"/>
          <w:rFonts w:cs="Arial"/>
          <w:sz w:val="18"/>
          <w:szCs w:val="18"/>
        </w:rPr>
        <w:endnoteRef/>
      </w:r>
      <w:r w:rsidRPr="0008004C">
        <w:rPr>
          <w:rFonts w:cs="Arial"/>
          <w:sz w:val="18"/>
          <w:szCs w:val="18"/>
        </w:rPr>
        <w:t xml:space="preserve"> Ibid, Explanatory Notes, Second Exposure Draft, Religious Discrimination Bill 2019, paragraph 167, page 22 </w:t>
      </w:r>
    </w:p>
  </w:endnote>
  <w:endnote w:id="14">
    <w:p w14:paraId="7D276941" w14:textId="58E93509" w:rsidR="00D8772B" w:rsidRDefault="00D8772B">
      <w:pPr>
        <w:pStyle w:val="EndnoteText"/>
      </w:pPr>
      <w:r>
        <w:rPr>
          <w:rStyle w:val="EndnoteReference"/>
        </w:rPr>
        <w:endnoteRef/>
      </w:r>
      <w:r>
        <w:t xml:space="preserve"> </w:t>
      </w:r>
      <w:r w:rsidRPr="0008004C">
        <w:rPr>
          <w:rFonts w:cs="Arial"/>
          <w:sz w:val="18"/>
          <w:szCs w:val="18"/>
        </w:rPr>
        <w:t>Ibid, Explanatory Notes, Second Exposure Draft, Religious Discrimination Bill 2019,</w:t>
      </w:r>
      <w:r>
        <w:rPr>
          <w:rFonts w:cs="Arial"/>
          <w:sz w:val="18"/>
          <w:szCs w:val="18"/>
        </w:rPr>
        <w:t xml:space="preserve"> paragraph 203, page 26</w:t>
      </w:r>
    </w:p>
  </w:endnote>
  <w:endnote w:id="15">
    <w:p w14:paraId="4DE9DE3F" w14:textId="77777777" w:rsidR="00156300" w:rsidRPr="0008004C" w:rsidRDefault="00156300" w:rsidP="000F1BE3">
      <w:pPr>
        <w:pStyle w:val="EndnoteText"/>
        <w:rPr>
          <w:sz w:val="18"/>
          <w:szCs w:val="18"/>
        </w:rPr>
      </w:pPr>
      <w:r w:rsidRPr="0008004C">
        <w:rPr>
          <w:rStyle w:val="EndnoteReference"/>
          <w:sz w:val="18"/>
          <w:szCs w:val="18"/>
        </w:rPr>
        <w:endnoteRef/>
      </w:r>
      <w:r w:rsidRPr="0008004C">
        <w:rPr>
          <w:sz w:val="18"/>
          <w:szCs w:val="18"/>
        </w:rPr>
        <w:t xml:space="preserve"> Ibid, </w:t>
      </w:r>
      <w:r w:rsidRPr="0008004C">
        <w:rPr>
          <w:rFonts w:cs="Arial"/>
          <w:sz w:val="18"/>
          <w:szCs w:val="18"/>
        </w:rPr>
        <w:t xml:space="preserve">Explanatory Notes, Second Exposure Draft, Religious Discrimination Bill 2019, paragraph 64, page 10 </w:t>
      </w:r>
    </w:p>
  </w:endnote>
  <w:endnote w:id="16">
    <w:p w14:paraId="20000136" w14:textId="77777777" w:rsidR="00156300" w:rsidRPr="0008004C" w:rsidRDefault="00156300" w:rsidP="000F1BE3">
      <w:pPr>
        <w:pStyle w:val="EndnoteText"/>
        <w:rPr>
          <w:sz w:val="18"/>
          <w:szCs w:val="18"/>
        </w:rPr>
      </w:pPr>
      <w:r w:rsidRPr="0008004C">
        <w:rPr>
          <w:rStyle w:val="EndnoteReference"/>
          <w:sz w:val="18"/>
          <w:szCs w:val="18"/>
        </w:rPr>
        <w:endnoteRef/>
      </w:r>
      <w:r w:rsidRPr="0008004C">
        <w:rPr>
          <w:sz w:val="18"/>
          <w:szCs w:val="18"/>
        </w:rPr>
        <w:t xml:space="preserve"> Ibid, </w:t>
      </w:r>
      <w:r w:rsidRPr="0008004C">
        <w:rPr>
          <w:rFonts w:cs="Arial"/>
          <w:sz w:val="18"/>
          <w:szCs w:val="18"/>
        </w:rPr>
        <w:t xml:space="preserve">Explanatory Notes, Second Exposure Draft., Religious Discrimination Bill 2019, paragraph 64, page 10 </w:t>
      </w:r>
    </w:p>
  </w:endnote>
  <w:endnote w:id="17">
    <w:p w14:paraId="3B3B44CB" w14:textId="77777777" w:rsidR="00156300" w:rsidRPr="0008004C" w:rsidRDefault="00156300" w:rsidP="000F1BE3">
      <w:pPr>
        <w:pStyle w:val="EndnoteText"/>
        <w:rPr>
          <w:rFonts w:cs="Arial"/>
          <w:sz w:val="18"/>
          <w:szCs w:val="18"/>
        </w:rPr>
      </w:pPr>
      <w:r w:rsidRPr="0008004C">
        <w:rPr>
          <w:rStyle w:val="EndnoteReference"/>
          <w:rFonts w:cs="Arial"/>
          <w:sz w:val="18"/>
          <w:szCs w:val="18"/>
        </w:rPr>
        <w:endnoteRef/>
      </w:r>
      <w:r w:rsidRPr="0008004C">
        <w:rPr>
          <w:rFonts w:cs="Arial"/>
          <w:sz w:val="18"/>
          <w:szCs w:val="18"/>
        </w:rPr>
        <w:t xml:space="preserve"> Section 46P(2) of the</w:t>
      </w:r>
      <w:r w:rsidRPr="0008004C">
        <w:rPr>
          <w:rFonts w:cs="Arial"/>
          <w:i/>
          <w:sz w:val="18"/>
          <w:szCs w:val="18"/>
        </w:rPr>
        <w:t xml:space="preserve"> Australian Human Rights Commission Act (Cth) 1996 </w:t>
      </w:r>
      <w:r w:rsidRPr="0008004C">
        <w:rPr>
          <w:rFonts w:cs="Arial"/>
          <w:sz w:val="18"/>
          <w:szCs w:val="18"/>
        </w:rPr>
        <w:t>provides that a complaint may be lodged by a person aggrieved by the alleged acts, omissions or practices on that person’s own behalf; or on behalf of that person and one or more other persons who are also aggrieved by the alleged acts, omissions or practices; or by 2 or more persons aggrieved by the alleged acts, omissions or practices: on their own behalf; or on behalf of themselves and one or more other persons who are also aggrieved by the alleged acts, omissions or practices.</w:t>
      </w:r>
    </w:p>
  </w:endnote>
  <w:endnote w:id="18">
    <w:p w14:paraId="192783DD" w14:textId="77777777" w:rsidR="00156300" w:rsidRPr="0008004C" w:rsidRDefault="00156300" w:rsidP="001B31B2">
      <w:pPr>
        <w:pStyle w:val="EndnoteText"/>
        <w:rPr>
          <w:rFonts w:cs="Arial"/>
          <w:sz w:val="18"/>
          <w:szCs w:val="18"/>
        </w:rPr>
      </w:pPr>
      <w:r w:rsidRPr="0008004C">
        <w:rPr>
          <w:rStyle w:val="EndnoteReference"/>
          <w:rFonts w:cs="Arial"/>
          <w:sz w:val="18"/>
          <w:szCs w:val="18"/>
        </w:rPr>
        <w:endnoteRef/>
      </w:r>
      <w:r w:rsidRPr="0008004C">
        <w:rPr>
          <w:rFonts w:cs="Arial"/>
          <w:sz w:val="18"/>
          <w:szCs w:val="18"/>
        </w:rPr>
        <w:t xml:space="preserve"> Clause 5(1) of the second exposure draft provides that a registered public benevolent institution means an institution that is (a) a registered charity and (b) registered under the </w:t>
      </w:r>
      <w:r w:rsidRPr="0008004C">
        <w:rPr>
          <w:rFonts w:cs="Arial"/>
          <w:i/>
          <w:sz w:val="18"/>
          <w:szCs w:val="18"/>
        </w:rPr>
        <w:t>Australian Charities and Not-for-profits Commission Act 2012</w:t>
      </w:r>
      <w:r w:rsidRPr="0008004C">
        <w:rPr>
          <w:rFonts w:cs="Arial"/>
          <w:sz w:val="18"/>
          <w:szCs w:val="18"/>
        </w:rPr>
        <w:t xml:space="preserve"> </w:t>
      </w:r>
      <w:r w:rsidRPr="0008004C">
        <w:rPr>
          <w:rFonts w:cs="Arial"/>
          <w:i/>
          <w:sz w:val="18"/>
          <w:szCs w:val="18"/>
        </w:rPr>
        <w:t>(Cth)</w:t>
      </w:r>
      <w:r w:rsidRPr="0008004C">
        <w:rPr>
          <w:rFonts w:cs="Arial"/>
          <w:sz w:val="18"/>
          <w:szCs w:val="18"/>
        </w:rPr>
        <w:t xml:space="preserve"> as the subtype of entity mentioned in column 2 of item 14 of the table in subsection 25-5(5) of that Act</w:t>
      </w:r>
    </w:p>
  </w:endnote>
  <w:endnote w:id="19">
    <w:p w14:paraId="1BFA737A" w14:textId="77777777" w:rsidR="00156300" w:rsidRPr="0008004C" w:rsidRDefault="00156300" w:rsidP="001B31B2">
      <w:pPr>
        <w:pStyle w:val="EndnoteText"/>
        <w:rPr>
          <w:sz w:val="18"/>
          <w:szCs w:val="18"/>
        </w:rPr>
      </w:pPr>
      <w:r w:rsidRPr="0008004C">
        <w:rPr>
          <w:rStyle w:val="EndnoteReference"/>
          <w:sz w:val="18"/>
          <w:szCs w:val="18"/>
        </w:rPr>
        <w:endnoteRef/>
      </w:r>
      <w:r w:rsidRPr="0008004C">
        <w:rPr>
          <w:sz w:val="18"/>
          <w:szCs w:val="18"/>
        </w:rPr>
        <w:t xml:space="preserve"> Ibid,</w:t>
      </w:r>
      <w:r w:rsidRPr="0008004C">
        <w:rPr>
          <w:rFonts w:cs="Arial"/>
          <w:sz w:val="18"/>
          <w:szCs w:val="18"/>
        </w:rPr>
        <w:t xml:space="preserve"> Explanatory Notes, Second Exposure Draft, Religious Discrimination Bill 2019, paragraph 223, page 28 </w:t>
      </w:r>
    </w:p>
  </w:endnote>
  <w:endnote w:id="20">
    <w:p w14:paraId="722CE004" w14:textId="77777777" w:rsidR="00156300" w:rsidRPr="0008004C" w:rsidRDefault="00156300" w:rsidP="001B31B2">
      <w:pPr>
        <w:pStyle w:val="EndnoteText"/>
        <w:rPr>
          <w:rFonts w:cs="Arial"/>
          <w:sz w:val="18"/>
          <w:szCs w:val="18"/>
        </w:rPr>
      </w:pPr>
      <w:r w:rsidRPr="0008004C">
        <w:rPr>
          <w:rStyle w:val="EndnoteReference"/>
          <w:rFonts w:cs="Arial"/>
          <w:sz w:val="18"/>
          <w:szCs w:val="18"/>
        </w:rPr>
        <w:endnoteRef/>
      </w:r>
      <w:r w:rsidRPr="0008004C">
        <w:rPr>
          <w:rFonts w:cs="Arial"/>
          <w:sz w:val="18"/>
          <w:szCs w:val="18"/>
        </w:rPr>
        <w:t xml:space="preserve"> </w:t>
      </w:r>
      <w:r w:rsidRPr="0008004C">
        <w:rPr>
          <w:sz w:val="18"/>
          <w:szCs w:val="18"/>
        </w:rPr>
        <w:t xml:space="preserve">Ibid, </w:t>
      </w:r>
      <w:r w:rsidRPr="0008004C">
        <w:rPr>
          <w:rFonts w:cs="Arial"/>
          <w:sz w:val="18"/>
          <w:szCs w:val="18"/>
        </w:rPr>
        <w:t>Explanatory Notes, Second Exposure Draft, Religious Discrimination Bill 2019, paragraphs 221 and 223, page 28</w:t>
      </w:r>
    </w:p>
  </w:endnote>
  <w:endnote w:id="21">
    <w:p w14:paraId="3E9AEB58" w14:textId="77777777" w:rsidR="00156300" w:rsidRPr="0008004C" w:rsidRDefault="00156300" w:rsidP="001B31B2">
      <w:pPr>
        <w:pStyle w:val="EndnoteText"/>
        <w:rPr>
          <w:sz w:val="18"/>
          <w:szCs w:val="18"/>
        </w:rPr>
      </w:pPr>
      <w:r w:rsidRPr="0008004C">
        <w:rPr>
          <w:rStyle w:val="EndnoteReference"/>
          <w:sz w:val="18"/>
          <w:szCs w:val="18"/>
        </w:rPr>
        <w:endnoteRef/>
      </w:r>
      <w:r w:rsidRPr="0008004C">
        <w:rPr>
          <w:sz w:val="18"/>
          <w:szCs w:val="18"/>
        </w:rPr>
        <w:t xml:space="preserve"> Previous clause 10(1) in the first exposure draft</w:t>
      </w:r>
      <w:r w:rsidRPr="0008004C">
        <w:rPr>
          <w:rFonts w:cs="Arial"/>
          <w:sz w:val="18"/>
          <w:szCs w:val="18"/>
        </w:rPr>
        <w:t xml:space="preserve"> of the Religious Discrimination Bill 2019 (Cth)</w:t>
      </w:r>
    </w:p>
  </w:endnote>
  <w:endnote w:id="22">
    <w:p w14:paraId="58436C67" w14:textId="77777777" w:rsidR="00156300" w:rsidRPr="0008004C" w:rsidRDefault="00156300" w:rsidP="001B31B2">
      <w:pPr>
        <w:pStyle w:val="EndnoteText"/>
        <w:rPr>
          <w:sz w:val="18"/>
          <w:szCs w:val="18"/>
        </w:rPr>
      </w:pPr>
      <w:r w:rsidRPr="0008004C">
        <w:rPr>
          <w:rStyle w:val="EndnoteReference"/>
          <w:sz w:val="18"/>
          <w:szCs w:val="18"/>
        </w:rPr>
        <w:endnoteRef/>
      </w:r>
      <w:r w:rsidRPr="0008004C">
        <w:rPr>
          <w:sz w:val="18"/>
          <w:szCs w:val="18"/>
        </w:rPr>
        <w:t xml:space="preserve"> Clause 11(1) in second exposure draft</w:t>
      </w:r>
      <w:r w:rsidRPr="0008004C">
        <w:rPr>
          <w:rFonts w:cs="Arial"/>
          <w:sz w:val="18"/>
          <w:szCs w:val="18"/>
        </w:rPr>
        <w:t xml:space="preserve"> of the Religious Discrimination Bill 2019 (Cth)</w:t>
      </w:r>
    </w:p>
  </w:endnote>
  <w:endnote w:id="23">
    <w:p w14:paraId="2DA298AA" w14:textId="77777777" w:rsidR="00156300" w:rsidRPr="0008004C" w:rsidRDefault="00156300" w:rsidP="001B31B2">
      <w:pPr>
        <w:pStyle w:val="EndnoteText"/>
        <w:rPr>
          <w:sz w:val="18"/>
          <w:szCs w:val="18"/>
        </w:rPr>
      </w:pPr>
      <w:r w:rsidRPr="0008004C">
        <w:rPr>
          <w:rStyle w:val="EndnoteReference"/>
          <w:sz w:val="18"/>
          <w:szCs w:val="18"/>
        </w:rPr>
        <w:endnoteRef/>
      </w:r>
      <w:r w:rsidRPr="0008004C">
        <w:rPr>
          <w:sz w:val="18"/>
          <w:szCs w:val="18"/>
        </w:rPr>
        <w:t xml:space="preserve"> Clauses 11(2)-(4) in second exposure draft</w:t>
      </w:r>
      <w:r w:rsidRPr="0008004C">
        <w:rPr>
          <w:rFonts w:cs="Arial"/>
          <w:sz w:val="18"/>
          <w:szCs w:val="18"/>
        </w:rPr>
        <w:t xml:space="preserve"> of the Religious Discrimination Bill 2019 (Cth)</w:t>
      </w:r>
    </w:p>
  </w:endnote>
  <w:endnote w:id="24">
    <w:p w14:paraId="7E094BB4" w14:textId="77777777" w:rsidR="00453D10" w:rsidRDefault="00453D10" w:rsidP="00453D10">
      <w:pPr>
        <w:pStyle w:val="EndnoteText"/>
      </w:pPr>
      <w:r>
        <w:rPr>
          <w:rStyle w:val="EndnoteReference"/>
        </w:rPr>
        <w:endnoteRef/>
      </w:r>
      <w:r>
        <w:t xml:space="preserve"> </w:t>
      </w:r>
      <w:r w:rsidRPr="0008004C">
        <w:rPr>
          <w:rFonts w:cs="Arial"/>
          <w:sz w:val="18"/>
          <w:szCs w:val="18"/>
        </w:rPr>
        <w:t xml:space="preserve">Explanatory Notes, Second Exposure Draft, Religious Discrimination Bill 2019, paragraph </w:t>
      </w:r>
      <w:r>
        <w:rPr>
          <w:rFonts w:cs="Arial"/>
          <w:sz w:val="18"/>
          <w:szCs w:val="18"/>
        </w:rPr>
        <w:t>216</w:t>
      </w:r>
      <w:r w:rsidRPr="0008004C">
        <w:rPr>
          <w:rFonts w:cs="Arial"/>
          <w:sz w:val="18"/>
          <w:szCs w:val="18"/>
        </w:rPr>
        <w:t>, page 2</w:t>
      </w:r>
      <w:r>
        <w:rPr>
          <w:rFonts w:cs="Arial"/>
          <w:sz w:val="18"/>
          <w:szCs w:val="18"/>
        </w:rPr>
        <w:t>8</w:t>
      </w:r>
    </w:p>
  </w:endnote>
  <w:endnote w:id="25">
    <w:p w14:paraId="4756D1F9" w14:textId="746A72C2" w:rsidR="00156300" w:rsidRDefault="00156300">
      <w:pPr>
        <w:pStyle w:val="EndnoteText"/>
      </w:pPr>
      <w:r>
        <w:rPr>
          <w:rStyle w:val="EndnoteReference"/>
        </w:rPr>
        <w:endnoteRef/>
      </w:r>
      <w:r>
        <w:t xml:space="preserve"> See clause 15 of the Religious Discrimination Bill 2019</w:t>
      </w:r>
    </w:p>
  </w:endnote>
  <w:endnote w:id="26">
    <w:p w14:paraId="1707D1EE" w14:textId="58346717" w:rsidR="00FD5288" w:rsidRDefault="00FD5288">
      <w:pPr>
        <w:pStyle w:val="EndnoteText"/>
      </w:pPr>
      <w:r>
        <w:rPr>
          <w:rStyle w:val="EndnoteReference"/>
        </w:rPr>
        <w:endnoteRef/>
      </w:r>
      <w:r>
        <w:t xml:space="preserve"> </w:t>
      </w:r>
      <w:r w:rsidRPr="000F7CB3">
        <w:t>[2014] VSCA 75</w:t>
      </w:r>
    </w:p>
  </w:endnote>
  <w:endnote w:id="27">
    <w:p w14:paraId="4806BABF" w14:textId="77777777" w:rsidR="00156300" w:rsidRPr="0008004C" w:rsidRDefault="00156300" w:rsidP="001B31B2">
      <w:pPr>
        <w:pStyle w:val="EndnoteText"/>
        <w:rPr>
          <w:rFonts w:cs="Arial"/>
          <w:sz w:val="18"/>
          <w:szCs w:val="18"/>
        </w:rPr>
      </w:pPr>
      <w:r w:rsidRPr="0008004C">
        <w:rPr>
          <w:rStyle w:val="EndnoteReference"/>
          <w:rFonts w:cs="Arial"/>
          <w:sz w:val="18"/>
          <w:szCs w:val="18"/>
        </w:rPr>
        <w:endnoteRef/>
      </w:r>
      <w:r w:rsidRPr="0008004C">
        <w:rPr>
          <w:rFonts w:cs="Arial"/>
          <w:sz w:val="18"/>
          <w:szCs w:val="18"/>
        </w:rPr>
        <w:t xml:space="preserve"> </w:t>
      </w:r>
      <w:r w:rsidRPr="0008004C">
        <w:rPr>
          <w:rFonts w:eastAsia="Times New Roman" w:cs="Arial"/>
          <w:spacing w:val="-5"/>
          <w:kern w:val="36"/>
          <w:sz w:val="18"/>
          <w:szCs w:val="18"/>
          <w:lang w:eastAsia="en-AU"/>
        </w:rPr>
        <w:t xml:space="preserve">Christian Youth Camps Limited &amp; Ors v Cobaw Community Health Services Limited &amp; Ors [2014] VSCA 75 (16 April 2014),  </w:t>
      </w:r>
      <w:hyperlink r:id="rId3" w:history="1">
        <w:r w:rsidRPr="0008004C">
          <w:rPr>
            <w:rFonts w:cs="Arial"/>
            <w:sz w:val="18"/>
            <w:szCs w:val="18"/>
            <w:u w:val="single"/>
          </w:rPr>
          <w:t>http://www.austlii.edu.au/cgi-bin/viewdoc/au/cases/vic/VSCA/2014/75.html</w:t>
        </w:r>
      </w:hyperlink>
      <w:r w:rsidRPr="0008004C">
        <w:rPr>
          <w:rFonts w:cs="Arial"/>
          <w:bCs/>
          <w:sz w:val="18"/>
          <w:szCs w:val="18"/>
        </w:rPr>
        <w:t xml:space="preserve">, para 11, accessed 31 December 2019. </w:t>
      </w:r>
      <w:r w:rsidRPr="0008004C">
        <w:rPr>
          <w:rFonts w:cs="Arial"/>
          <w:sz w:val="18"/>
          <w:szCs w:val="18"/>
          <w:shd w:val="clear" w:color="auto" w:fill="FFFFFF"/>
        </w:rPr>
        <w:t xml:space="preserve">The Court of Appeal in </w:t>
      </w:r>
      <w:r w:rsidRPr="0008004C">
        <w:rPr>
          <w:rFonts w:eastAsia="Times New Roman" w:cs="Arial"/>
          <w:i/>
          <w:spacing w:val="-5"/>
          <w:kern w:val="36"/>
          <w:sz w:val="18"/>
          <w:szCs w:val="18"/>
          <w:lang w:eastAsia="en-AU"/>
        </w:rPr>
        <w:t>Christian Youth Camps Limited &amp; Ors v Cobaw Community Health Services Limited &amp; Ors</w:t>
      </w:r>
      <w:r w:rsidRPr="0008004C">
        <w:rPr>
          <w:rFonts w:eastAsia="Times New Roman" w:cs="Arial"/>
          <w:spacing w:val="-5"/>
          <w:kern w:val="36"/>
          <w:sz w:val="18"/>
          <w:szCs w:val="18"/>
          <w:lang w:eastAsia="en-AU"/>
        </w:rPr>
        <w:t xml:space="preserve"> [2014] VSCA 75 had the task of balancing </w:t>
      </w:r>
      <w:r w:rsidRPr="0008004C">
        <w:rPr>
          <w:rFonts w:cs="Arial"/>
          <w:sz w:val="18"/>
          <w:szCs w:val="18"/>
          <w:shd w:val="clear" w:color="auto" w:fill="FFFFFF"/>
        </w:rPr>
        <w:t xml:space="preserve">the right to freedom from discrimination and the right to religious freedom where the two were in conflict. The Court of Appeal at paragraphs [2], [9], [14] and [514] found that no religious exemptions applied and that the refusal to provide accommodation at the religious camp site amounted to discriminatory conduct. CYC tried to appeal the case to the High Court, however the special leave application was dismissed (See </w:t>
      </w:r>
      <w:r w:rsidRPr="0008004C">
        <w:rPr>
          <w:rFonts w:cs="Arial"/>
          <w:i/>
          <w:sz w:val="18"/>
          <w:szCs w:val="18"/>
          <w:shd w:val="clear" w:color="auto" w:fill="FFFFFF"/>
        </w:rPr>
        <w:t>Christian Youth Camps Limited v Cobaw Community Health Services Limited &amp; Ors</w:t>
      </w:r>
      <w:r w:rsidRPr="0008004C">
        <w:rPr>
          <w:rFonts w:cs="Arial"/>
          <w:sz w:val="18"/>
          <w:szCs w:val="18"/>
          <w:shd w:val="clear" w:color="auto" w:fill="FFFFFF"/>
        </w:rPr>
        <w:t xml:space="preserve"> [2014] HCATrans 289).</w:t>
      </w:r>
    </w:p>
    <w:p w14:paraId="4536FBF1" w14:textId="77777777" w:rsidR="00156300" w:rsidRPr="00073DBD" w:rsidRDefault="00156300" w:rsidP="001B31B2">
      <w:pPr>
        <w:pStyle w:val="EndnoteText"/>
        <w:rPr>
          <w:rFonts w:cs="Arial"/>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55 Roman">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8747010"/>
      <w:docPartObj>
        <w:docPartGallery w:val="Page Numbers (Bottom of Page)"/>
        <w:docPartUnique/>
      </w:docPartObj>
    </w:sdtPr>
    <w:sdtEndPr>
      <w:rPr>
        <w:noProof/>
        <w:sz w:val="20"/>
      </w:rPr>
    </w:sdtEndPr>
    <w:sdtContent>
      <w:p w14:paraId="28E0D642" w14:textId="77777777" w:rsidR="00156300" w:rsidRPr="005B5F9C" w:rsidRDefault="00156300">
        <w:pPr>
          <w:pStyle w:val="Footer"/>
          <w:jc w:val="right"/>
          <w:rPr>
            <w:sz w:val="20"/>
          </w:rPr>
        </w:pPr>
        <w:r w:rsidRPr="005B5F9C">
          <w:rPr>
            <w:sz w:val="20"/>
          </w:rPr>
          <w:fldChar w:fldCharType="begin"/>
        </w:r>
        <w:r w:rsidRPr="005B5F9C">
          <w:rPr>
            <w:sz w:val="20"/>
          </w:rPr>
          <w:instrText xml:space="preserve"> PAGE   \* MERGEFORMAT </w:instrText>
        </w:r>
        <w:r w:rsidRPr="005B5F9C">
          <w:rPr>
            <w:sz w:val="20"/>
          </w:rPr>
          <w:fldChar w:fldCharType="separate"/>
        </w:r>
        <w:r w:rsidRPr="005B5F9C">
          <w:rPr>
            <w:noProof/>
            <w:sz w:val="20"/>
          </w:rPr>
          <w:t>2</w:t>
        </w:r>
        <w:r w:rsidRPr="005B5F9C">
          <w:rPr>
            <w:noProof/>
            <w:sz w:val="20"/>
          </w:rPr>
          <w:fldChar w:fldCharType="end"/>
        </w:r>
      </w:p>
    </w:sdtContent>
  </w:sdt>
  <w:p w14:paraId="54885FB7" w14:textId="77777777" w:rsidR="00156300" w:rsidRDefault="00156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6FFF4" w14:textId="77777777" w:rsidR="00156300" w:rsidRDefault="00156300" w:rsidP="0060206F">
    <w:pPr>
      <w:pStyle w:val="VEOHRCFootnotetext"/>
      <w:tabs>
        <w:tab w:val="right" w:pos="9540"/>
      </w:tabs>
    </w:pPr>
    <w:r>
      <w:tab/>
    </w:r>
  </w:p>
  <w:p w14:paraId="05E60F95" w14:textId="77777777" w:rsidR="00156300" w:rsidRDefault="00156300" w:rsidP="005B5F9C">
    <w:pPr>
      <w:pStyle w:val="VEOHRCFootnotetext"/>
      <w:tabs>
        <w:tab w:val="right" w:pos="9540"/>
      </w:tabs>
      <w:jc w:val="center"/>
    </w:pPr>
  </w:p>
  <w:p w14:paraId="65F075BB" w14:textId="77777777" w:rsidR="00156300" w:rsidRPr="0060206F" w:rsidRDefault="00156300" w:rsidP="00602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4486666"/>
      <w:docPartObj>
        <w:docPartGallery w:val="Page Numbers (Bottom of Page)"/>
        <w:docPartUnique/>
      </w:docPartObj>
    </w:sdtPr>
    <w:sdtEndPr>
      <w:rPr>
        <w:noProof/>
        <w:sz w:val="20"/>
      </w:rPr>
    </w:sdtEndPr>
    <w:sdtContent>
      <w:p w14:paraId="64A9A9CA" w14:textId="4778D526" w:rsidR="00156300" w:rsidRPr="005B5F9C" w:rsidRDefault="00156300">
        <w:pPr>
          <w:pStyle w:val="Footer"/>
          <w:jc w:val="right"/>
          <w:rPr>
            <w:sz w:val="20"/>
          </w:rPr>
        </w:pPr>
        <w:r w:rsidRPr="005B5F9C">
          <w:rPr>
            <w:sz w:val="20"/>
          </w:rPr>
          <w:fldChar w:fldCharType="begin"/>
        </w:r>
        <w:r w:rsidRPr="005B5F9C">
          <w:rPr>
            <w:sz w:val="20"/>
          </w:rPr>
          <w:instrText xml:space="preserve"> PAGE   \* MERGEFORMAT </w:instrText>
        </w:r>
        <w:r w:rsidRPr="005B5F9C">
          <w:rPr>
            <w:sz w:val="20"/>
          </w:rPr>
          <w:fldChar w:fldCharType="separate"/>
        </w:r>
        <w:r w:rsidRPr="005B5F9C">
          <w:rPr>
            <w:noProof/>
            <w:sz w:val="20"/>
          </w:rPr>
          <w:t>2</w:t>
        </w:r>
        <w:r w:rsidRPr="005B5F9C">
          <w:rPr>
            <w:noProof/>
            <w:sz w:val="20"/>
          </w:rPr>
          <w:fldChar w:fldCharType="end"/>
        </w:r>
      </w:p>
    </w:sdtContent>
  </w:sdt>
  <w:p w14:paraId="507D8A78" w14:textId="77777777" w:rsidR="00156300" w:rsidRDefault="001563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E79A7" w14:textId="180EF0B5" w:rsidR="00156300" w:rsidRDefault="00156300" w:rsidP="0060206F">
    <w:pPr>
      <w:pStyle w:val="VEOHRCFootnotetext"/>
      <w:tabs>
        <w:tab w:val="right" w:pos="9540"/>
      </w:tabs>
    </w:pPr>
    <w:r>
      <w:tab/>
    </w:r>
  </w:p>
  <w:p w14:paraId="300DC420" w14:textId="53E8FE8A" w:rsidR="00156300" w:rsidRDefault="00156300" w:rsidP="005B5F9C">
    <w:pPr>
      <w:pStyle w:val="VEOHRCFootnotetext"/>
      <w:tabs>
        <w:tab w:val="right" w:pos="9540"/>
      </w:tabs>
      <w:jc w:val="center"/>
    </w:pPr>
  </w:p>
  <w:p w14:paraId="1B29CBE8" w14:textId="77777777" w:rsidR="00156300" w:rsidRPr="0060206F" w:rsidRDefault="00156300" w:rsidP="00602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7E2AD" w14:textId="77777777" w:rsidR="0016096C" w:rsidRDefault="0016096C">
      <w:r>
        <w:separator/>
      </w:r>
    </w:p>
  </w:footnote>
  <w:footnote w:type="continuationSeparator" w:id="0">
    <w:p w14:paraId="796F151D" w14:textId="77777777" w:rsidR="0016096C" w:rsidRDefault="00160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0F3F9" w14:textId="77777777" w:rsidR="00156300" w:rsidRPr="005B5F9C" w:rsidRDefault="00156300" w:rsidP="005B5F9C">
    <w:pPr>
      <w:pStyle w:val="Header"/>
    </w:pPr>
    <w:r>
      <w:rPr>
        <w:noProof/>
      </w:rPr>
      <w:drawing>
        <wp:inline distT="0" distB="0" distL="0" distR="0" wp14:anchorId="6AED5CAD" wp14:editId="2F095B73">
          <wp:extent cx="2924175" cy="923925"/>
          <wp:effectExtent l="0" t="0" r="9525" b="9525"/>
          <wp:docPr id="1" name="Picture 1" descr="VEOHRC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OHRC LETTERHEA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9239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07D78" w14:textId="63CA33CB" w:rsidR="00156300" w:rsidRPr="005B5F9C" w:rsidRDefault="00156300" w:rsidP="005B5F9C">
    <w:pPr>
      <w:pStyle w:val="Header"/>
    </w:pPr>
    <w:r>
      <w:rPr>
        <w:noProof/>
      </w:rPr>
      <w:drawing>
        <wp:inline distT="0" distB="0" distL="0" distR="0" wp14:anchorId="5F31CC5C" wp14:editId="1479C88E">
          <wp:extent cx="2924175" cy="923925"/>
          <wp:effectExtent l="0" t="0" r="9525" b="9525"/>
          <wp:docPr id="5" name="Picture 5" descr="VEOHRC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OHRC LETTERHEA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14A44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56DF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EA0B8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98638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DA0F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AF6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9CA1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3CA9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B00B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46953E"/>
    <w:lvl w:ilvl="0">
      <w:numFmt w:val="bullet"/>
      <w:pStyle w:val="VEOHRCListBullet2ndlevel"/>
      <w:lvlText w:val="-"/>
      <w:lvlJc w:val="left"/>
      <w:pPr>
        <w:tabs>
          <w:tab w:val="num" w:pos="720"/>
        </w:tabs>
        <w:ind w:left="720" w:hanging="360"/>
      </w:pPr>
      <w:rPr>
        <w:rFonts w:ascii="Arial" w:eastAsia="Times New Roman" w:hAnsi="Arial" w:cs="Arial" w:hint="default"/>
      </w:rPr>
    </w:lvl>
  </w:abstractNum>
  <w:abstractNum w:abstractNumId="10" w15:restartNumberingAfterBreak="0">
    <w:nsid w:val="059E37B2"/>
    <w:multiLevelType w:val="hybridMultilevel"/>
    <w:tmpl w:val="E648E8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09287655"/>
    <w:multiLevelType w:val="hybridMultilevel"/>
    <w:tmpl w:val="D18C7F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A2135CF"/>
    <w:multiLevelType w:val="multilevel"/>
    <w:tmpl w:val="CF6ACFDC"/>
    <w:lvl w:ilvl="0">
      <w:start w:val="1"/>
      <w:numFmt w:val="decimal"/>
      <w:pStyle w:val="VEOHRCNumberedlist"/>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3" w15:restartNumberingAfterBreak="0">
    <w:nsid w:val="0B600243"/>
    <w:multiLevelType w:val="hybridMultilevel"/>
    <w:tmpl w:val="BC56BE20"/>
    <w:lvl w:ilvl="0" w:tplc="842E7690">
      <w:start w:val="1"/>
      <w:numFmt w:val="lowerLetter"/>
      <w:lvlText w:val="(%1)"/>
      <w:lvlJc w:val="left"/>
      <w:pPr>
        <w:ind w:left="720" w:hanging="360"/>
      </w:pPr>
      <w:rPr>
        <w:rFonts w:ascii="Arial" w:eastAsiaTheme="minorHAnsi" w:hAnsi="Arial" w:cstheme="minorBidi"/>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6270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F167765"/>
    <w:multiLevelType w:val="multilevel"/>
    <w:tmpl w:val="35266F38"/>
    <w:styleLink w:val="AppendixHeadingmaster"/>
    <w:lvl w:ilvl="0">
      <w:start w:val="1"/>
      <w:numFmt w:val="upperLetter"/>
      <w:pStyle w:val="AppendixHeading1"/>
      <w:lvlText w:val="Appendix %1"/>
      <w:lvlJc w:val="left"/>
      <w:pPr>
        <w:ind w:left="2325" w:hanging="2325"/>
      </w:pPr>
      <w:rPr>
        <w:rFonts w:ascii="Arial" w:hAnsi="Arial" w:hint="default"/>
        <w:b w:val="0"/>
        <w:i w:val="0"/>
        <w:color w:val="auto"/>
        <w:sz w:val="48"/>
      </w:rPr>
    </w:lvl>
    <w:lvl w:ilvl="1">
      <w:start w:val="1"/>
      <w:numFmt w:val="decimal"/>
      <w:pStyle w:val="AppendixHeading2"/>
      <w:lvlText w:val="%1.%2."/>
      <w:lvlJc w:val="left"/>
      <w:pPr>
        <w:ind w:left="1021" w:hanging="1021"/>
      </w:pPr>
      <w:rPr>
        <w:rFonts w:hint="default"/>
        <w:b/>
        <w:i w:val="0"/>
        <w:sz w:val="36"/>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3EA2797"/>
    <w:multiLevelType w:val="hybridMultilevel"/>
    <w:tmpl w:val="54B8AA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3"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3FE30F2"/>
    <w:multiLevelType w:val="hybridMultilevel"/>
    <w:tmpl w:val="F3A0F2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804102B"/>
    <w:multiLevelType w:val="hybridMultilevel"/>
    <w:tmpl w:val="D0B6686A"/>
    <w:lvl w:ilvl="0" w:tplc="388CA5B2">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9FF05C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70809A2"/>
    <w:multiLevelType w:val="hybridMultilevel"/>
    <w:tmpl w:val="E4B8ED1C"/>
    <w:lvl w:ilvl="0" w:tplc="8C982DC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BDC4A7E"/>
    <w:multiLevelType w:val="multilevel"/>
    <w:tmpl w:val="35266F38"/>
    <w:numStyleLink w:val="AppendixHeadingmaster"/>
  </w:abstractNum>
  <w:abstractNum w:abstractNumId="22" w15:restartNumberingAfterBreak="0">
    <w:nsid w:val="2E3D1375"/>
    <w:multiLevelType w:val="hybridMultilevel"/>
    <w:tmpl w:val="30D4C086"/>
    <w:lvl w:ilvl="0" w:tplc="58DE90D8">
      <w:start w:val="1"/>
      <w:numFmt w:val="bullet"/>
      <w:pStyle w:val="VEOHRCList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C5522D"/>
    <w:multiLevelType w:val="hybridMultilevel"/>
    <w:tmpl w:val="79FE9B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5D208DE"/>
    <w:multiLevelType w:val="hybridMultilevel"/>
    <w:tmpl w:val="D032A00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492BFF"/>
    <w:multiLevelType w:val="hybridMultilevel"/>
    <w:tmpl w:val="C94C09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8C766DF"/>
    <w:multiLevelType w:val="hybridMultilevel"/>
    <w:tmpl w:val="A5E6D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CAE17A8"/>
    <w:multiLevelType w:val="hybridMultilevel"/>
    <w:tmpl w:val="6E44A74A"/>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3E563B36"/>
    <w:multiLevelType w:val="hybridMultilevel"/>
    <w:tmpl w:val="E1342DA2"/>
    <w:lvl w:ilvl="0" w:tplc="3C4809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F474320"/>
    <w:multiLevelType w:val="hybridMultilevel"/>
    <w:tmpl w:val="C98ECF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FA27E04"/>
    <w:multiLevelType w:val="hybridMultilevel"/>
    <w:tmpl w:val="6A64FCAE"/>
    <w:lvl w:ilvl="0" w:tplc="45E6F462">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4C74483"/>
    <w:multiLevelType w:val="hybridMultilevel"/>
    <w:tmpl w:val="2312C5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8F809E4"/>
    <w:multiLevelType w:val="hybridMultilevel"/>
    <w:tmpl w:val="57246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29F68DF"/>
    <w:multiLevelType w:val="multilevel"/>
    <w:tmpl w:val="DCA0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C10633"/>
    <w:multiLevelType w:val="hybridMultilevel"/>
    <w:tmpl w:val="83FCE8FE"/>
    <w:lvl w:ilvl="0" w:tplc="9990B626">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56FC55E3"/>
    <w:multiLevelType w:val="multilevel"/>
    <w:tmpl w:val="410C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703F5D"/>
    <w:multiLevelType w:val="hybridMultilevel"/>
    <w:tmpl w:val="0D4A21E0"/>
    <w:lvl w:ilvl="0" w:tplc="106438B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F5509CA"/>
    <w:multiLevelType w:val="hybridMultilevel"/>
    <w:tmpl w:val="8CE226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3"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48E6CBA"/>
    <w:multiLevelType w:val="multilevel"/>
    <w:tmpl w:val="540CA368"/>
    <w:styleLink w:val="ListBulletmaster"/>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C16D20"/>
    <w:multiLevelType w:val="hybridMultilevel"/>
    <w:tmpl w:val="FFDEB276"/>
    <w:lvl w:ilvl="0" w:tplc="D6389942">
      <w:start w:val="1"/>
      <w:numFmt w:val="lowerLetter"/>
      <w:lvlText w:val="(%1)"/>
      <w:lvlJc w:val="left"/>
      <w:pPr>
        <w:ind w:left="360" w:hanging="360"/>
      </w:pPr>
      <w:rPr>
        <w:rFonts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76F5BF0"/>
    <w:multiLevelType w:val="hybridMultilevel"/>
    <w:tmpl w:val="81263528"/>
    <w:lvl w:ilvl="0" w:tplc="3980735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FF23CF"/>
    <w:multiLevelType w:val="hybridMultilevel"/>
    <w:tmpl w:val="E8C0B514"/>
    <w:lvl w:ilvl="0" w:tplc="0C090001">
      <w:start w:val="1"/>
      <w:numFmt w:val="bullet"/>
      <w:lvlText w:val=""/>
      <w:lvlJc w:val="left"/>
      <w:pPr>
        <w:ind w:left="720" w:hanging="360"/>
      </w:pPr>
      <w:rPr>
        <w:rFonts w:ascii="Symbol" w:hAnsi="Symbol" w:hint="default"/>
      </w:rPr>
    </w:lvl>
    <w:lvl w:ilvl="1" w:tplc="11FC761C">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548253C"/>
    <w:multiLevelType w:val="hybridMultilevel"/>
    <w:tmpl w:val="7208FE68"/>
    <w:lvl w:ilvl="0" w:tplc="B69858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598249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7A9D1BD4"/>
    <w:multiLevelType w:val="hybridMultilevel"/>
    <w:tmpl w:val="16A049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096B57"/>
    <w:multiLevelType w:val="hybridMultilevel"/>
    <w:tmpl w:val="E1287BCA"/>
    <w:lvl w:ilvl="0" w:tplc="51F6B800">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BF5784"/>
    <w:multiLevelType w:val="hybridMultilevel"/>
    <w:tmpl w:val="D0B6686A"/>
    <w:lvl w:ilvl="0" w:tplc="388CA5B2">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F1D47D1"/>
    <w:multiLevelType w:val="hybridMultilevel"/>
    <w:tmpl w:val="1D04A37E"/>
    <w:lvl w:ilvl="0" w:tplc="9AB8231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F9A1A65"/>
    <w:multiLevelType w:val="multilevel"/>
    <w:tmpl w:val="A69E7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3"/>
  </w:num>
  <w:num w:numId="12">
    <w:abstractNumId w:val="19"/>
  </w:num>
  <w:num w:numId="13">
    <w:abstractNumId w:val="14"/>
  </w:num>
  <w:num w:numId="14">
    <w:abstractNumId w:val="22"/>
  </w:num>
  <w:num w:numId="15">
    <w:abstractNumId w:val="12"/>
  </w:num>
  <w:num w:numId="16">
    <w:abstractNumId w:val="26"/>
  </w:num>
  <w:num w:numId="17">
    <w:abstractNumId w:val="38"/>
  </w:num>
  <w:num w:numId="18">
    <w:abstractNumId w:val="15"/>
  </w:num>
  <w:num w:numId="19">
    <w:abstractNumId w:val="21"/>
  </w:num>
  <w:num w:numId="20">
    <w:abstractNumId w:val="25"/>
  </w:num>
  <w:num w:numId="21">
    <w:abstractNumId w:val="13"/>
  </w:num>
  <w:num w:numId="22">
    <w:abstractNumId w:val="11"/>
  </w:num>
  <w:num w:numId="23">
    <w:abstractNumId w:val="29"/>
  </w:num>
  <w:num w:numId="24">
    <w:abstractNumId w:val="45"/>
  </w:num>
  <w:num w:numId="25">
    <w:abstractNumId w:val="46"/>
  </w:num>
  <w:num w:numId="26">
    <w:abstractNumId w:val="18"/>
  </w:num>
  <w:num w:numId="27">
    <w:abstractNumId w:val="40"/>
  </w:num>
  <w:num w:numId="28">
    <w:abstractNumId w:val="48"/>
  </w:num>
  <w:num w:numId="29">
    <w:abstractNumId w:val="24"/>
  </w:num>
  <w:num w:numId="30">
    <w:abstractNumId w:val="16"/>
  </w:num>
  <w:num w:numId="31">
    <w:abstractNumId w:val="31"/>
  </w:num>
  <w:num w:numId="32">
    <w:abstractNumId w:val="44"/>
  </w:num>
  <w:num w:numId="33">
    <w:abstractNumId w:val="33"/>
  </w:num>
  <w:num w:numId="34">
    <w:abstractNumId w:val="32"/>
  </w:num>
  <w:num w:numId="35">
    <w:abstractNumId w:val="35"/>
  </w:num>
  <w:num w:numId="36">
    <w:abstractNumId w:val="17"/>
  </w:num>
  <w:num w:numId="37">
    <w:abstractNumId w:val="23"/>
  </w:num>
  <w:num w:numId="38">
    <w:abstractNumId w:val="41"/>
  </w:num>
  <w:num w:numId="39">
    <w:abstractNumId w:val="39"/>
  </w:num>
  <w:num w:numId="40">
    <w:abstractNumId w:val="34"/>
  </w:num>
  <w:num w:numId="41">
    <w:abstractNumId w:val="36"/>
  </w:num>
  <w:num w:numId="42">
    <w:abstractNumId w:val="20"/>
  </w:num>
  <w:num w:numId="43">
    <w:abstractNumId w:val="30"/>
  </w:num>
  <w:num w:numId="44">
    <w:abstractNumId w:val="27"/>
    <w:lvlOverride w:ilvl="0">
      <w:startOverride w:val="1"/>
    </w:lvlOverride>
    <w:lvlOverride w:ilvl="1"/>
    <w:lvlOverride w:ilvl="2"/>
    <w:lvlOverride w:ilvl="3"/>
    <w:lvlOverride w:ilvl="4"/>
    <w:lvlOverride w:ilvl="5"/>
    <w:lvlOverride w:ilvl="6"/>
    <w:lvlOverride w:ilvl="7"/>
    <w:lvlOverride w:ilvl="8"/>
  </w:num>
  <w:num w:numId="45">
    <w:abstractNumId w:val="10"/>
  </w:num>
  <w:num w:numId="46">
    <w:abstractNumId w:val="37"/>
  </w:num>
  <w:num w:numId="47">
    <w:abstractNumId w:val="28"/>
  </w:num>
  <w:num w:numId="48">
    <w:abstractNumId w:val="47"/>
  </w:num>
  <w:num w:numId="49">
    <w:abstractNumId w:val="4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AB"/>
    <w:rsid w:val="0000454D"/>
    <w:rsid w:val="000047D2"/>
    <w:rsid w:val="0000563D"/>
    <w:rsid w:val="00005A49"/>
    <w:rsid w:val="00006063"/>
    <w:rsid w:val="00011DB0"/>
    <w:rsid w:val="000125D6"/>
    <w:rsid w:val="0001284D"/>
    <w:rsid w:val="00012AFC"/>
    <w:rsid w:val="0001641C"/>
    <w:rsid w:val="00020BFF"/>
    <w:rsid w:val="00024E06"/>
    <w:rsid w:val="000265A8"/>
    <w:rsid w:val="0003080D"/>
    <w:rsid w:val="00035ABC"/>
    <w:rsid w:val="00035DB1"/>
    <w:rsid w:val="0003695D"/>
    <w:rsid w:val="00041AEB"/>
    <w:rsid w:val="0004351D"/>
    <w:rsid w:val="000539DA"/>
    <w:rsid w:val="000556D7"/>
    <w:rsid w:val="00061FEF"/>
    <w:rsid w:val="0006250A"/>
    <w:rsid w:val="00062877"/>
    <w:rsid w:val="000649E5"/>
    <w:rsid w:val="00065039"/>
    <w:rsid w:val="000735CB"/>
    <w:rsid w:val="00073DBD"/>
    <w:rsid w:val="00077C73"/>
    <w:rsid w:val="0008004C"/>
    <w:rsid w:val="0008249B"/>
    <w:rsid w:val="00083245"/>
    <w:rsid w:val="00084E77"/>
    <w:rsid w:val="00091122"/>
    <w:rsid w:val="00091467"/>
    <w:rsid w:val="00091833"/>
    <w:rsid w:val="00091ED0"/>
    <w:rsid w:val="0009617C"/>
    <w:rsid w:val="0009637D"/>
    <w:rsid w:val="00096C4E"/>
    <w:rsid w:val="00097A77"/>
    <w:rsid w:val="000A0CC8"/>
    <w:rsid w:val="000A1A1E"/>
    <w:rsid w:val="000A2C22"/>
    <w:rsid w:val="000A2EA7"/>
    <w:rsid w:val="000A4416"/>
    <w:rsid w:val="000A4896"/>
    <w:rsid w:val="000A4C6A"/>
    <w:rsid w:val="000A5DF1"/>
    <w:rsid w:val="000A6DFF"/>
    <w:rsid w:val="000A7493"/>
    <w:rsid w:val="000A77C4"/>
    <w:rsid w:val="000B1261"/>
    <w:rsid w:val="000B1400"/>
    <w:rsid w:val="000B3291"/>
    <w:rsid w:val="000B480F"/>
    <w:rsid w:val="000B4ACC"/>
    <w:rsid w:val="000B77E2"/>
    <w:rsid w:val="000B7ECF"/>
    <w:rsid w:val="000D08BD"/>
    <w:rsid w:val="000D119A"/>
    <w:rsid w:val="000D6179"/>
    <w:rsid w:val="000D697C"/>
    <w:rsid w:val="000D6A02"/>
    <w:rsid w:val="000E2477"/>
    <w:rsid w:val="000F03D2"/>
    <w:rsid w:val="000F077B"/>
    <w:rsid w:val="000F1BE3"/>
    <w:rsid w:val="000F79BE"/>
    <w:rsid w:val="00102540"/>
    <w:rsid w:val="0010301B"/>
    <w:rsid w:val="001044E4"/>
    <w:rsid w:val="00113129"/>
    <w:rsid w:val="001220C0"/>
    <w:rsid w:val="001242CC"/>
    <w:rsid w:val="00124749"/>
    <w:rsid w:val="00125596"/>
    <w:rsid w:val="00126E2D"/>
    <w:rsid w:val="00127B26"/>
    <w:rsid w:val="00134573"/>
    <w:rsid w:val="00134576"/>
    <w:rsid w:val="00134AF2"/>
    <w:rsid w:val="00135362"/>
    <w:rsid w:val="00136F17"/>
    <w:rsid w:val="0013745B"/>
    <w:rsid w:val="0013777F"/>
    <w:rsid w:val="001425C7"/>
    <w:rsid w:val="001438B4"/>
    <w:rsid w:val="00144B92"/>
    <w:rsid w:val="001458DB"/>
    <w:rsid w:val="0014604D"/>
    <w:rsid w:val="00146386"/>
    <w:rsid w:val="0014724D"/>
    <w:rsid w:val="001510B7"/>
    <w:rsid w:val="00152AA8"/>
    <w:rsid w:val="00155F79"/>
    <w:rsid w:val="00156300"/>
    <w:rsid w:val="0016096C"/>
    <w:rsid w:val="0016230D"/>
    <w:rsid w:val="00162DDE"/>
    <w:rsid w:val="00170697"/>
    <w:rsid w:val="001726DA"/>
    <w:rsid w:val="0017284D"/>
    <w:rsid w:val="001747C5"/>
    <w:rsid w:val="00180357"/>
    <w:rsid w:val="00180565"/>
    <w:rsid w:val="00181097"/>
    <w:rsid w:val="00181974"/>
    <w:rsid w:val="00184FE8"/>
    <w:rsid w:val="00186ACD"/>
    <w:rsid w:val="00191134"/>
    <w:rsid w:val="00194D83"/>
    <w:rsid w:val="001A0712"/>
    <w:rsid w:val="001A0EA4"/>
    <w:rsid w:val="001A11A8"/>
    <w:rsid w:val="001A2C00"/>
    <w:rsid w:val="001A3AEC"/>
    <w:rsid w:val="001A3FFF"/>
    <w:rsid w:val="001A76B1"/>
    <w:rsid w:val="001B31B2"/>
    <w:rsid w:val="001B4865"/>
    <w:rsid w:val="001B6A05"/>
    <w:rsid w:val="001C2908"/>
    <w:rsid w:val="001D08B6"/>
    <w:rsid w:val="001D0D2A"/>
    <w:rsid w:val="001D13CA"/>
    <w:rsid w:val="001E2D91"/>
    <w:rsid w:val="001E3397"/>
    <w:rsid w:val="001E4496"/>
    <w:rsid w:val="001E5AA0"/>
    <w:rsid w:val="001F297E"/>
    <w:rsid w:val="001F2EBD"/>
    <w:rsid w:val="001F3A6A"/>
    <w:rsid w:val="001F6CC7"/>
    <w:rsid w:val="00200750"/>
    <w:rsid w:val="0020178F"/>
    <w:rsid w:val="00202EF8"/>
    <w:rsid w:val="00203B36"/>
    <w:rsid w:val="00204E24"/>
    <w:rsid w:val="00205316"/>
    <w:rsid w:val="00205A10"/>
    <w:rsid w:val="00205C0B"/>
    <w:rsid w:val="00206FA6"/>
    <w:rsid w:val="00213381"/>
    <w:rsid w:val="002144D0"/>
    <w:rsid w:val="00220CA9"/>
    <w:rsid w:val="00222AA4"/>
    <w:rsid w:val="00223930"/>
    <w:rsid w:val="002248F3"/>
    <w:rsid w:val="002250C4"/>
    <w:rsid w:val="00231846"/>
    <w:rsid w:val="00232718"/>
    <w:rsid w:val="00232AB8"/>
    <w:rsid w:val="0024417B"/>
    <w:rsid w:val="002446BF"/>
    <w:rsid w:val="0024485C"/>
    <w:rsid w:val="0024649B"/>
    <w:rsid w:val="00247694"/>
    <w:rsid w:val="00247EB3"/>
    <w:rsid w:val="002523DE"/>
    <w:rsid w:val="002536E5"/>
    <w:rsid w:val="002551DC"/>
    <w:rsid w:val="00255976"/>
    <w:rsid w:val="00256174"/>
    <w:rsid w:val="00256EFE"/>
    <w:rsid w:val="00257FC7"/>
    <w:rsid w:val="002621B7"/>
    <w:rsid w:val="00262F02"/>
    <w:rsid w:val="00264C19"/>
    <w:rsid w:val="00265A2C"/>
    <w:rsid w:val="002667D6"/>
    <w:rsid w:val="0026765B"/>
    <w:rsid w:val="00273182"/>
    <w:rsid w:val="002734B7"/>
    <w:rsid w:val="002749C5"/>
    <w:rsid w:val="00281D6F"/>
    <w:rsid w:val="00284BA6"/>
    <w:rsid w:val="00285521"/>
    <w:rsid w:val="002865A4"/>
    <w:rsid w:val="00290D28"/>
    <w:rsid w:val="00291288"/>
    <w:rsid w:val="0029253E"/>
    <w:rsid w:val="002925BA"/>
    <w:rsid w:val="00292871"/>
    <w:rsid w:val="00295030"/>
    <w:rsid w:val="002A0257"/>
    <w:rsid w:val="002A038D"/>
    <w:rsid w:val="002A317C"/>
    <w:rsid w:val="002A52BA"/>
    <w:rsid w:val="002A55C2"/>
    <w:rsid w:val="002A58FD"/>
    <w:rsid w:val="002B2223"/>
    <w:rsid w:val="002B231B"/>
    <w:rsid w:val="002B4ECE"/>
    <w:rsid w:val="002C47D2"/>
    <w:rsid w:val="002C58A0"/>
    <w:rsid w:val="002C5BA3"/>
    <w:rsid w:val="002C78C2"/>
    <w:rsid w:val="002C7E52"/>
    <w:rsid w:val="002D3382"/>
    <w:rsid w:val="002D5152"/>
    <w:rsid w:val="002D6319"/>
    <w:rsid w:val="002D71DD"/>
    <w:rsid w:val="002D732E"/>
    <w:rsid w:val="002D7975"/>
    <w:rsid w:val="002E170F"/>
    <w:rsid w:val="002E5DE7"/>
    <w:rsid w:val="002E7179"/>
    <w:rsid w:val="002F016E"/>
    <w:rsid w:val="002F13A4"/>
    <w:rsid w:val="002F1DB7"/>
    <w:rsid w:val="002F2CEF"/>
    <w:rsid w:val="002F3A69"/>
    <w:rsid w:val="002F5A1E"/>
    <w:rsid w:val="002F5E8B"/>
    <w:rsid w:val="002F5E93"/>
    <w:rsid w:val="002F6F6B"/>
    <w:rsid w:val="00301FC7"/>
    <w:rsid w:val="00303766"/>
    <w:rsid w:val="00303B7A"/>
    <w:rsid w:val="00304EEA"/>
    <w:rsid w:val="00305FD1"/>
    <w:rsid w:val="00306742"/>
    <w:rsid w:val="003122DA"/>
    <w:rsid w:val="003138F8"/>
    <w:rsid w:val="003142AA"/>
    <w:rsid w:val="0032040E"/>
    <w:rsid w:val="00327030"/>
    <w:rsid w:val="003274BC"/>
    <w:rsid w:val="0033229A"/>
    <w:rsid w:val="00336E92"/>
    <w:rsid w:val="003412DC"/>
    <w:rsid w:val="003434C6"/>
    <w:rsid w:val="003461B2"/>
    <w:rsid w:val="00346ABD"/>
    <w:rsid w:val="00347252"/>
    <w:rsid w:val="00347F90"/>
    <w:rsid w:val="00350BFA"/>
    <w:rsid w:val="0035251D"/>
    <w:rsid w:val="00352744"/>
    <w:rsid w:val="00353F9A"/>
    <w:rsid w:val="00354BB1"/>
    <w:rsid w:val="00356FB8"/>
    <w:rsid w:val="00357BA9"/>
    <w:rsid w:val="0036104F"/>
    <w:rsid w:val="003645F6"/>
    <w:rsid w:val="003664FE"/>
    <w:rsid w:val="00372214"/>
    <w:rsid w:val="003728ED"/>
    <w:rsid w:val="0037445E"/>
    <w:rsid w:val="00377464"/>
    <w:rsid w:val="0038373E"/>
    <w:rsid w:val="003846ED"/>
    <w:rsid w:val="003901AD"/>
    <w:rsid w:val="00393063"/>
    <w:rsid w:val="0039528C"/>
    <w:rsid w:val="00395436"/>
    <w:rsid w:val="00395EEE"/>
    <w:rsid w:val="00397886"/>
    <w:rsid w:val="003A3EC6"/>
    <w:rsid w:val="003A5CD4"/>
    <w:rsid w:val="003A693A"/>
    <w:rsid w:val="003A6996"/>
    <w:rsid w:val="003A7910"/>
    <w:rsid w:val="003B0B4B"/>
    <w:rsid w:val="003B25FB"/>
    <w:rsid w:val="003B5661"/>
    <w:rsid w:val="003C2C39"/>
    <w:rsid w:val="003C4CFB"/>
    <w:rsid w:val="003C5E29"/>
    <w:rsid w:val="003C5EB3"/>
    <w:rsid w:val="003C6000"/>
    <w:rsid w:val="003C623E"/>
    <w:rsid w:val="003D0A30"/>
    <w:rsid w:val="003D0D1F"/>
    <w:rsid w:val="003D1E98"/>
    <w:rsid w:val="003D618D"/>
    <w:rsid w:val="003D75D2"/>
    <w:rsid w:val="003E13B9"/>
    <w:rsid w:val="003E1943"/>
    <w:rsid w:val="003E63C4"/>
    <w:rsid w:val="003E676F"/>
    <w:rsid w:val="003E6A25"/>
    <w:rsid w:val="003F1F9D"/>
    <w:rsid w:val="003F2633"/>
    <w:rsid w:val="003F2CDD"/>
    <w:rsid w:val="003F33CF"/>
    <w:rsid w:val="003F3842"/>
    <w:rsid w:val="003F5F17"/>
    <w:rsid w:val="003F7E53"/>
    <w:rsid w:val="0040058A"/>
    <w:rsid w:val="00404059"/>
    <w:rsid w:val="00404E8A"/>
    <w:rsid w:val="00411DAB"/>
    <w:rsid w:val="00415410"/>
    <w:rsid w:val="00415641"/>
    <w:rsid w:val="00416E67"/>
    <w:rsid w:val="00417C2E"/>
    <w:rsid w:val="004219C5"/>
    <w:rsid w:val="00422665"/>
    <w:rsid w:val="00422DEA"/>
    <w:rsid w:val="00427F7F"/>
    <w:rsid w:val="00430C66"/>
    <w:rsid w:val="00431BD5"/>
    <w:rsid w:val="00432FE5"/>
    <w:rsid w:val="004345B3"/>
    <w:rsid w:val="00434702"/>
    <w:rsid w:val="00442B55"/>
    <w:rsid w:val="004447C9"/>
    <w:rsid w:val="00444845"/>
    <w:rsid w:val="00445899"/>
    <w:rsid w:val="00453D10"/>
    <w:rsid w:val="00454004"/>
    <w:rsid w:val="00456656"/>
    <w:rsid w:val="004609BA"/>
    <w:rsid w:val="0046171F"/>
    <w:rsid w:val="004633F5"/>
    <w:rsid w:val="00464B47"/>
    <w:rsid w:val="00466615"/>
    <w:rsid w:val="0047067A"/>
    <w:rsid w:val="004709C7"/>
    <w:rsid w:val="00472031"/>
    <w:rsid w:val="00473063"/>
    <w:rsid w:val="0047603D"/>
    <w:rsid w:val="0048120D"/>
    <w:rsid w:val="00482FB7"/>
    <w:rsid w:val="0048537C"/>
    <w:rsid w:val="004922C4"/>
    <w:rsid w:val="00493A0B"/>
    <w:rsid w:val="004961CC"/>
    <w:rsid w:val="00496410"/>
    <w:rsid w:val="00496B35"/>
    <w:rsid w:val="00497875"/>
    <w:rsid w:val="004A18C5"/>
    <w:rsid w:val="004A1BED"/>
    <w:rsid w:val="004A32E8"/>
    <w:rsid w:val="004A38C5"/>
    <w:rsid w:val="004B2099"/>
    <w:rsid w:val="004B3F74"/>
    <w:rsid w:val="004B4B84"/>
    <w:rsid w:val="004B5107"/>
    <w:rsid w:val="004B5157"/>
    <w:rsid w:val="004C01B6"/>
    <w:rsid w:val="004C13EF"/>
    <w:rsid w:val="004C188F"/>
    <w:rsid w:val="004C2029"/>
    <w:rsid w:val="004C6830"/>
    <w:rsid w:val="004C73A1"/>
    <w:rsid w:val="004C785E"/>
    <w:rsid w:val="004D48B8"/>
    <w:rsid w:val="004D5A5A"/>
    <w:rsid w:val="004D773A"/>
    <w:rsid w:val="004E0B03"/>
    <w:rsid w:val="004E2B42"/>
    <w:rsid w:val="004E5717"/>
    <w:rsid w:val="004E5B64"/>
    <w:rsid w:val="004E7969"/>
    <w:rsid w:val="004F1582"/>
    <w:rsid w:val="004F1FDA"/>
    <w:rsid w:val="004F32B4"/>
    <w:rsid w:val="004F42FF"/>
    <w:rsid w:val="00500F88"/>
    <w:rsid w:val="005038A6"/>
    <w:rsid w:val="00505052"/>
    <w:rsid w:val="00505A15"/>
    <w:rsid w:val="00507A75"/>
    <w:rsid w:val="0051266C"/>
    <w:rsid w:val="00512AA7"/>
    <w:rsid w:val="00512E9E"/>
    <w:rsid w:val="00513965"/>
    <w:rsid w:val="00515FA8"/>
    <w:rsid w:val="00517085"/>
    <w:rsid w:val="005229A5"/>
    <w:rsid w:val="0052389A"/>
    <w:rsid w:val="0052408D"/>
    <w:rsid w:val="00524F9A"/>
    <w:rsid w:val="00525D2F"/>
    <w:rsid w:val="00527499"/>
    <w:rsid w:val="00530F52"/>
    <w:rsid w:val="00535117"/>
    <w:rsid w:val="00540AEB"/>
    <w:rsid w:val="00540F42"/>
    <w:rsid w:val="00541044"/>
    <w:rsid w:val="00542482"/>
    <w:rsid w:val="005469B1"/>
    <w:rsid w:val="005475F6"/>
    <w:rsid w:val="00550368"/>
    <w:rsid w:val="0055214F"/>
    <w:rsid w:val="00553F0F"/>
    <w:rsid w:val="0056016E"/>
    <w:rsid w:val="00560C1C"/>
    <w:rsid w:val="005612E1"/>
    <w:rsid w:val="005704F4"/>
    <w:rsid w:val="0057095D"/>
    <w:rsid w:val="00574B7F"/>
    <w:rsid w:val="005855BD"/>
    <w:rsid w:val="00586305"/>
    <w:rsid w:val="005A2471"/>
    <w:rsid w:val="005A27E1"/>
    <w:rsid w:val="005A45D1"/>
    <w:rsid w:val="005A7FB3"/>
    <w:rsid w:val="005B0C29"/>
    <w:rsid w:val="005B274A"/>
    <w:rsid w:val="005B4B14"/>
    <w:rsid w:val="005B5AEB"/>
    <w:rsid w:val="005B5F9C"/>
    <w:rsid w:val="005B7A03"/>
    <w:rsid w:val="005C10CD"/>
    <w:rsid w:val="005C2970"/>
    <w:rsid w:val="005C343C"/>
    <w:rsid w:val="005C4C56"/>
    <w:rsid w:val="005C7460"/>
    <w:rsid w:val="005D1AE2"/>
    <w:rsid w:val="005D44E1"/>
    <w:rsid w:val="005D6CFE"/>
    <w:rsid w:val="005E0F6A"/>
    <w:rsid w:val="005E5263"/>
    <w:rsid w:val="005E67C6"/>
    <w:rsid w:val="005F340B"/>
    <w:rsid w:val="005F40F2"/>
    <w:rsid w:val="005F445F"/>
    <w:rsid w:val="00601D5A"/>
    <w:rsid w:val="0060206F"/>
    <w:rsid w:val="00603CD8"/>
    <w:rsid w:val="00603E03"/>
    <w:rsid w:val="00603F51"/>
    <w:rsid w:val="0060657E"/>
    <w:rsid w:val="006074D5"/>
    <w:rsid w:val="00607F0C"/>
    <w:rsid w:val="00611436"/>
    <w:rsid w:val="00615AA6"/>
    <w:rsid w:val="00617EA5"/>
    <w:rsid w:val="00620386"/>
    <w:rsid w:val="006240CF"/>
    <w:rsid w:val="0062600D"/>
    <w:rsid w:val="00627C0B"/>
    <w:rsid w:val="00632DC2"/>
    <w:rsid w:val="00634121"/>
    <w:rsid w:val="00636C41"/>
    <w:rsid w:val="00637BDF"/>
    <w:rsid w:val="00641D94"/>
    <w:rsid w:val="00650317"/>
    <w:rsid w:val="006514E4"/>
    <w:rsid w:val="00655920"/>
    <w:rsid w:val="00657857"/>
    <w:rsid w:val="006604A1"/>
    <w:rsid w:val="00660B37"/>
    <w:rsid w:val="00662DB8"/>
    <w:rsid w:val="006630C3"/>
    <w:rsid w:val="00663E28"/>
    <w:rsid w:val="00665228"/>
    <w:rsid w:val="00667ED6"/>
    <w:rsid w:val="00673E4B"/>
    <w:rsid w:val="00674754"/>
    <w:rsid w:val="00675EF7"/>
    <w:rsid w:val="00675FE8"/>
    <w:rsid w:val="006768BE"/>
    <w:rsid w:val="00682CCE"/>
    <w:rsid w:val="0068480D"/>
    <w:rsid w:val="00685B1D"/>
    <w:rsid w:val="006910F5"/>
    <w:rsid w:val="00693E97"/>
    <w:rsid w:val="0069788F"/>
    <w:rsid w:val="006A0C4C"/>
    <w:rsid w:val="006A2189"/>
    <w:rsid w:val="006A32B0"/>
    <w:rsid w:val="006A368D"/>
    <w:rsid w:val="006A3BA1"/>
    <w:rsid w:val="006A52B7"/>
    <w:rsid w:val="006A5964"/>
    <w:rsid w:val="006A6150"/>
    <w:rsid w:val="006A7E00"/>
    <w:rsid w:val="006B5AF5"/>
    <w:rsid w:val="006B61C2"/>
    <w:rsid w:val="006B7E20"/>
    <w:rsid w:val="006B7FF6"/>
    <w:rsid w:val="006C01B0"/>
    <w:rsid w:val="006C0C29"/>
    <w:rsid w:val="006C4DB4"/>
    <w:rsid w:val="006C4FDB"/>
    <w:rsid w:val="006D3D79"/>
    <w:rsid w:val="006D3EAB"/>
    <w:rsid w:val="006D7584"/>
    <w:rsid w:val="006E0A3A"/>
    <w:rsid w:val="006E1DF4"/>
    <w:rsid w:val="006E27B2"/>
    <w:rsid w:val="006E2B93"/>
    <w:rsid w:val="006E2C59"/>
    <w:rsid w:val="006E2FE5"/>
    <w:rsid w:val="006E5100"/>
    <w:rsid w:val="006E5307"/>
    <w:rsid w:val="006F0298"/>
    <w:rsid w:val="006F10D4"/>
    <w:rsid w:val="006F2C5A"/>
    <w:rsid w:val="006F3382"/>
    <w:rsid w:val="00700669"/>
    <w:rsid w:val="007053A1"/>
    <w:rsid w:val="0070633C"/>
    <w:rsid w:val="00712BA2"/>
    <w:rsid w:val="007161AB"/>
    <w:rsid w:val="007165B6"/>
    <w:rsid w:val="00720705"/>
    <w:rsid w:val="007207E3"/>
    <w:rsid w:val="00720892"/>
    <w:rsid w:val="007236B2"/>
    <w:rsid w:val="00726B53"/>
    <w:rsid w:val="00731CF6"/>
    <w:rsid w:val="00733B1C"/>
    <w:rsid w:val="00735CD1"/>
    <w:rsid w:val="00736F3E"/>
    <w:rsid w:val="007409D0"/>
    <w:rsid w:val="0074213E"/>
    <w:rsid w:val="00742CC9"/>
    <w:rsid w:val="007466FA"/>
    <w:rsid w:val="00746A40"/>
    <w:rsid w:val="0075343F"/>
    <w:rsid w:val="00761ABA"/>
    <w:rsid w:val="00764445"/>
    <w:rsid w:val="0076743D"/>
    <w:rsid w:val="00770FBF"/>
    <w:rsid w:val="00772598"/>
    <w:rsid w:val="00773509"/>
    <w:rsid w:val="00776876"/>
    <w:rsid w:val="007802EB"/>
    <w:rsid w:val="007803D2"/>
    <w:rsid w:val="00780AE7"/>
    <w:rsid w:val="00781243"/>
    <w:rsid w:val="007829B2"/>
    <w:rsid w:val="00782E7A"/>
    <w:rsid w:val="00783469"/>
    <w:rsid w:val="00784106"/>
    <w:rsid w:val="00784437"/>
    <w:rsid w:val="00787080"/>
    <w:rsid w:val="00790928"/>
    <w:rsid w:val="00792AB8"/>
    <w:rsid w:val="00793561"/>
    <w:rsid w:val="00793C15"/>
    <w:rsid w:val="007955F2"/>
    <w:rsid w:val="007A2413"/>
    <w:rsid w:val="007A638C"/>
    <w:rsid w:val="007A7241"/>
    <w:rsid w:val="007C0E81"/>
    <w:rsid w:val="007C3B1A"/>
    <w:rsid w:val="007C6E1F"/>
    <w:rsid w:val="007D0B02"/>
    <w:rsid w:val="007D0D12"/>
    <w:rsid w:val="007D4EE0"/>
    <w:rsid w:val="007D6CAA"/>
    <w:rsid w:val="007E2728"/>
    <w:rsid w:val="007E2B11"/>
    <w:rsid w:val="007E30AF"/>
    <w:rsid w:val="007E69DB"/>
    <w:rsid w:val="007F0781"/>
    <w:rsid w:val="007F3870"/>
    <w:rsid w:val="007F6BF3"/>
    <w:rsid w:val="007F7F3D"/>
    <w:rsid w:val="00800651"/>
    <w:rsid w:val="00801965"/>
    <w:rsid w:val="008035E2"/>
    <w:rsid w:val="00805255"/>
    <w:rsid w:val="00805A99"/>
    <w:rsid w:val="00811901"/>
    <w:rsid w:val="0081292B"/>
    <w:rsid w:val="008167CC"/>
    <w:rsid w:val="0081730E"/>
    <w:rsid w:val="00817CC6"/>
    <w:rsid w:val="008241F8"/>
    <w:rsid w:val="00825DF3"/>
    <w:rsid w:val="00830F21"/>
    <w:rsid w:val="00831A5F"/>
    <w:rsid w:val="0083260A"/>
    <w:rsid w:val="008326E5"/>
    <w:rsid w:val="00832D1B"/>
    <w:rsid w:val="008334C6"/>
    <w:rsid w:val="008346D8"/>
    <w:rsid w:val="00834D5F"/>
    <w:rsid w:val="00835409"/>
    <w:rsid w:val="008368E6"/>
    <w:rsid w:val="00845F98"/>
    <w:rsid w:val="00851394"/>
    <w:rsid w:val="00851F84"/>
    <w:rsid w:val="008530F6"/>
    <w:rsid w:val="00853330"/>
    <w:rsid w:val="0085527E"/>
    <w:rsid w:val="00855CC5"/>
    <w:rsid w:val="00860085"/>
    <w:rsid w:val="008601D7"/>
    <w:rsid w:val="00861587"/>
    <w:rsid w:val="008654A3"/>
    <w:rsid w:val="00867C4E"/>
    <w:rsid w:val="00867D24"/>
    <w:rsid w:val="00881699"/>
    <w:rsid w:val="008839B8"/>
    <w:rsid w:val="00884118"/>
    <w:rsid w:val="00884525"/>
    <w:rsid w:val="00885849"/>
    <w:rsid w:val="00886042"/>
    <w:rsid w:val="008879DE"/>
    <w:rsid w:val="00892C4E"/>
    <w:rsid w:val="008961C3"/>
    <w:rsid w:val="008A40DC"/>
    <w:rsid w:val="008A59A6"/>
    <w:rsid w:val="008A5A19"/>
    <w:rsid w:val="008A7F50"/>
    <w:rsid w:val="008B2C35"/>
    <w:rsid w:val="008B4CC4"/>
    <w:rsid w:val="008B70BD"/>
    <w:rsid w:val="008C044F"/>
    <w:rsid w:val="008C0D19"/>
    <w:rsid w:val="008C4671"/>
    <w:rsid w:val="008C5468"/>
    <w:rsid w:val="008C5EBA"/>
    <w:rsid w:val="008C76F4"/>
    <w:rsid w:val="008D0F8B"/>
    <w:rsid w:val="008D1962"/>
    <w:rsid w:val="008D2D97"/>
    <w:rsid w:val="008D31D5"/>
    <w:rsid w:val="008D34B3"/>
    <w:rsid w:val="008D3963"/>
    <w:rsid w:val="008D3A95"/>
    <w:rsid w:val="008D503C"/>
    <w:rsid w:val="008D792C"/>
    <w:rsid w:val="008D7C88"/>
    <w:rsid w:val="008E0B9B"/>
    <w:rsid w:val="008E275F"/>
    <w:rsid w:val="008E3311"/>
    <w:rsid w:val="008E479F"/>
    <w:rsid w:val="008E5472"/>
    <w:rsid w:val="008E5966"/>
    <w:rsid w:val="008E6115"/>
    <w:rsid w:val="008E6C5D"/>
    <w:rsid w:val="008F1485"/>
    <w:rsid w:val="008F166D"/>
    <w:rsid w:val="008F3898"/>
    <w:rsid w:val="008F5EE9"/>
    <w:rsid w:val="008F7057"/>
    <w:rsid w:val="00900650"/>
    <w:rsid w:val="00900CE2"/>
    <w:rsid w:val="00901758"/>
    <w:rsid w:val="00903D99"/>
    <w:rsid w:val="00905CCA"/>
    <w:rsid w:val="00912341"/>
    <w:rsid w:val="00913B71"/>
    <w:rsid w:val="00914B4F"/>
    <w:rsid w:val="0091597D"/>
    <w:rsid w:val="00923721"/>
    <w:rsid w:val="0092623B"/>
    <w:rsid w:val="0093087C"/>
    <w:rsid w:val="009324E2"/>
    <w:rsid w:val="0093474C"/>
    <w:rsid w:val="00944B52"/>
    <w:rsid w:val="009503B3"/>
    <w:rsid w:val="00951B24"/>
    <w:rsid w:val="0095365D"/>
    <w:rsid w:val="009576A6"/>
    <w:rsid w:val="009604F9"/>
    <w:rsid w:val="009606AC"/>
    <w:rsid w:val="009630AB"/>
    <w:rsid w:val="00963121"/>
    <w:rsid w:val="009645C8"/>
    <w:rsid w:val="009659FF"/>
    <w:rsid w:val="009671BD"/>
    <w:rsid w:val="00970370"/>
    <w:rsid w:val="009706E8"/>
    <w:rsid w:val="00974B54"/>
    <w:rsid w:val="00980402"/>
    <w:rsid w:val="00981954"/>
    <w:rsid w:val="009844FD"/>
    <w:rsid w:val="009863FF"/>
    <w:rsid w:val="00986674"/>
    <w:rsid w:val="00990B9A"/>
    <w:rsid w:val="0099283E"/>
    <w:rsid w:val="009A0FF1"/>
    <w:rsid w:val="009A1E2D"/>
    <w:rsid w:val="009A3477"/>
    <w:rsid w:val="009A5D6A"/>
    <w:rsid w:val="009B10AA"/>
    <w:rsid w:val="009B1D95"/>
    <w:rsid w:val="009B2539"/>
    <w:rsid w:val="009B3314"/>
    <w:rsid w:val="009B3DC4"/>
    <w:rsid w:val="009B5E4D"/>
    <w:rsid w:val="009B7135"/>
    <w:rsid w:val="009B7381"/>
    <w:rsid w:val="009B740E"/>
    <w:rsid w:val="009C1911"/>
    <w:rsid w:val="009C2734"/>
    <w:rsid w:val="009C6257"/>
    <w:rsid w:val="009D17CA"/>
    <w:rsid w:val="009D2323"/>
    <w:rsid w:val="009D4830"/>
    <w:rsid w:val="009D57C0"/>
    <w:rsid w:val="009D78E4"/>
    <w:rsid w:val="009E1750"/>
    <w:rsid w:val="009E1B13"/>
    <w:rsid w:val="009E3F98"/>
    <w:rsid w:val="009E4FC9"/>
    <w:rsid w:val="009F7514"/>
    <w:rsid w:val="00A0135F"/>
    <w:rsid w:val="00A02AC7"/>
    <w:rsid w:val="00A05045"/>
    <w:rsid w:val="00A05065"/>
    <w:rsid w:val="00A062EE"/>
    <w:rsid w:val="00A069BB"/>
    <w:rsid w:val="00A108CD"/>
    <w:rsid w:val="00A113B4"/>
    <w:rsid w:val="00A11B0D"/>
    <w:rsid w:val="00A12643"/>
    <w:rsid w:val="00A12BB5"/>
    <w:rsid w:val="00A12BCD"/>
    <w:rsid w:val="00A140B5"/>
    <w:rsid w:val="00A14E75"/>
    <w:rsid w:val="00A2050F"/>
    <w:rsid w:val="00A20545"/>
    <w:rsid w:val="00A21C4D"/>
    <w:rsid w:val="00A23F3B"/>
    <w:rsid w:val="00A251FD"/>
    <w:rsid w:val="00A26952"/>
    <w:rsid w:val="00A27F00"/>
    <w:rsid w:val="00A27FBF"/>
    <w:rsid w:val="00A30DDE"/>
    <w:rsid w:val="00A41FC3"/>
    <w:rsid w:val="00A422D8"/>
    <w:rsid w:val="00A5310C"/>
    <w:rsid w:val="00A547B3"/>
    <w:rsid w:val="00A54FE1"/>
    <w:rsid w:val="00A60ADA"/>
    <w:rsid w:val="00A61B90"/>
    <w:rsid w:val="00A621D5"/>
    <w:rsid w:val="00A64C0F"/>
    <w:rsid w:val="00A65B8E"/>
    <w:rsid w:val="00A6693C"/>
    <w:rsid w:val="00A705FD"/>
    <w:rsid w:val="00A73789"/>
    <w:rsid w:val="00A7487D"/>
    <w:rsid w:val="00A82495"/>
    <w:rsid w:val="00A83640"/>
    <w:rsid w:val="00A83C43"/>
    <w:rsid w:val="00A84705"/>
    <w:rsid w:val="00A86AA6"/>
    <w:rsid w:val="00A9115F"/>
    <w:rsid w:val="00A937A8"/>
    <w:rsid w:val="00A962E8"/>
    <w:rsid w:val="00A97997"/>
    <w:rsid w:val="00A97A9D"/>
    <w:rsid w:val="00AA0D1A"/>
    <w:rsid w:val="00AA142F"/>
    <w:rsid w:val="00AA1655"/>
    <w:rsid w:val="00AA1998"/>
    <w:rsid w:val="00AA2F9B"/>
    <w:rsid w:val="00AA40A8"/>
    <w:rsid w:val="00AB5876"/>
    <w:rsid w:val="00AB641B"/>
    <w:rsid w:val="00AC14F3"/>
    <w:rsid w:val="00AC1A4B"/>
    <w:rsid w:val="00AC2AD0"/>
    <w:rsid w:val="00AC43E1"/>
    <w:rsid w:val="00AD2279"/>
    <w:rsid w:val="00AD71A4"/>
    <w:rsid w:val="00AD7BFB"/>
    <w:rsid w:val="00AD7D45"/>
    <w:rsid w:val="00AE4E6E"/>
    <w:rsid w:val="00AF04A2"/>
    <w:rsid w:val="00AF1246"/>
    <w:rsid w:val="00AF4EF5"/>
    <w:rsid w:val="00AF6246"/>
    <w:rsid w:val="00AF7598"/>
    <w:rsid w:val="00B02BB1"/>
    <w:rsid w:val="00B04E6C"/>
    <w:rsid w:val="00B050F3"/>
    <w:rsid w:val="00B07EC1"/>
    <w:rsid w:val="00B1079E"/>
    <w:rsid w:val="00B11139"/>
    <w:rsid w:val="00B1216E"/>
    <w:rsid w:val="00B13F96"/>
    <w:rsid w:val="00B21B70"/>
    <w:rsid w:val="00B22EC2"/>
    <w:rsid w:val="00B23A45"/>
    <w:rsid w:val="00B2537A"/>
    <w:rsid w:val="00B25AA7"/>
    <w:rsid w:val="00B3372F"/>
    <w:rsid w:val="00B359A8"/>
    <w:rsid w:val="00B379E2"/>
    <w:rsid w:val="00B41301"/>
    <w:rsid w:val="00B43BAB"/>
    <w:rsid w:val="00B43E57"/>
    <w:rsid w:val="00B44AE8"/>
    <w:rsid w:val="00B56A40"/>
    <w:rsid w:val="00B574E7"/>
    <w:rsid w:val="00B57E11"/>
    <w:rsid w:val="00B60CDE"/>
    <w:rsid w:val="00B6456B"/>
    <w:rsid w:val="00B65391"/>
    <w:rsid w:val="00B67AC1"/>
    <w:rsid w:val="00B70A3B"/>
    <w:rsid w:val="00B71421"/>
    <w:rsid w:val="00B75FD8"/>
    <w:rsid w:val="00B800C1"/>
    <w:rsid w:val="00B80D45"/>
    <w:rsid w:val="00B84636"/>
    <w:rsid w:val="00B86073"/>
    <w:rsid w:val="00B86FFD"/>
    <w:rsid w:val="00B9077D"/>
    <w:rsid w:val="00B93BDC"/>
    <w:rsid w:val="00B946BE"/>
    <w:rsid w:val="00B9638C"/>
    <w:rsid w:val="00B97EDE"/>
    <w:rsid w:val="00BA5422"/>
    <w:rsid w:val="00BA5823"/>
    <w:rsid w:val="00BA5B16"/>
    <w:rsid w:val="00BB05D2"/>
    <w:rsid w:val="00BB1EE0"/>
    <w:rsid w:val="00BB2287"/>
    <w:rsid w:val="00BB410B"/>
    <w:rsid w:val="00BB5331"/>
    <w:rsid w:val="00BB613E"/>
    <w:rsid w:val="00BB6FCF"/>
    <w:rsid w:val="00BB796B"/>
    <w:rsid w:val="00BC16F1"/>
    <w:rsid w:val="00BC3CC3"/>
    <w:rsid w:val="00BC5EF9"/>
    <w:rsid w:val="00BC77A7"/>
    <w:rsid w:val="00BD0986"/>
    <w:rsid w:val="00BD5578"/>
    <w:rsid w:val="00BD7589"/>
    <w:rsid w:val="00BD79E3"/>
    <w:rsid w:val="00BE0356"/>
    <w:rsid w:val="00BE115C"/>
    <w:rsid w:val="00BE4C1C"/>
    <w:rsid w:val="00BF13C7"/>
    <w:rsid w:val="00BF16FD"/>
    <w:rsid w:val="00BF2498"/>
    <w:rsid w:val="00BF2CDF"/>
    <w:rsid w:val="00BF4201"/>
    <w:rsid w:val="00BF450E"/>
    <w:rsid w:val="00BF6B01"/>
    <w:rsid w:val="00C028A8"/>
    <w:rsid w:val="00C02D15"/>
    <w:rsid w:val="00C0302F"/>
    <w:rsid w:val="00C0309B"/>
    <w:rsid w:val="00C04ECA"/>
    <w:rsid w:val="00C1035C"/>
    <w:rsid w:val="00C13082"/>
    <w:rsid w:val="00C132F7"/>
    <w:rsid w:val="00C135D7"/>
    <w:rsid w:val="00C13979"/>
    <w:rsid w:val="00C1739D"/>
    <w:rsid w:val="00C17DBC"/>
    <w:rsid w:val="00C20295"/>
    <w:rsid w:val="00C202FE"/>
    <w:rsid w:val="00C20AF6"/>
    <w:rsid w:val="00C22FFE"/>
    <w:rsid w:val="00C23BFA"/>
    <w:rsid w:val="00C2584C"/>
    <w:rsid w:val="00C25939"/>
    <w:rsid w:val="00C27147"/>
    <w:rsid w:val="00C3367E"/>
    <w:rsid w:val="00C33DE9"/>
    <w:rsid w:val="00C33F66"/>
    <w:rsid w:val="00C3451E"/>
    <w:rsid w:val="00C34805"/>
    <w:rsid w:val="00C41D2F"/>
    <w:rsid w:val="00C4671D"/>
    <w:rsid w:val="00C4749B"/>
    <w:rsid w:val="00C50276"/>
    <w:rsid w:val="00C50D40"/>
    <w:rsid w:val="00C54D4B"/>
    <w:rsid w:val="00C55CD8"/>
    <w:rsid w:val="00C600A5"/>
    <w:rsid w:val="00C60382"/>
    <w:rsid w:val="00C60552"/>
    <w:rsid w:val="00C60DE3"/>
    <w:rsid w:val="00C6359A"/>
    <w:rsid w:val="00C65404"/>
    <w:rsid w:val="00C73AB3"/>
    <w:rsid w:val="00C74850"/>
    <w:rsid w:val="00C7520E"/>
    <w:rsid w:val="00C75B4B"/>
    <w:rsid w:val="00C77782"/>
    <w:rsid w:val="00C829B9"/>
    <w:rsid w:val="00C82D06"/>
    <w:rsid w:val="00C82D29"/>
    <w:rsid w:val="00C83E21"/>
    <w:rsid w:val="00C845C5"/>
    <w:rsid w:val="00C95160"/>
    <w:rsid w:val="00C9550D"/>
    <w:rsid w:val="00C9701C"/>
    <w:rsid w:val="00CA0122"/>
    <w:rsid w:val="00CA1A79"/>
    <w:rsid w:val="00CA66FD"/>
    <w:rsid w:val="00CA670A"/>
    <w:rsid w:val="00CA69FE"/>
    <w:rsid w:val="00CA6D7D"/>
    <w:rsid w:val="00CA7F18"/>
    <w:rsid w:val="00CB03AF"/>
    <w:rsid w:val="00CB1EA3"/>
    <w:rsid w:val="00CB2FDA"/>
    <w:rsid w:val="00CB311F"/>
    <w:rsid w:val="00CB346E"/>
    <w:rsid w:val="00CB41A4"/>
    <w:rsid w:val="00CB4A75"/>
    <w:rsid w:val="00CB6530"/>
    <w:rsid w:val="00CC0345"/>
    <w:rsid w:val="00CC79C0"/>
    <w:rsid w:val="00CD4F8F"/>
    <w:rsid w:val="00CE011E"/>
    <w:rsid w:val="00CE3D5C"/>
    <w:rsid w:val="00CE5CEC"/>
    <w:rsid w:val="00CE7623"/>
    <w:rsid w:val="00CF0AC2"/>
    <w:rsid w:val="00CF1828"/>
    <w:rsid w:val="00CF7A9F"/>
    <w:rsid w:val="00D008B6"/>
    <w:rsid w:val="00D00C38"/>
    <w:rsid w:val="00D039DA"/>
    <w:rsid w:val="00D03A7B"/>
    <w:rsid w:val="00D052E8"/>
    <w:rsid w:val="00D05E3F"/>
    <w:rsid w:val="00D11773"/>
    <w:rsid w:val="00D134F6"/>
    <w:rsid w:val="00D145D0"/>
    <w:rsid w:val="00D14DF0"/>
    <w:rsid w:val="00D15A2B"/>
    <w:rsid w:val="00D16E4B"/>
    <w:rsid w:val="00D171BC"/>
    <w:rsid w:val="00D1783D"/>
    <w:rsid w:val="00D21805"/>
    <w:rsid w:val="00D219AF"/>
    <w:rsid w:val="00D24300"/>
    <w:rsid w:val="00D24874"/>
    <w:rsid w:val="00D25A32"/>
    <w:rsid w:val="00D2710D"/>
    <w:rsid w:val="00D27279"/>
    <w:rsid w:val="00D326E4"/>
    <w:rsid w:val="00D33B90"/>
    <w:rsid w:val="00D34547"/>
    <w:rsid w:val="00D42114"/>
    <w:rsid w:val="00D4437A"/>
    <w:rsid w:val="00D44CC9"/>
    <w:rsid w:val="00D543EC"/>
    <w:rsid w:val="00D54424"/>
    <w:rsid w:val="00D5530D"/>
    <w:rsid w:val="00D572F2"/>
    <w:rsid w:val="00D57BBA"/>
    <w:rsid w:val="00D60076"/>
    <w:rsid w:val="00D60D46"/>
    <w:rsid w:val="00D64BC5"/>
    <w:rsid w:val="00D66D2D"/>
    <w:rsid w:val="00D67DE2"/>
    <w:rsid w:val="00D70200"/>
    <w:rsid w:val="00D70C7B"/>
    <w:rsid w:val="00D72B85"/>
    <w:rsid w:val="00D74A12"/>
    <w:rsid w:val="00D8134C"/>
    <w:rsid w:val="00D8309D"/>
    <w:rsid w:val="00D86574"/>
    <w:rsid w:val="00D86A77"/>
    <w:rsid w:val="00D8772B"/>
    <w:rsid w:val="00D90138"/>
    <w:rsid w:val="00D91B06"/>
    <w:rsid w:val="00D91B72"/>
    <w:rsid w:val="00D92AF5"/>
    <w:rsid w:val="00D93F19"/>
    <w:rsid w:val="00D94505"/>
    <w:rsid w:val="00D94AC8"/>
    <w:rsid w:val="00D966B6"/>
    <w:rsid w:val="00D97BA0"/>
    <w:rsid w:val="00DA4C7D"/>
    <w:rsid w:val="00DA598B"/>
    <w:rsid w:val="00DB10A7"/>
    <w:rsid w:val="00DB1AA9"/>
    <w:rsid w:val="00DB4403"/>
    <w:rsid w:val="00DB53BA"/>
    <w:rsid w:val="00DB554F"/>
    <w:rsid w:val="00DB59EA"/>
    <w:rsid w:val="00DB6349"/>
    <w:rsid w:val="00DB6583"/>
    <w:rsid w:val="00DD7CCD"/>
    <w:rsid w:val="00DE05B8"/>
    <w:rsid w:val="00DE2969"/>
    <w:rsid w:val="00DE6BE0"/>
    <w:rsid w:val="00DE7DBF"/>
    <w:rsid w:val="00DF04ED"/>
    <w:rsid w:val="00DF181F"/>
    <w:rsid w:val="00DF1DF2"/>
    <w:rsid w:val="00DF3694"/>
    <w:rsid w:val="00E01ADD"/>
    <w:rsid w:val="00E0307C"/>
    <w:rsid w:val="00E04077"/>
    <w:rsid w:val="00E06573"/>
    <w:rsid w:val="00E066F2"/>
    <w:rsid w:val="00E06CCF"/>
    <w:rsid w:val="00E07EFE"/>
    <w:rsid w:val="00E11B0D"/>
    <w:rsid w:val="00E1212C"/>
    <w:rsid w:val="00E1621B"/>
    <w:rsid w:val="00E16B27"/>
    <w:rsid w:val="00E21631"/>
    <w:rsid w:val="00E22B2F"/>
    <w:rsid w:val="00E22EC6"/>
    <w:rsid w:val="00E26D8B"/>
    <w:rsid w:val="00E33EF4"/>
    <w:rsid w:val="00E34429"/>
    <w:rsid w:val="00E43251"/>
    <w:rsid w:val="00E46635"/>
    <w:rsid w:val="00E46B8B"/>
    <w:rsid w:val="00E47871"/>
    <w:rsid w:val="00E50BE5"/>
    <w:rsid w:val="00E52127"/>
    <w:rsid w:val="00E559C0"/>
    <w:rsid w:val="00E568A9"/>
    <w:rsid w:val="00E56F4D"/>
    <w:rsid w:val="00E6061D"/>
    <w:rsid w:val="00E61F72"/>
    <w:rsid w:val="00E63C76"/>
    <w:rsid w:val="00E64CE0"/>
    <w:rsid w:val="00E64F11"/>
    <w:rsid w:val="00E65F42"/>
    <w:rsid w:val="00E67A0A"/>
    <w:rsid w:val="00E67AD6"/>
    <w:rsid w:val="00E71BE4"/>
    <w:rsid w:val="00E74A76"/>
    <w:rsid w:val="00E753EF"/>
    <w:rsid w:val="00E776BB"/>
    <w:rsid w:val="00E77898"/>
    <w:rsid w:val="00E8175C"/>
    <w:rsid w:val="00E94B08"/>
    <w:rsid w:val="00E94B8E"/>
    <w:rsid w:val="00E95BE3"/>
    <w:rsid w:val="00E96ABF"/>
    <w:rsid w:val="00EA3DAF"/>
    <w:rsid w:val="00EA7BA3"/>
    <w:rsid w:val="00EB06D4"/>
    <w:rsid w:val="00EB0858"/>
    <w:rsid w:val="00EB2D82"/>
    <w:rsid w:val="00EB3FA8"/>
    <w:rsid w:val="00EB5C27"/>
    <w:rsid w:val="00EC32A9"/>
    <w:rsid w:val="00EC4FCA"/>
    <w:rsid w:val="00EC5432"/>
    <w:rsid w:val="00ED35D0"/>
    <w:rsid w:val="00ED53C6"/>
    <w:rsid w:val="00ED7B4D"/>
    <w:rsid w:val="00EE0DA0"/>
    <w:rsid w:val="00EE1353"/>
    <w:rsid w:val="00EE2D05"/>
    <w:rsid w:val="00EE4401"/>
    <w:rsid w:val="00EE7C8C"/>
    <w:rsid w:val="00EF0F4B"/>
    <w:rsid w:val="00EF2483"/>
    <w:rsid w:val="00EF25B2"/>
    <w:rsid w:val="00EF45A8"/>
    <w:rsid w:val="00EF6D72"/>
    <w:rsid w:val="00F0159C"/>
    <w:rsid w:val="00F01DFA"/>
    <w:rsid w:val="00F02294"/>
    <w:rsid w:val="00F050E0"/>
    <w:rsid w:val="00F07415"/>
    <w:rsid w:val="00F106A8"/>
    <w:rsid w:val="00F13062"/>
    <w:rsid w:val="00F14F84"/>
    <w:rsid w:val="00F16687"/>
    <w:rsid w:val="00F172C0"/>
    <w:rsid w:val="00F17CCE"/>
    <w:rsid w:val="00F17EE5"/>
    <w:rsid w:val="00F22CAE"/>
    <w:rsid w:val="00F22D3E"/>
    <w:rsid w:val="00F23BBD"/>
    <w:rsid w:val="00F26AF6"/>
    <w:rsid w:val="00F26FB9"/>
    <w:rsid w:val="00F3164F"/>
    <w:rsid w:val="00F31BC3"/>
    <w:rsid w:val="00F34516"/>
    <w:rsid w:val="00F34F83"/>
    <w:rsid w:val="00F36805"/>
    <w:rsid w:val="00F401C0"/>
    <w:rsid w:val="00F41977"/>
    <w:rsid w:val="00F44AF9"/>
    <w:rsid w:val="00F455ED"/>
    <w:rsid w:val="00F456E0"/>
    <w:rsid w:val="00F46E8D"/>
    <w:rsid w:val="00F502DD"/>
    <w:rsid w:val="00F50AD1"/>
    <w:rsid w:val="00F51454"/>
    <w:rsid w:val="00F52AB0"/>
    <w:rsid w:val="00F56003"/>
    <w:rsid w:val="00F56CD8"/>
    <w:rsid w:val="00F63A57"/>
    <w:rsid w:val="00F659E8"/>
    <w:rsid w:val="00F732A5"/>
    <w:rsid w:val="00F7399D"/>
    <w:rsid w:val="00F80434"/>
    <w:rsid w:val="00F8145E"/>
    <w:rsid w:val="00F8322F"/>
    <w:rsid w:val="00F83978"/>
    <w:rsid w:val="00F84F9C"/>
    <w:rsid w:val="00F87F8B"/>
    <w:rsid w:val="00F90D08"/>
    <w:rsid w:val="00F90FA3"/>
    <w:rsid w:val="00F93279"/>
    <w:rsid w:val="00F93345"/>
    <w:rsid w:val="00F935A0"/>
    <w:rsid w:val="00F94421"/>
    <w:rsid w:val="00FA0FF9"/>
    <w:rsid w:val="00FA1893"/>
    <w:rsid w:val="00FA3DB7"/>
    <w:rsid w:val="00FA701E"/>
    <w:rsid w:val="00FB32EB"/>
    <w:rsid w:val="00FB7BA8"/>
    <w:rsid w:val="00FC076C"/>
    <w:rsid w:val="00FC294B"/>
    <w:rsid w:val="00FC55D7"/>
    <w:rsid w:val="00FC55DC"/>
    <w:rsid w:val="00FC70E2"/>
    <w:rsid w:val="00FD06D7"/>
    <w:rsid w:val="00FD2151"/>
    <w:rsid w:val="00FD5288"/>
    <w:rsid w:val="00FD552D"/>
    <w:rsid w:val="00FD78B5"/>
    <w:rsid w:val="00FD7A5F"/>
    <w:rsid w:val="00FE25DF"/>
    <w:rsid w:val="00FE4F13"/>
    <w:rsid w:val="00FE6179"/>
    <w:rsid w:val="00FE77C5"/>
    <w:rsid w:val="00FE7FC2"/>
    <w:rsid w:val="00FF0057"/>
    <w:rsid w:val="00FF046A"/>
    <w:rsid w:val="00FF13B1"/>
    <w:rsid w:val="00FF3FFE"/>
    <w:rsid w:val="00FF4585"/>
    <w:rsid w:val="00FF4737"/>
    <w:rsid w:val="00FF6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8AEB"/>
  <w15:chartTrackingRefBased/>
  <w15:docId w15:val="{DA0C9546-9DCB-4D65-A155-73FEA2EF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List Bullet" w:uiPriority="4" w:qFormat="1"/>
    <w:lsdException w:name="Title" w:qFormat="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294"/>
    <w:rPr>
      <w:rFonts w:ascii="Arial" w:eastAsiaTheme="minorHAnsi" w:hAnsi="Arial" w:cstheme="minorBidi"/>
      <w:sz w:val="22"/>
      <w:szCs w:val="24"/>
      <w:lang w:val="en-AU" w:eastAsia="en-US"/>
    </w:rPr>
  </w:style>
  <w:style w:type="paragraph" w:styleId="Heading1">
    <w:name w:val="heading 1"/>
    <w:basedOn w:val="Normal"/>
    <w:next w:val="Normal"/>
    <w:link w:val="Heading1Char"/>
    <w:qFormat/>
    <w:rsid w:val="002865A4"/>
    <w:pPr>
      <w:keepNext/>
      <w:spacing w:before="360" w:after="120" w:line="264" w:lineRule="auto"/>
      <w:outlineLvl w:val="0"/>
    </w:pPr>
    <w:rPr>
      <w:rFonts w:cs="Arial"/>
      <w:bCs/>
      <w:kern w:val="32"/>
      <w:sz w:val="28"/>
      <w:szCs w:val="32"/>
    </w:rPr>
  </w:style>
  <w:style w:type="paragraph" w:styleId="Heading2">
    <w:name w:val="heading 2"/>
    <w:basedOn w:val="Normal"/>
    <w:next w:val="Normal"/>
    <w:qFormat/>
    <w:rsid w:val="002865A4"/>
    <w:pPr>
      <w:keepNext/>
      <w:spacing w:before="240" w:line="264" w:lineRule="auto"/>
      <w:outlineLvl w:val="1"/>
    </w:pPr>
    <w:rPr>
      <w:rFonts w:cs="Arial"/>
      <w:b/>
      <w:bCs/>
      <w:iCs/>
      <w:sz w:val="24"/>
      <w:szCs w:val="28"/>
    </w:rPr>
  </w:style>
  <w:style w:type="paragraph" w:styleId="Heading3">
    <w:name w:val="heading 3"/>
    <w:basedOn w:val="Normal"/>
    <w:next w:val="Normal"/>
    <w:qFormat/>
    <w:rsid w:val="009844FD"/>
    <w:pPr>
      <w:keepNext/>
      <w:spacing w:before="240" w:after="60"/>
      <w:outlineLvl w:val="2"/>
    </w:pPr>
    <w:rPr>
      <w:rFonts w:ascii="Frutiger 55 Roman" w:hAnsi="Frutiger 55 Roman" w:cs="Arial"/>
      <w:bCs/>
      <w:szCs w:val="26"/>
    </w:rPr>
  </w:style>
  <w:style w:type="paragraph" w:styleId="Heading4">
    <w:name w:val="heading 4"/>
    <w:basedOn w:val="Normal"/>
    <w:next w:val="Normal"/>
    <w:link w:val="Heading4Char"/>
    <w:qFormat/>
    <w:rsid w:val="009844FD"/>
    <w:pPr>
      <w:keepNext/>
      <w:spacing w:before="240" w:after="60"/>
      <w:outlineLvl w:val="3"/>
    </w:pPr>
    <w:rPr>
      <w:bCs/>
      <w:i/>
      <w:szCs w:val="28"/>
    </w:rPr>
  </w:style>
  <w:style w:type="paragraph" w:styleId="Heading5">
    <w:name w:val="heading 5"/>
    <w:basedOn w:val="Normal"/>
    <w:next w:val="Normal"/>
    <w:qFormat/>
    <w:rsid w:val="00CB03AF"/>
    <w:pPr>
      <w:spacing w:before="240" w:after="60"/>
      <w:outlineLvl w:val="4"/>
    </w:pPr>
    <w:rPr>
      <w:b/>
      <w:bCs/>
      <w:i/>
      <w:iCs/>
      <w:sz w:val="26"/>
      <w:szCs w:val="26"/>
    </w:rPr>
  </w:style>
  <w:style w:type="paragraph" w:styleId="Heading6">
    <w:name w:val="heading 6"/>
    <w:basedOn w:val="Normal"/>
    <w:next w:val="Normal"/>
    <w:qFormat/>
    <w:rsid w:val="00CB03AF"/>
    <w:pPr>
      <w:spacing w:before="240" w:after="60"/>
      <w:outlineLvl w:val="5"/>
    </w:pPr>
    <w:rPr>
      <w:b/>
      <w:bCs/>
      <w:szCs w:val="22"/>
    </w:rPr>
  </w:style>
  <w:style w:type="paragraph" w:styleId="Heading7">
    <w:name w:val="heading 7"/>
    <w:basedOn w:val="Normal"/>
    <w:next w:val="Normal"/>
    <w:qFormat/>
    <w:rsid w:val="00CB03AF"/>
    <w:pPr>
      <w:spacing w:before="240" w:after="60"/>
      <w:outlineLvl w:val="6"/>
    </w:pPr>
  </w:style>
  <w:style w:type="paragraph" w:styleId="Heading8">
    <w:name w:val="heading 8"/>
    <w:basedOn w:val="Normal"/>
    <w:next w:val="Normal"/>
    <w:qFormat/>
    <w:rsid w:val="00CB03AF"/>
    <w:pPr>
      <w:spacing w:before="240" w:after="60"/>
      <w:outlineLvl w:val="7"/>
    </w:pPr>
    <w:rPr>
      <w:i/>
      <w:iCs/>
    </w:rPr>
  </w:style>
  <w:style w:type="paragraph" w:styleId="Heading9">
    <w:name w:val="heading 9"/>
    <w:basedOn w:val="Normal"/>
    <w:next w:val="Normal"/>
    <w:qFormat/>
    <w:rsid w:val="00CB03AF"/>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65A4"/>
    <w:rPr>
      <w:rFonts w:ascii="Arial" w:eastAsiaTheme="minorHAnsi" w:hAnsi="Arial" w:cs="Arial"/>
      <w:bCs/>
      <w:kern w:val="32"/>
      <w:sz w:val="28"/>
      <w:szCs w:val="32"/>
      <w:lang w:val="en-AU" w:eastAsia="en-US"/>
    </w:rPr>
  </w:style>
  <w:style w:type="numbering" w:styleId="111111">
    <w:name w:val="Outline List 2"/>
    <w:basedOn w:val="NoList"/>
    <w:semiHidden/>
    <w:rsid w:val="00CB03AF"/>
    <w:pPr>
      <w:numPr>
        <w:numId w:val="11"/>
      </w:numPr>
    </w:pPr>
  </w:style>
  <w:style w:type="numbering" w:styleId="1ai">
    <w:name w:val="Outline List 1"/>
    <w:basedOn w:val="NoList"/>
    <w:semiHidden/>
    <w:rsid w:val="00CB03AF"/>
    <w:pPr>
      <w:numPr>
        <w:numId w:val="12"/>
      </w:numPr>
    </w:pPr>
  </w:style>
  <w:style w:type="numbering" w:styleId="ArticleSection">
    <w:name w:val="Outline List 3"/>
    <w:basedOn w:val="NoList"/>
    <w:semiHidden/>
    <w:rsid w:val="00CB03AF"/>
    <w:pPr>
      <w:numPr>
        <w:numId w:val="13"/>
      </w:numPr>
    </w:pPr>
  </w:style>
  <w:style w:type="paragraph" w:styleId="BlockText">
    <w:name w:val="Block Text"/>
    <w:basedOn w:val="Normal"/>
    <w:semiHidden/>
    <w:rsid w:val="00CB03AF"/>
    <w:pPr>
      <w:spacing w:after="120"/>
      <w:ind w:left="1440" w:right="1440"/>
    </w:pPr>
  </w:style>
  <w:style w:type="paragraph" w:customStyle="1" w:styleId="VEOHRCListBullet2ndlevel">
    <w:name w:val="VEOHRC List Bullet 2nd level"/>
    <w:basedOn w:val="VEOHRCListBullet"/>
    <w:rsid w:val="00417C2E"/>
    <w:pPr>
      <w:numPr>
        <w:numId w:val="1"/>
      </w:numPr>
      <w:ind w:left="1080"/>
    </w:pPr>
  </w:style>
  <w:style w:type="paragraph" w:styleId="BodyText2">
    <w:name w:val="Body Text 2"/>
    <w:basedOn w:val="Normal"/>
    <w:semiHidden/>
    <w:rsid w:val="00CB03AF"/>
    <w:pPr>
      <w:spacing w:after="120" w:line="480" w:lineRule="auto"/>
    </w:pPr>
  </w:style>
  <w:style w:type="paragraph" w:styleId="BodyText3">
    <w:name w:val="Body Text 3"/>
    <w:basedOn w:val="Normal"/>
    <w:semiHidden/>
    <w:rsid w:val="00CB03AF"/>
    <w:pPr>
      <w:spacing w:after="120"/>
    </w:pPr>
    <w:rPr>
      <w:sz w:val="16"/>
      <w:szCs w:val="16"/>
    </w:rPr>
  </w:style>
  <w:style w:type="paragraph" w:styleId="BodyTextFirstIndent">
    <w:name w:val="Body Text First Indent"/>
    <w:basedOn w:val="Normal"/>
    <w:semiHidden/>
    <w:rsid w:val="00811901"/>
    <w:pPr>
      <w:ind w:firstLine="210"/>
    </w:pPr>
  </w:style>
  <w:style w:type="paragraph" w:styleId="BodyTextIndent">
    <w:name w:val="Body Text Indent"/>
    <w:basedOn w:val="Normal"/>
    <w:semiHidden/>
    <w:rsid w:val="00CB03AF"/>
    <w:pPr>
      <w:spacing w:after="120"/>
      <w:ind w:left="283"/>
    </w:pPr>
  </w:style>
  <w:style w:type="paragraph" w:styleId="BodyTextFirstIndent2">
    <w:name w:val="Body Text First Indent 2"/>
    <w:basedOn w:val="BodyTextIndent"/>
    <w:semiHidden/>
    <w:rsid w:val="00CB03AF"/>
    <w:pPr>
      <w:ind w:firstLine="210"/>
    </w:pPr>
  </w:style>
  <w:style w:type="paragraph" w:styleId="BodyTextIndent2">
    <w:name w:val="Body Text Indent 2"/>
    <w:basedOn w:val="Normal"/>
    <w:semiHidden/>
    <w:rsid w:val="00CB03AF"/>
    <w:pPr>
      <w:spacing w:after="120" w:line="480" w:lineRule="auto"/>
      <w:ind w:left="283"/>
    </w:pPr>
  </w:style>
  <w:style w:type="paragraph" w:styleId="BodyTextIndent3">
    <w:name w:val="Body Text Indent 3"/>
    <w:basedOn w:val="Normal"/>
    <w:semiHidden/>
    <w:rsid w:val="00CB03AF"/>
    <w:pPr>
      <w:spacing w:after="120"/>
      <w:ind w:left="283"/>
    </w:pPr>
    <w:rPr>
      <w:sz w:val="16"/>
      <w:szCs w:val="16"/>
    </w:rPr>
  </w:style>
  <w:style w:type="paragraph" w:styleId="Closing">
    <w:name w:val="Closing"/>
    <w:basedOn w:val="Normal"/>
    <w:semiHidden/>
    <w:rsid w:val="00CB03AF"/>
    <w:pPr>
      <w:ind w:left="4252"/>
    </w:pPr>
  </w:style>
  <w:style w:type="paragraph" w:styleId="Date">
    <w:name w:val="Date"/>
    <w:basedOn w:val="Normal"/>
    <w:next w:val="Normal"/>
    <w:semiHidden/>
    <w:rsid w:val="00CB03AF"/>
  </w:style>
  <w:style w:type="paragraph" w:styleId="E-mailSignature">
    <w:name w:val="E-mail Signature"/>
    <w:basedOn w:val="Normal"/>
    <w:semiHidden/>
    <w:rsid w:val="00CB03AF"/>
  </w:style>
  <w:style w:type="character" w:styleId="Emphasis">
    <w:name w:val="Emphasis"/>
    <w:basedOn w:val="DefaultParagraphFont"/>
    <w:qFormat/>
    <w:rsid w:val="00CB03AF"/>
    <w:rPr>
      <w:i/>
      <w:iCs/>
    </w:rPr>
  </w:style>
  <w:style w:type="paragraph" w:styleId="EnvelopeAddress">
    <w:name w:val="envelope address"/>
    <w:basedOn w:val="Normal"/>
    <w:semiHidden/>
    <w:rsid w:val="00CB03AF"/>
    <w:pPr>
      <w:framePr w:w="7920" w:h="1980" w:hRule="exact" w:hSpace="180" w:wrap="auto" w:hAnchor="page" w:xAlign="center" w:yAlign="bottom"/>
      <w:ind w:left="2880"/>
    </w:pPr>
    <w:rPr>
      <w:rFonts w:cs="Arial"/>
    </w:rPr>
  </w:style>
  <w:style w:type="paragraph" w:styleId="EnvelopeReturn">
    <w:name w:val="envelope return"/>
    <w:basedOn w:val="Normal"/>
    <w:semiHidden/>
    <w:rsid w:val="00CB03AF"/>
    <w:rPr>
      <w:rFonts w:cs="Arial"/>
      <w:sz w:val="20"/>
      <w:szCs w:val="20"/>
    </w:rPr>
  </w:style>
  <w:style w:type="character" w:styleId="FollowedHyperlink">
    <w:name w:val="FollowedHyperlink"/>
    <w:basedOn w:val="DefaultParagraphFont"/>
    <w:semiHidden/>
    <w:rsid w:val="00CB03AF"/>
    <w:rPr>
      <w:color w:val="800080"/>
      <w:u w:val="single"/>
    </w:rPr>
  </w:style>
  <w:style w:type="paragraph" w:styleId="Footer">
    <w:name w:val="footer"/>
    <w:basedOn w:val="Normal"/>
    <w:link w:val="FooterChar"/>
    <w:uiPriority w:val="99"/>
    <w:rsid w:val="00CB03AF"/>
    <w:pPr>
      <w:tabs>
        <w:tab w:val="center" w:pos="4153"/>
        <w:tab w:val="right" w:pos="8306"/>
      </w:tabs>
    </w:pPr>
  </w:style>
  <w:style w:type="paragraph" w:styleId="Header">
    <w:name w:val="header"/>
    <w:basedOn w:val="Normal"/>
    <w:semiHidden/>
    <w:rsid w:val="00CB03AF"/>
    <w:pPr>
      <w:tabs>
        <w:tab w:val="center" w:pos="4153"/>
        <w:tab w:val="right" w:pos="8306"/>
      </w:tabs>
    </w:pPr>
  </w:style>
  <w:style w:type="character" w:styleId="HTMLAcronym">
    <w:name w:val="HTML Acronym"/>
    <w:basedOn w:val="DefaultParagraphFont"/>
    <w:semiHidden/>
    <w:rsid w:val="00CB03AF"/>
  </w:style>
  <w:style w:type="paragraph" w:styleId="HTMLAddress">
    <w:name w:val="HTML Address"/>
    <w:basedOn w:val="Normal"/>
    <w:semiHidden/>
    <w:rsid w:val="00CB03AF"/>
    <w:rPr>
      <w:i/>
      <w:iCs/>
    </w:rPr>
  </w:style>
  <w:style w:type="character" w:styleId="HTMLCite">
    <w:name w:val="HTML Cite"/>
    <w:basedOn w:val="DefaultParagraphFont"/>
    <w:semiHidden/>
    <w:rsid w:val="00CB03AF"/>
    <w:rPr>
      <w:i/>
      <w:iCs/>
    </w:rPr>
  </w:style>
  <w:style w:type="character" w:styleId="HTMLCode">
    <w:name w:val="HTML Code"/>
    <w:basedOn w:val="DefaultParagraphFont"/>
    <w:semiHidden/>
    <w:rsid w:val="00CB03AF"/>
    <w:rPr>
      <w:rFonts w:ascii="Courier New" w:hAnsi="Courier New" w:cs="Courier New"/>
      <w:sz w:val="20"/>
      <w:szCs w:val="20"/>
    </w:rPr>
  </w:style>
  <w:style w:type="character" w:styleId="HTMLDefinition">
    <w:name w:val="HTML Definition"/>
    <w:basedOn w:val="DefaultParagraphFont"/>
    <w:semiHidden/>
    <w:rsid w:val="00CB03AF"/>
    <w:rPr>
      <w:i/>
      <w:iCs/>
    </w:rPr>
  </w:style>
  <w:style w:type="character" w:styleId="HTMLKeyboard">
    <w:name w:val="HTML Keyboard"/>
    <w:basedOn w:val="DefaultParagraphFont"/>
    <w:semiHidden/>
    <w:rsid w:val="00CB03AF"/>
    <w:rPr>
      <w:rFonts w:ascii="Courier New" w:hAnsi="Courier New" w:cs="Courier New"/>
      <w:sz w:val="20"/>
      <w:szCs w:val="20"/>
    </w:rPr>
  </w:style>
  <w:style w:type="paragraph" w:styleId="HTMLPreformatted">
    <w:name w:val="HTML Preformatted"/>
    <w:basedOn w:val="Normal"/>
    <w:semiHidden/>
    <w:rsid w:val="00CB03AF"/>
    <w:rPr>
      <w:rFonts w:ascii="Courier New" w:hAnsi="Courier New" w:cs="Courier New"/>
      <w:sz w:val="20"/>
      <w:szCs w:val="20"/>
    </w:rPr>
  </w:style>
  <w:style w:type="character" w:styleId="HTMLSample">
    <w:name w:val="HTML Sample"/>
    <w:basedOn w:val="DefaultParagraphFont"/>
    <w:semiHidden/>
    <w:rsid w:val="00CB03AF"/>
    <w:rPr>
      <w:rFonts w:ascii="Courier New" w:hAnsi="Courier New" w:cs="Courier New"/>
    </w:rPr>
  </w:style>
  <w:style w:type="character" w:styleId="HTMLTypewriter">
    <w:name w:val="HTML Typewriter"/>
    <w:basedOn w:val="DefaultParagraphFont"/>
    <w:semiHidden/>
    <w:rsid w:val="00CB03AF"/>
    <w:rPr>
      <w:rFonts w:ascii="Courier New" w:hAnsi="Courier New" w:cs="Courier New"/>
      <w:sz w:val="20"/>
      <w:szCs w:val="20"/>
    </w:rPr>
  </w:style>
  <w:style w:type="character" w:styleId="HTMLVariable">
    <w:name w:val="HTML Variable"/>
    <w:basedOn w:val="DefaultParagraphFont"/>
    <w:semiHidden/>
    <w:rsid w:val="00CB03AF"/>
    <w:rPr>
      <w:i/>
      <w:iCs/>
    </w:rPr>
  </w:style>
  <w:style w:type="character" w:styleId="Hyperlink">
    <w:name w:val="Hyperlink"/>
    <w:basedOn w:val="DefaultParagraphFont"/>
    <w:semiHidden/>
    <w:rsid w:val="00CB03AF"/>
    <w:rPr>
      <w:color w:val="0000FF"/>
      <w:u w:val="single"/>
    </w:rPr>
  </w:style>
  <w:style w:type="character" w:styleId="LineNumber">
    <w:name w:val="line number"/>
    <w:basedOn w:val="DefaultParagraphFont"/>
    <w:semiHidden/>
    <w:rsid w:val="00CB03AF"/>
  </w:style>
  <w:style w:type="paragraph" w:styleId="FootnoteText">
    <w:name w:val="footnote text"/>
    <w:basedOn w:val="Normal"/>
    <w:link w:val="FootnoteTextChar"/>
    <w:semiHidden/>
    <w:rsid w:val="00205316"/>
    <w:rPr>
      <w:sz w:val="20"/>
      <w:szCs w:val="20"/>
    </w:rPr>
  </w:style>
  <w:style w:type="paragraph" w:customStyle="1" w:styleId="VEOHRCListBullet">
    <w:name w:val="VEOHRC List Bullet"/>
    <w:qFormat/>
    <w:rsid w:val="00541044"/>
    <w:pPr>
      <w:keepNext/>
      <w:numPr>
        <w:numId w:val="14"/>
      </w:numPr>
      <w:spacing w:after="60" w:line="240" w:lineRule="atLeast"/>
      <w:ind w:left="714" w:hanging="357"/>
    </w:pPr>
    <w:rPr>
      <w:rFonts w:ascii="Arial" w:eastAsia="Arial Unicode MS" w:hAnsi="Arial"/>
      <w:sz w:val="24"/>
      <w:szCs w:val="24"/>
      <w:lang w:eastAsia="en-AU"/>
    </w:rPr>
  </w:style>
  <w:style w:type="paragraph" w:styleId="List3">
    <w:name w:val="List 3"/>
    <w:basedOn w:val="Normal"/>
    <w:semiHidden/>
    <w:rsid w:val="00CB03AF"/>
    <w:pPr>
      <w:ind w:left="849" w:hanging="283"/>
    </w:pPr>
  </w:style>
  <w:style w:type="paragraph" w:styleId="List4">
    <w:name w:val="List 4"/>
    <w:basedOn w:val="Normal"/>
    <w:semiHidden/>
    <w:rsid w:val="00CB03AF"/>
    <w:pPr>
      <w:ind w:left="1132" w:hanging="283"/>
    </w:pPr>
  </w:style>
  <w:style w:type="paragraph" w:styleId="List5">
    <w:name w:val="List 5"/>
    <w:basedOn w:val="Normal"/>
    <w:semiHidden/>
    <w:rsid w:val="00CB03AF"/>
    <w:pPr>
      <w:ind w:left="1415" w:hanging="283"/>
    </w:pPr>
  </w:style>
  <w:style w:type="paragraph" w:styleId="BodyText">
    <w:name w:val="Body Text"/>
    <w:basedOn w:val="Normal"/>
    <w:link w:val="BodyTextChar"/>
    <w:qFormat/>
    <w:rsid w:val="00EF25B2"/>
    <w:pPr>
      <w:spacing w:after="120"/>
    </w:pPr>
  </w:style>
  <w:style w:type="paragraph" w:styleId="ListBullet2">
    <w:name w:val="List Bullet 2"/>
    <w:basedOn w:val="Normal"/>
    <w:semiHidden/>
    <w:rsid w:val="00CB03AF"/>
    <w:pPr>
      <w:numPr>
        <w:numId w:val="2"/>
      </w:numPr>
    </w:pPr>
  </w:style>
  <w:style w:type="paragraph" w:styleId="ListBullet3">
    <w:name w:val="List Bullet 3"/>
    <w:basedOn w:val="Normal"/>
    <w:semiHidden/>
    <w:rsid w:val="00CB03AF"/>
    <w:pPr>
      <w:numPr>
        <w:numId w:val="3"/>
      </w:numPr>
    </w:pPr>
  </w:style>
  <w:style w:type="paragraph" w:styleId="ListBullet4">
    <w:name w:val="List Bullet 4"/>
    <w:basedOn w:val="Normal"/>
    <w:semiHidden/>
    <w:rsid w:val="00CB03AF"/>
    <w:pPr>
      <w:numPr>
        <w:numId w:val="4"/>
      </w:numPr>
    </w:pPr>
  </w:style>
  <w:style w:type="paragraph" w:styleId="ListBullet5">
    <w:name w:val="List Bullet 5"/>
    <w:basedOn w:val="Normal"/>
    <w:semiHidden/>
    <w:rsid w:val="00CB03AF"/>
    <w:pPr>
      <w:numPr>
        <w:numId w:val="5"/>
      </w:numPr>
    </w:pPr>
  </w:style>
  <w:style w:type="paragraph" w:styleId="ListContinue">
    <w:name w:val="List Continue"/>
    <w:basedOn w:val="Normal"/>
    <w:semiHidden/>
    <w:rsid w:val="00CB03AF"/>
    <w:pPr>
      <w:spacing w:after="120"/>
      <w:ind w:left="283"/>
    </w:pPr>
  </w:style>
  <w:style w:type="paragraph" w:styleId="ListContinue2">
    <w:name w:val="List Continue 2"/>
    <w:basedOn w:val="Normal"/>
    <w:semiHidden/>
    <w:rsid w:val="00CB03AF"/>
    <w:pPr>
      <w:spacing w:after="120"/>
      <w:ind w:left="566"/>
    </w:pPr>
  </w:style>
  <w:style w:type="paragraph" w:styleId="ListContinue3">
    <w:name w:val="List Continue 3"/>
    <w:basedOn w:val="Normal"/>
    <w:semiHidden/>
    <w:rsid w:val="00CB03AF"/>
    <w:pPr>
      <w:spacing w:after="120"/>
      <w:ind w:left="849"/>
    </w:pPr>
  </w:style>
  <w:style w:type="paragraph" w:styleId="ListContinue4">
    <w:name w:val="List Continue 4"/>
    <w:basedOn w:val="Normal"/>
    <w:semiHidden/>
    <w:rsid w:val="00CB03AF"/>
    <w:pPr>
      <w:spacing w:after="120"/>
      <w:ind w:left="1132"/>
    </w:pPr>
  </w:style>
  <w:style w:type="paragraph" w:styleId="ListContinue5">
    <w:name w:val="List Continue 5"/>
    <w:basedOn w:val="Normal"/>
    <w:semiHidden/>
    <w:rsid w:val="00CB03AF"/>
    <w:pPr>
      <w:spacing w:after="120"/>
      <w:ind w:left="1415"/>
    </w:pPr>
  </w:style>
  <w:style w:type="paragraph" w:styleId="ListNumber">
    <w:name w:val="List Number"/>
    <w:basedOn w:val="Normal"/>
    <w:semiHidden/>
    <w:rsid w:val="007165B6"/>
    <w:pPr>
      <w:numPr>
        <w:numId w:val="6"/>
      </w:numPr>
    </w:pPr>
  </w:style>
  <w:style w:type="paragraph" w:styleId="ListNumber2">
    <w:name w:val="List Number 2"/>
    <w:basedOn w:val="Normal"/>
    <w:semiHidden/>
    <w:rsid w:val="00CB03AF"/>
    <w:pPr>
      <w:numPr>
        <w:numId w:val="7"/>
      </w:numPr>
    </w:pPr>
  </w:style>
  <w:style w:type="paragraph" w:styleId="ListNumber3">
    <w:name w:val="List Number 3"/>
    <w:basedOn w:val="Normal"/>
    <w:semiHidden/>
    <w:rsid w:val="00CB03AF"/>
    <w:pPr>
      <w:numPr>
        <w:numId w:val="8"/>
      </w:numPr>
    </w:pPr>
  </w:style>
  <w:style w:type="paragraph" w:styleId="ListNumber4">
    <w:name w:val="List Number 4"/>
    <w:basedOn w:val="Normal"/>
    <w:semiHidden/>
    <w:rsid w:val="00CB03AF"/>
    <w:pPr>
      <w:numPr>
        <w:numId w:val="9"/>
      </w:numPr>
    </w:pPr>
  </w:style>
  <w:style w:type="paragraph" w:styleId="ListNumber5">
    <w:name w:val="List Number 5"/>
    <w:basedOn w:val="Normal"/>
    <w:semiHidden/>
    <w:rsid w:val="00CB03AF"/>
    <w:pPr>
      <w:numPr>
        <w:numId w:val="10"/>
      </w:numPr>
    </w:pPr>
  </w:style>
  <w:style w:type="paragraph" w:styleId="MessageHeader">
    <w:name w:val="Message Header"/>
    <w:basedOn w:val="Normal"/>
    <w:semiHidden/>
    <w:rsid w:val="00CB03A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CB03AF"/>
  </w:style>
  <w:style w:type="paragraph" w:styleId="NormalIndent">
    <w:name w:val="Normal Indent"/>
    <w:basedOn w:val="Normal"/>
    <w:semiHidden/>
    <w:rsid w:val="00CB03AF"/>
    <w:pPr>
      <w:ind w:left="720"/>
    </w:pPr>
  </w:style>
  <w:style w:type="paragraph" w:styleId="NoteHeading">
    <w:name w:val="Note Heading"/>
    <w:basedOn w:val="Normal"/>
    <w:next w:val="Normal"/>
    <w:semiHidden/>
    <w:rsid w:val="00CB03AF"/>
  </w:style>
  <w:style w:type="character" w:styleId="PageNumber">
    <w:name w:val="page number"/>
    <w:basedOn w:val="DefaultParagraphFont"/>
    <w:semiHidden/>
    <w:rsid w:val="00CB03AF"/>
  </w:style>
  <w:style w:type="paragraph" w:styleId="PlainText">
    <w:name w:val="Plain Text"/>
    <w:basedOn w:val="Normal"/>
    <w:semiHidden/>
    <w:rsid w:val="00CB03AF"/>
    <w:rPr>
      <w:rFonts w:ascii="Courier New" w:hAnsi="Courier New" w:cs="Courier New"/>
      <w:sz w:val="20"/>
      <w:szCs w:val="20"/>
    </w:rPr>
  </w:style>
  <w:style w:type="paragraph" w:styleId="Salutation">
    <w:name w:val="Salutation"/>
    <w:basedOn w:val="Normal"/>
    <w:next w:val="Normal"/>
    <w:semiHidden/>
    <w:rsid w:val="00CB03AF"/>
  </w:style>
  <w:style w:type="paragraph" w:styleId="Signature">
    <w:name w:val="Signature"/>
    <w:basedOn w:val="Normal"/>
    <w:semiHidden/>
    <w:rsid w:val="00CB03AF"/>
    <w:pPr>
      <w:ind w:left="4252"/>
    </w:pPr>
  </w:style>
  <w:style w:type="character" w:styleId="Strong">
    <w:name w:val="Strong"/>
    <w:basedOn w:val="DefaultParagraphFont"/>
    <w:qFormat/>
    <w:rsid w:val="00CB03AF"/>
    <w:rPr>
      <w:b/>
      <w:bCs/>
    </w:rPr>
  </w:style>
  <w:style w:type="paragraph" w:styleId="Subtitle">
    <w:name w:val="Subtitle"/>
    <w:basedOn w:val="Normal"/>
    <w:qFormat/>
    <w:rsid w:val="00CB03AF"/>
    <w:pPr>
      <w:spacing w:after="60"/>
      <w:jc w:val="center"/>
      <w:outlineLvl w:val="1"/>
    </w:pPr>
    <w:rPr>
      <w:rFonts w:cs="Arial"/>
    </w:rPr>
  </w:style>
  <w:style w:type="table" w:styleId="Table3Deffects1">
    <w:name w:val="Table 3D effects 1"/>
    <w:basedOn w:val="TableNormal"/>
    <w:semiHidden/>
    <w:rsid w:val="00CB03A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03A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03A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03A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03A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03A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03A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03A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03A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03A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03A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03A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03A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03A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03A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03A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03A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03A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03A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03A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03A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03A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03A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03A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03A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03A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03A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03A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03A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03A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03A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03A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03A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03A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03A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03A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03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03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03A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B03AF"/>
    <w:pPr>
      <w:spacing w:before="240" w:after="60"/>
      <w:jc w:val="center"/>
      <w:outlineLvl w:val="0"/>
    </w:pPr>
    <w:rPr>
      <w:rFonts w:cs="Arial"/>
      <w:b/>
      <w:bCs/>
      <w:kern w:val="28"/>
      <w:sz w:val="32"/>
      <w:szCs w:val="32"/>
    </w:rPr>
  </w:style>
  <w:style w:type="paragraph" w:styleId="List">
    <w:name w:val="List"/>
    <w:basedOn w:val="Normal"/>
    <w:semiHidden/>
    <w:rsid w:val="00EF25B2"/>
    <w:pPr>
      <w:ind w:left="283" w:hanging="283"/>
    </w:pPr>
  </w:style>
  <w:style w:type="paragraph" w:customStyle="1" w:styleId="VEOHRCFootnotetext">
    <w:name w:val="VEOHRC Footnote text"/>
    <w:basedOn w:val="Normal"/>
    <w:rsid w:val="00EB5C27"/>
    <w:pPr>
      <w:spacing w:line="200" w:lineRule="atLeast"/>
    </w:pPr>
    <w:rPr>
      <w:sz w:val="20"/>
      <w:szCs w:val="20"/>
    </w:rPr>
  </w:style>
  <w:style w:type="paragraph" w:customStyle="1" w:styleId="VEOHRCQuotation">
    <w:name w:val="VEOHRC Quotation"/>
    <w:basedOn w:val="Normal"/>
    <w:rsid w:val="004A32E8"/>
    <w:pPr>
      <w:spacing w:before="120" w:after="120"/>
      <w:ind w:left="720" w:right="788"/>
    </w:pPr>
    <w:rPr>
      <w:rFonts w:cs="Arial"/>
    </w:rPr>
  </w:style>
  <w:style w:type="paragraph" w:styleId="List2">
    <w:name w:val="List 2"/>
    <w:basedOn w:val="Normal"/>
    <w:semiHidden/>
    <w:rsid w:val="00EF25B2"/>
    <w:pPr>
      <w:ind w:left="566" w:hanging="283"/>
    </w:pPr>
  </w:style>
  <w:style w:type="paragraph" w:customStyle="1" w:styleId="VEOHRCHeading1">
    <w:name w:val="VEOHRC Heading 1"/>
    <w:basedOn w:val="Heading1"/>
    <w:rsid w:val="00D966B6"/>
    <w:pPr>
      <w:spacing w:before="300" w:after="0" w:line="360" w:lineRule="atLeast"/>
    </w:pPr>
    <w:rPr>
      <w:rFonts w:cs="Times New Roman"/>
    </w:rPr>
  </w:style>
  <w:style w:type="paragraph" w:customStyle="1" w:styleId="VEOHRCBodytext">
    <w:name w:val="VEOHRC Body text"/>
    <w:link w:val="VEOHRCBodytextChar"/>
    <w:rsid w:val="008E0B9B"/>
    <w:pPr>
      <w:keepNext/>
      <w:spacing w:before="80" w:after="120"/>
    </w:pPr>
    <w:rPr>
      <w:rFonts w:ascii="Arial" w:eastAsia="Arial Unicode MS" w:hAnsi="Arial"/>
      <w:sz w:val="22"/>
      <w:szCs w:val="24"/>
      <w:lang w:eastAsia="en-AU"/>
    </w:rPr>
  </w:style>
  <w:style w:type="paragraph" w:styleId="ListBullet">
    <w:name w:val="List Bullet"/>
    <w:basedOn w:val="Normal"/>
    <w:uiPriority w:val="4"/>
    <w:qFormat/>
    <w:rsid w:val="00EF25B2"/>
    <w:pPr>
      <w:tabs>
        <w:tab w:val="num" w:pos="720"/>
      </w:tabs>
      <w:ind w:left="720" w:hanging="360"/>
    </w:pPr>
  </w:style>
  <w:style w:type="character" w:styleId="FootnoteReference">
    <w:name w:val="footnote reference"/>
    <w:basedOn w:val="DefaultParagraphFont"/>
    <w:semiHidden/>
    <w:rsid w:val="00205316"/>
    <w:rPr>
      <w:vertAlign w:val="superscript"/>
    </w:rPr>
  </w:style>
  <w:style w:type="paragraph" w:customStyle="1" w:styleId="VEOHRCChapterTitle">
    <w:name w:val="VEOHRC Chapter Title"/>
    <w:basedOn w:val="Normal"/>
    <w:rsid w:val="00EB5C27"/>
    <w:pPr>
      <w:spacing w:after="120" w:line="360" w:lineRule="atLeast"/>
    </w:pPr>
    <w:rPr>
      <w:sz w:val="48"/>
    </w:rPr>
  </w:style>
  <w:style w:type="paragraph" w:customStyle="1" w:styleId="VEOHRCHeading2">
    <w:name w:val="VEOHRC Heading 2"/>
    <w:basedOn w:val="Heading2"/>
    <w:rsid w:val="00EB5C27"/>
    <w:pPr>
      <w:spacing w:line="280" w:lineRule="atLeast"/>
    </w:pPr>
    <w:rPr>
      <w:rFonts w:cs="Times New Roman"/>
    </w:rPr>
  </w:style>
  <w:style w:type="paragraph" w:customStyle="1" w:styleId="VEOHRCHeading3">
    <w:name w:val="VEOHRC Heading 3"/>
    <w:next w:val="VEOHRCBodytext"/>
    <w:rsid w:val="00F13062"/>
    <w:pPr>
      <w:spacing w:before="180" w:line="240" w:lineRule="atLeast"/>
    </w:pPr>
    <w:rPr>
      <w:rFonts w:ascii="Arial" w:hAnsi="Arial" w:cs="Arial"/>
      <w:b/>
      <w:bCs/>
      <w:sz w:val="24"/>
      <w:szCs w:val="26"/>
      <w:lang w:eastAsia="en-AU"/>
    </w:rPr>
  </w:style>
  <w:style w:type="paragraph" w:customStyle="1" w:styleId="VEOHRCHeading4">
    <w:name w:val="VEOHRC Heading 4"/>
    <w:basedOn w:val="Heading4"/>
    <w:link w:val="VEOHRCHeading4Char"/>
    <w:rsid w:val="00EB5C27"/>
    <w:pPr>
      <w:spacing w:before="120" w:after="0"/>
    </w:pPr>
  </w:style>
  <w:style w:type="paragraph" w:customStyle="1" w:styleId="VEOHRCFootnotereference">
    <w:name w:val="VEOHRC Footnote reference"/>
    <w:basedOn w:val="FootnoteText"/>
    <w:link w:val="VEOHRCFootnotereferenceChar"/>
    <w:rsid w:val="00205316"/>
    <w:rPr>
      <w:vertAlign w:val="superscript"/>
    </w:rPr>
  </w:style>
  <w:style w:type="character" w:customStyle="1" w:styleId="FootnoteTextChar">
    <w:name w:val="Footnote Text Char"/>
    <w:basedOn w:val="DefaultParagraphFont"/>
    <w:link w:val="FootnoteText"/>
    <w:rsid w:val="00205316"/>
    <w:rPr>
      <w:rFonts w:ascii="Frutiger 45 Light" w:hAnsi="Frutiger 45 Light"/>
      <w:lang w:val="en-AU" w:eastAsia="en-AU" w:bidi="ar-SA"/>
    </w:rPr>
  </w:style>
  <w:style w:type="character" w:customStyle="1" w:styleId="VEOHRCFootnotereferenceChar">
    <w:name w:val="VEOHRC Footnote reference Char"/>
    <w:basedOn w:val="FootnoteTextChar"/>
    <w:link w:val="VEOHRCFootnotereference"/>
    <w:rsid w:val="00205316"/>
    <w:rPr>
      <w:rFonts w:ascii="Arial" w:hAnsi="Arial"/>
      <w:vertAlign w:val="superscript"/>
      <w:lang w:val="en-AU" w:eastAsia="en-AU" w:bidi="ar-SA"/>
    </w:rPr>
  </w:style>
  <w:style w:type="paragraph" w:customStyle="1" w:styleId="VEOHRCNumberedlist">
    <w:name w:val="VEOHRC Numbered list"/>
    <w:qFormat/>
    <w:rsid w:val="00417C2E"/>
    <w:pPr>
      <w:numPr>
        <w:numId w:val="15"/>
      </w:numPr>
      <w:ind w:left="720"/>
    </w:pPr>
    <w:rPr>
      <w:rFonts w:ascii="Arial" w:eastAsia="Arial Unicode MS" w:hAnsi="Arial"/>
      <w:sz w:val="24"/>
      <w:szCs w:val="24"/>
      <w:lang w:eastAsia="en-AU"/>
    </w:rPr>
  </w:style>
  <w:style w:type="paragraph" w:customStyle="1" w:styleId="VEOHRCsubhead">
    <w:name w:val="VEOHRC &gt; subhead"/>
    <w:basedOn w:val="VEOHRCBodytext"/>
    <w:rsid w:val="00EB5C27"/>
    <w:rPr>
      <w:sz w:val="28"/>
    </w:rPr>
  </w:style>
  <w:style w:type="character" w:customStyle="1" w:styleId="Heading4Char">
    <w:name w:val="Heading 4 Char"/>
    <w:basedOn w:val="DefaultParagraphFont"/>
    <w:link w:val="Heading4"/>
    <w:rsid w:val="00D70C7B"/>
    <w:rPr>
      <w:rFonts w:ascii="Frutiger 45 Light" w:hAnsi="Frutiger 45 Light"/>
      <w:bCs/>
      <w:i/>
      <w:sz w:val="24"/>
      <w:szCs w:val="28"/>
      <w:lang w:val="en-GB" w:eastAsia="en-AU" w:bidi="ar-SA"/>
    </w:rPr>
  </w:style>
  <w:style w:type="character" w:customStyle="1" w:styleId="VEOHRCHeading4Char">
    <w:name w:val="VEOHRC Heading 4 Char"/>
    <w:basedOn w:val="Heading4Char"/>
    <w:link w:val="VEOHRCHeading4"/>
    <w:rsid w:val="00D70C7B"/>
    <w:rPr>
      <w:rFonts w:ascii="Arial" w:hAnsi="Arial"/>
      <w:bCs/>
      <w:i/>
      <w:sz w:val="24"/>
      <w:szCs w:val="28"/>
      <w:lang w:val="en-GB" w:eastAsia="en-AU" w:bidi="ar-SA"/>
    </w:rPr>
  </w:style>
  <w:style w:type="character" w:customStyle="1" w:styleId="VEOHRCBodytextitalics">
    <w:name w:val="VEOHRC Body text italics"/>
    <w:rsid w:val="008601D7"/>
    <w:rPr>
      <w:rFonts w:ascii="Arial" w:hAnsi="Arial"/>
      <w:i/>
      <w:dstrike w:val="0"/>
      <w:color w:val="auto"/>
      <w:sz w:val="24"/>
      <w:u w:val="none"/>
      <w:vertAlign w:val="baseline"/>
    </w:rPr>
  </w:style>
  <w:style w:type="character" w:customStyle="1" w:styleId="VEOHRCFootnotetextitalics">
    <w:name w:val="VEOHRC Footnote text italics"/>
    <w:rsid w:val="00497875"/>
    <w:rPr>
      <w:rFonts w:ascii="Arial" w:hAnsi="Arial" w:cs="Arial"/>
      <w:bCs/>
      <w:i/>
      <w:dstrike w:val="0"/>
      <w:color w:val="auto"/>
      <w:sz w:val="20"/>
      <w:szCs w:val="26"/>
      <w:u w:val="none"/>
      <w:vertAlign w:val="baseline"/>
      <w:lang w:val="en-GB"/>
    </w:rPr>
  </w:style>
  <w:style w:type="paragraph" w:styleId="TOC3">
    <w:name w:val="toc 3"/>
    <w:next w:val="VEOHRCBodytext"/>
    <w:autoRedefine/>
    <w:semiHidden/>
    <w:rsid w:val="00782E7A"/>
    <w:rPr>
      <w:rFonts w:ascii="Arial" w:hAnsi="Arial"/>
      <w:sz w:val="24"/>
      <w:szCs w:val="24"/>
      <w:lang w:eastAsia="en-AU"/>
    </w:rPr>
  </w:style>
  <w:style w:type="character" w:customStyle="1" w:styleId="VEOHRCBodytextbold">
    <w:name w:val="VEOHRC Body text bold"/>
    <w:rsid w:val="00923721"/>
    <w:rPr>
      <w:rFonts w:ascii="Arial Bold" w:hAnsi="Arial Bold"/>
      <w:b/>
      <w:dstrike w:val="0"/>
      <w:color w:val="auto"/>
      <w:sz w:val="24"/>
      <w:u w:val="none"/>
      <w:vertAlign w:val="baseline"/>
    </w:rPr>
  </w:style>
  <w:style w:type="paragraph" w:styleId="TOC1">
    <w:name w:val="toc 1"/>
    <w:next w:val="VEOHRCBodytext"/>
    <w:autoRedefine/>
    <w:semiHidden/>
    <w:rsid w:val="00181974"/>
    <w:rPr>
      <w:rFonts w:ascii="Arial" w:hAnsi="Arial"/>
      <w:sz w:val="24"/>
      <w:szCs w:val="24"/>
      <w:lang w:eastAsia="en-AU"/>
    </w:rPr>
  </w:style>
  <w:style w:type="paragraph" w:styleId="TOC2">
    <w:name w:val="toc 2"/>
    <w:next w:val="VEOHRCBodytext"/>
    <w:autoRedefine/>
    <w:semiHidden/>
    <w:rsid w:val="00181974"/>
    <w:rPr>
      <w:rFonts w:ascii="Arial" w:hAnsi="Arial"/>
      <w:sz w:val="24"/>
      <w:szCs w:val="24"/>
      <w:lang w:eastAsia="en-AU"/>
    </w:rPr>
  </w:style>
  <w:style w:type="paragraph" w:styleId="TOC4">
    <w:name w:val="toc 4"/>
    <w:next w:val="VEOHRCBodytext"/>
    <w:autoRedefine/>
    <w:semiHidden/>
    <w:rsid w:val="00782E7A"/>
    <w:rPr>
      <w:rFonts w:ascii="Arial" w:hAnsi="Arial"/>
      <w:sz w:val="24"/>
      <w:szCs w:val="24"/>
      <w:lang w:eastAsia="en-AU"/>
    </w:rPr>
  </w:style>
  <w:style w:type="character" w:customStyle="1" w:styleId="VEOHRCBodytextChar">
    <w:name w:val="VEOHRC Body text Char"/>
    <w:basedOn w:val="DefaultParagraphFont"/>
    <w:link w:val="VEOHRCBodytext"/>
    <w:rsid w:val="008E0B9B"/>
    <w:rPr>
      <w:rFonts w:ascii="Arial" w:eastAsia="Arial Unicode MS" w:hAnsi="Arial"/>
      <w:sz w:val="22"/>
      <w:szCs w:val="24"/>
      <w:lang w:eastAsia="en-AU"/>
    </w:rPr>
  </w:style>
  <w:style w:type="paragraph" w:styleId="BalloonText">
    <w:name w:val="Balloon Text"/>
    <w:basedOn w:val="Normal"/>
    <w:link w:val="BalloonTextChar"/>
    <w:rsid w:val="00D326E4"/>
    <w:rPr>
      <w:rFonts w:ascii="Segoe UI" w:hAnsi="Segoe UI" w:cs="Segoe UI"/>
      <w:sz w:val="18"/>
      <w:szCs w:val="18"/>
    </w:rPr>
  </w:style>
  <w:style w:type="character" w:customStyle="1" w:styleId="BalloonTextChar">
    <w:name w:val="Balloon Text Char"/>
    <w:basedOn w:val="DefaultParagraphFont"/>
    <w:link w:val="BalloonText"/>
    <w:rsid w:val="00D326E4"/>
    <w:rPr>
      <w:rFonts w:ascii="Segoe UI" w:hAnsi="Segoe UI" w:cs="Segoe UI"/>
      <w:sz w:val="18"/>
      <w:szCs w:val="18"/>
      <w:lang w:eastAsia="en-AU"/>
    </w:rPr>
  </w:style>
  <w:style w:type="paragraph" w:styleId="EndnoteText">
    <w:name w:val="endnote text"/>
    <w:basedOn w:val="Normal"/>
    <w:link w:val="EndnoteTextChar"/>
    <w:rsid w:val="00B43BAB"/>
    <w:rPr>
      <w:sz w:val="20"/>
      <w:szCs w:val="20"/>
    </w:rPr>
  </w:style>
  <w:style w:type="character" w:customStyle="1" w:styleId="EndnoteTextChar">
    <w:name w:val="Endnote Text Char"/>
    <w:basedOn w:val="DefaultParagraphFont"/>
    <w:link w:val="EndnoteText"/>
    <w:rsid w:val="00B43BAB"/>
    <w:rPr>
      <w:rFonts w:asciiTheme="minorHAnsi" w:eastAsiaTheme="minorHAnsi" w:hAnsiTheme="minorHAnsi" w:cstheme="minorBidi"/>
      <w:lang w:val="en-AU" w:eastAsia="en-US"/>
    </w:rPr>
  </w:style>
  <w:style w:type="character" w:styleId="EndnoteReference">
    <w:name w:val="endnote reference"/>
    <w:basedOn w:val="DefaultParagraphFont"/>
    <w:uiPriority w:val="99"/>
    <w:rsid w:val="00B43BAB"/>
    <w:rPr>
      <w:vertAlign w:val="superscript"/>
    </w:rPr>
  </w:style>
  <w:style w:type="character" w:customStyle="1" w:styleId="BodyTextChar">
    <w:name w:val="Body Text Char"/>
    <w:basedOn w:val="DefaultParagraphFont"/>
    <w:link w:val="BodyText"/>
    <w:rsid w:val="00B43BAB"/>
    <w:rPr>
      <w:rFonts w:ascii="Frutiger 45 Light" w:hAnsi="Frutiger 45 Light"/>
      <w:sz w:val="24"/>
      <w:szCs w:val="24"/>
      <w:lang w:eastAsia="en-AU"/>
    </w:rPr>
  </w:style>
  <w:style w:type="numbering" w:customStyle="1" w:styleId="ListBulletmaster">
    <w:name w:val="List Bullet (master)"/>
    <w:rsid w:val="00B43BAB"/>
    <w:pPr>
      <w:numPr>
        <w:numId w:val="17"/>
      </w:numPr>
    </w:pPr>
  </w:style>
  <w:style w:type="paragraph" w:styleId="NoSpacing">
    <w:name w:val="No Spacing"/>
    <w:uiPriority w:val="1"/>
    <w:qFormat/>
    <w:rsid w:val="00B43BAB"/>
    <w:rPr>
      <w:rFonts w:ascii="Arial" w:hAnsi="Arial"/>
      <w:sz w:val="18"/>
      <w:lang w:eastAsia="en-AU"/>
    </w:rPr>
  </w:style>
  <w:style w:type="table" w:customStyle="1" w:styleId="CustomTablerecommendationsbox">
    <w:name w:val="Custom Table (recommendations box)"/>
    <w:basedOn w:val="TableNormal"/>
    <w:uiPriority w:val="99"/>
    <w:rsid w:val="00B43BAB"/>
    <w:rPr>
      <w:rFonts w:asciiTheme="minorHAnsi" w:eastAsiaTheme="minorHAnsi" w:hAnsiTheme="minorHAnsi" w:cstheme="minorBidi"/>
      <w:lang w:val="en-US" w:eastAsia="en-US"/>
    </w:rPr>
    <w:tblPr/>
    <w:tcPr>
      <w:shd w:val="clear" w:color="auto" w:fill="BDD6EE"/>
    </w:tcPr>
  </w:style>
  <w:style w:type="character" w:styleId="CommentReference">
    <w:name w:val="annotation reference"/>
    <w:basedOn w:val="DefaultParagraphFont"/>
    <w:uiPriority w:val="99"/>
    <w:rsid w:val="00B43BAB"/>
    <w:rPr>
      <w:sz w:val="16"/>
      <w:szCs w:val="16"/>
    </w:rPr>
  </w:style>
  <w:style w:type="paragraph" w:styleId="CommentText">
    <w:name w:val="annotation text"/>
    <w:basedOn w:val="Normal"/>
    <w:link w:val="CommentTextChar"/>
    <w:uiPriority w:val="99"/>
    <w:rsid w:val="00B43BAB"/>
    <w:rPr>
      <w:sz w:val="20"/>
      <w:szCs w:val="20"/>
    </w:rPr>
  </w:style>
  <w:style w:type="character" w:customStyle="1" w:styleId="CommentTextChar">
    <w:name w:val="Comment Text Char"/>
    <w:basedOn w:val="DefaultParagraphFont"/>
    <w:link w:val="CommentText"/>
    <w:uiPriority w:val="99"/>
    <w:rsid w:val="00B43BAB"/>
    <w:rPr>
      <w:rFonts w:asciiTheme="minorHAnsi" w:eastAsiaTheme="minorHAnsi" w:hAnsiTheme="minorHAnsi" w:cstheme="minorBidi"/>
      <w:lang w:val="en-AU" w:eastAsia="en-US"/>
    </w:rPr>
  </w:style>
  <w:style w:type="paragraph" w:styleId="CommentSubject">
    <w:name w:val="annotation subject"/>
    <w:basedOn w:val="CommentText"/>
    <w:next w:val="CommentText"/>
    <w:link w:val="CommentSubjectChar"/>
    <w:rsid w:val="00247EB3"/>
    <w:rPr>
      <w:b/>
      <w:bCs/>
    </w:rPr>
  </w:style>
  <w:style w:type="character" w:customStyle="1" w:styleId="CommentSubjectChar">
    <w:name w:val="Comment Subject Char"/>
    <w:basedOn w:val="CommentTextChar"/>
    <w:link w:val="CommentSubject"/>
    <w:rsid w:val="00247EB3"/>
    <w:rPr>
      <w:rFonts w:asciiTheme="minorHAnsi" w:eastAsiaTheme="minorHAnsi" w:hAnsiTheme="minorHAnsi" w:cstheme="minorBidi"/>
      <w:b/>
      <w:bCs/>
      <w:lang w:val="en-AU" w:eastAsia="en-US"/>
    </w:rPr>
  </w:style>
  <w:style w:type="character" w:styleId="UnresolvedMention">
    <w:name w:val="Unresolved Mention"/>
    <w:basedOn w:val="DefaultParagraphFont"/>
    <w:uiPriority w:val="99"/>
    <w:semiHidden/>
    <w:unhideWhenUsed/>
    <w:rsid w:val="00D134F6"/>
    <w:rPr>
      <w:color w:val="605E5C"/>
      <w:shd w:val="clear" w:color="auto" w:fill="E1DFDD"/>
    </w:rPr>
  </w:style>
  <w:style w:type="paragraph" w:customStyle="1" w:styleId="AppendixHeading1">
    <w:name w:val="Appendix Heading 1"/>
    <w:basedOn w:val="Heading1"/>
    <w:next w:val="BodyText"/>
    <w:uiPriority w:val="11"/>
    <w:qFormat/>
    <w:rsid w:val="008961C3"/>
    <w:pPr>
      <w:keepNext w:val="0"/>
      <w:pageBreakBefore/>
      <w:numPr>
        <w:numId w:val="19"/>
      </w:numPr>
      <w:tabs>
        <w:tab w:val="left" w:pos="2268"/>
      </w:tabs>
      <w:suppressAutoHyphens/>
      <w:spacing w:before="0" w:after="240" w:line="360" w:lineRule="atLeast"/>
      <w:contextualSpacing/>
    </w:pPr>
    <w:rPr>
      <w:rFonts w:eastAsia="Times New Roman"/>
      <w:b/>
      <w:kern w:val="0"/>
      <w:sz w:val="48"/>
      <w:szCs w:val="30"/>
      <w:lang w:eastAsia="en-AU"/>
    </w:rPr>
  </w:style>
  <w:style w:type="numbering" w:customStyle="1" w:styleId="AppendixHeadingmaster">
    <w:name w:val="Appendix Heading (master)"/>
    <w:uiPriority w:val="99"/>
    <w:rsid w:val="008961C3"/>
    <w:pPr>
      <w:numPr>
        <w:numId w:val="18"/>
      </w:numPr>
    </w:pPr>
  </w:style>
  <w:style w:type="paragraph" w:customStyle="1" w:styleId="AppendixHeading2">
    <w:name w:val="Appendix Heading 2"/>
    <w:basedOn w:val="AppendixHeading1"/>
    <w:next w:val="BodyText"/>
    <w:uiPriority w:val="11"/>
    <w:qFormat/>
    <w:rsid w:val="008961C3"/>
    <w:pPr>
      <w:keepNext/>
      <w:pageBreakBefore w:val="0"/>
      <w:numPr>
        <w:ilvl w:val="1"/>
      </w:numPr>
      <w:spacing w:before="300" w:after="0"/>
    </w:pPr>
    <w:rPr>
      <w:b w:val="0"/>
      <w:sz w:val="36"/>
    </w:rPr>
  </w:style>
  <w:style w:type="table" w:customStyle="1" w:styleId="CustomTablebreakoutbox">
    <w:name w:val="Custom Table (breakout box)"/>
    <w:basedOn w:val="TableNormal"/>
    <w:uiPriority w:val="99"/>
    <w:rsid w:val="008961C3"/>
    <w:rPr>
      <w:rFonts w:asciiTheme="minorHAnsi" w:eastAsiaTheme="minorHAnsi" w:hAnsiTheme="minorHAnsi" w:cstheme="minorBidi"/>
      <w:lang w:val="en-US" w:eastAsia="en-US"/>
    </w:rPr>
    <w:tblPr/>
    <w:tcPr>
      <w:shd w:val="clear" w:color="auto" w:fill="C5E0B3"/>
    </w:tcPr>
  </w:style>
  <w:style w:type="paragraph" w:styleId="Revision">
    <w:name w:val="Revision"/>
    <w:hidden/>
    <w:uiPriority w:val="99"/>
    <w:semiHidden/>
    <w:rsid w:val="00761ABA"/>
    <w:rPr>
      <w:rFonts w:ascii="Arial" w:eastAsiaTheme="minorHAnsi" w:hAnsi="Arial" w:cstheme="minorBidi"/>
      <w:sz w:val="22"/>
      <w:szCs w:val="24"/>
      <w:lang w:val="en-AU" w:eastAsia="en-US"/>
    </w:rPr>
  </w:style>
  <w:style w:type="paragraph" w:customStyle="1" w:styleId="xxmsonormal">
    <w:name w:val="x_xmsonormal"/>
    <w:basedOn w:val="Normal"/>
    <w:rsid w:val="007161AB"/>
    <w:rPr>
      <w:rFonts w:ascii="Calibri" w:hAnsi="Calibri" w:cs="Calibri"/>
      <w:szCs w:val="22"/>
      <w:lang w:eastAsia="en-AU"/>
    </w:rPr>
  </w:style>
  <w:style w:type="paragraph" w:customStyle="1" w:styleId="xxmsolistparagraph">
    <w:name w:val="x_xmsolistparagraph"/>
    <w:basedOn w:val="Normal"/>
    <w:rsid w:val="007161AB"/>
    <w:pPr>
      <w:spacing w:before="100" w:beforeAutospacing="1" w:after="100" w:afterAutospacing="1"/>
    </w:pPr>
    <w:rPr>
      <w:rFonts w:ascii="Calibri" w:hAnsi="Calibri" w:cs="Calibri"/>
      <w:szCs w:val="22"/>
      <w:lang w:eastAsia="en-AU"/>
    </w:rPr>
  </w:style>
  <w:style w:type="character" w:customStyle="1" w:styleId="charsectno">
    <w:name w:val="charsectno"/>
    <w:basedOn w:val="DefaultParagraphFont"/>
    <w:rsid w:val="00FB32EB"/>
  </w:style>
  <w:style w:type="character" w:customStyle="1" w:styleId="FooterChar">
    <w:name w:val="Footer Char"/>
    <w:basedOn w:val="DefaultParagraphFont"/>
    <w:link w:val="Footer"/>
    <w:uiPriority w:val="99"/>
    <w:rsid w:val="005B5F9C"/>
    <w:rPr>
      <w:rFonts w:ascii="Arial" w:eastAsiaTheme="minorHAnsi" w:hAnsi="Arial" w:cstheme="minorBidi"/>
      <w:sz w:val="22"/>
      <w:szCs w:val="24"/>
      <w:lang w:val="en-AU" w:eastAsia="en-US"/>
    </w:rPr>
  </w:style>
  <w:style w:type="paragraph" w:styleId="ListParagraph">
    <w:name w:val="List Paragraph"/>
    <w:basedOn w:val="Normal"/>
    <w:uiPriority w:val="34"/>
    <w:qFormat/>
    <w:rsid w:val="00200750"/>
    <w:pPr>
      <w:ind w:left="720"/>
      <w:contextualSpacing/>
    </w:pPr>
  </w:style>
  <w:style w:type="paragraph" w:customStyle="1" w:styleId="Casestudytitle">
    <w:name w:val="Case study title"/>
    <w:basedOn w:val="VEOHRCHeading2"/>
    <w:qFormat/>
    <w:rsid w:val="002865A4"/>
    <w:pPr>
      <w:spacing w:before="0" w:after="120" w:line="264" w:lineRule="auto"/>
    </w:pPr>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5761">
      <w:bodyDiv w:val="1"/>
      <w:marLeft w:val="0"/>
      <w:marRight w:val="0"/>
      <w:marTop w:val="0"/>
      <w:marBottom w:val="0"/>
      <w:divBdr>
        <w:top w:val="none" w:sz="0" w:space="0" w:color="auto"/>
        <w:left w:val="none" w:sz="0" w:space="0" w:color="auto"/>
        <w:bottom w:val="none" w:sz="0" w:space="0" w:color="auto"/>
        <w:right w:val="none" w:sz="0" w:space="0" w:color="auto"/>
      </w:divBdr>
    </w:div>
    <w:div w:id="136073560">
      <w:bodyDiv w:val="1"/>
      <w:marLeft w:val="0"/>
      <w:marRight w:val="0"/>
      <w:marTop w:val="0"/>
      <w:marBottom w:val="0"/>
      <w:divBdr>
        <w:top w:val="none" w:sz="0" w:space="0" w:color="auto"/>
        <w:left w:val="none" w:sz="0" w:space="0" w:color="auto"/>
        <w:bottom w:val="none" w:sz="0" w:space="0" w:color="auto"/>
        <w:right w:val="none" w:sz="0" w:space="0" w:color="auto"/>
      </w:divBdr>
    </w:div>
    <w:div w:id="298192056">
      <w:bodyDiv w:val="1"/>
      <w:marLeft w:val="0"/>
      <w:marRight w:val="0"/>
      <w:marTop w:val="0"/>
      <w:marBottom w:val="0"/>
      <w:divBdr>
        <w:top w:val="none" w:sz="0" w:space="0" w:color="auto"/>
        <w:left w:val="none" w:sz="0" w:space="0" w:color="auto"/>
        <w:bottom w:val="none" w:sz="0" w:space="0" w:color="auto"/>
        <w:right w:val="none" w:sz="0" w:space="0" w:color="auto"/>
      </w:divBdr>
    </w:div>
    <w:div w:id="320351828">
      <w:bodyDiv w:val="1"/>
      <w:marLeft w:val="0"/>
      <w:marRight w:val="0"/>
      <w:marTop w:val="0"/>
      <w:marBottom w:val="0"/>
      <w:divBdr>
        <w:top w:val="none" w:sz="0" w:space="0" w:color="auto"/>
        <w:left w:val="none" w:sz="0" w:space="0" w:color="auto"/>
        <w:bottom w:val="none" w:sz="0" w:space="0" w:color="auto"/>
        <w:right w:val="none" w:sz="0" w:space="0" w:color="auto"/>
      </w:divBdr>
    </w:div>
    <w:div w:id="627323551">
      <w:bodyDiv w:val="1"/>
      <w:marLeft w:val="0"/>
      <w:marRight w:val="0"/>
      <w:marTop w:val="0"/>
      <w:marBottom w:val="0"/>
      <w:divBdr>
        <w:top w:val="none" w:sz="0" w:space="0" w:color="auto"/>
        <w:left w:val="none" w:sz="0" w:space="0" w:color="auto"/>
        <w:bottom w:val="none" w:sz="0" w:space="0" w:color="auto"/>
        <w:right w:val="none" w:sz="0" w:space="0" w:color="auto"/>
      </w:divBdr>
    </w:div>
    <w:div w:id="970017230">
      <w:bodyDiv w:val="1"/>
      <w:marLeft w:val="0"/>
      <w:marRight w:val="0"/>
      <w:marTop w:val="0"/>
      <w:marBottom w:val="0"/>
      <w:divBdr>
        <w:top w:val="none" w:sz="0" w:space="0" w:color="auto"/>
        <w:left w:val="none" w:sz="0" w:space="0" w:color="auto"/>
        <w:bottom w:val="none" w:sz="0" w:space="0" w:color="auto"/>
        <w:right w:val="none" w:sz="0" w:space="0" w:color="auto"/>
      </w:divBdr>
    </w:div>
    <w:div w:id="1027679557">
      <w:bodyDiv w:val="1"/>
      <w:marLeft w:val="0"/>
      <w:marRight w:val="0"/>
      <w:marTop w:val="0"/>
      <w:marBottom w:val="0"/>
      <w:divBdr>
        <w:top w:val="none" w:sz="0" w:space="0" w:color="auto"/>
        <w:left w:val="none" w:sz="0" w:space="0" w:color="auto"/>
        <w:bottom w:val="none" w:sz="0" w:space="0" w:color="auto"/>
        <w:right w:val="none" w:sz="0" w:space="0" w:color="auto"/>
      </w:divBdr>
    </w:div>
    <w:div w:id="1222013165">
      <w:bodyDiv w:val="1"/>
      <w:marLeft w:val="0"/>
      <w:marRight w:val="0"/>
      <w:marTop w:val="0"/>
      <w:marBottom w:val="0"/>
      <w:divBdr>
        <w:top w:val="none" w:sz="0" w:space="0" w:color="auto"/>
        <w:left w:val="none" w:sz="0" w:space="0" w:color="auto"/>
        <w:bottom w:val="none" w:sz="0" w:space="0" w:color="auto"/>
        <w:right w:val="none" w:sz="0" w:space="0" w:color="auto"/>
      </w:divBdr>
    </w:div>
    <w:div w:id="1334062647">
      <w:bodyDiv w:val="1"/>
      <w:marLeft w:val="0"/>
      <w:marRight w:val="0"/>
      <w:marTop w:val="0"/>
      <w:marBottom w:val="0"/>
      <w:divBdr>
        <w:top w:val="none" w:sz="0" w:space="0" w:color="auto"/>
        <w:left w:val="none" w:sz="0" w:space="0" w:color="auto"/>
        <w:bottom w:val="none" w:sz="0" w:space="0" w:color="auto"/>
        <w:right w:val="none" w:sz="0" w:space="0" w:color="auto"/>
      </w:divBdr>
    </w:div>
    <w:div w:id="1342005027">
      <w:bodyDiv w:val="1"/>
      <w:marLeft w:val="0"/>
      <w:marRight w:val="0"/>
      <w:marTop w:val="0"/>
      <w:marBottom w:val="0"/>
      <w:divBdr>
        <w:top w:val="none" w:sz="0" w:space="0" w:color="auto"/>
        <w:left w:val="none" w:sz="0" w:space="0" w:color="auto"/>
        <w:bottom w:val="none" w:sz="0" w:space="0" w:color="auto"/>
        <w:right w:val="none" w:sz="0" w:space="0" w:color="auto"/>
      </w:divBdr>
    </w:div>
    <w:div w:id="1392999654">
      <w:bodyDiv w:val="1"/>
      <w:marLeft w:val="0"/>
      <w:marRight w:val="0"/>
      <w:marTop w:val="0"/>
      <w:marBottom w:val="0"/>
      <w:divBdr>
        <w:top w:val="none" w:sz="0" w:space="0" w:color="auto"/>
        <w:left w:val="none" w:sz="0" w:space="0" w:color="auto"/>
        <w:bottom w:val="none" w:sz="0" w:space="0" w:color="auto"/>
        <w:right w:val="none" w:sz="0" w:space="0" w:color="auto"/>
      </w:divBdr>
    </w:div>
    <w:div w:id="1449619111">
      <w:bodyDiv w:val="1"/>
      <w:marLeft w:val="0"/>
      <w:marRight w:val="0"/>
      <w:marTop w:val="0"/>
      <w:marBottom w:val="0"/>
      <w:divBdr>
        <w:top w:val="none" w:sz="0" w:space="0" w:color="auto"/>
        <w:left w:val="none" w:sz="0" w:space="0" w:color="auto"/>
        <w:bottom w:val="none" w:sz="0" w:space="0" w:color="auto"/>
        <w:right w:val="none" w:sz="0" w:space="0" w:color="auto"/>
      </w:divBdr>
    </w:div>
    <w:div w:id="1482890469">
      <w:bodyDiv w:val="1"/>
      <w:marLeft w:val="0"/>
      <w:marRight w:val="0"/>
      <w:marTop w:val="0"/>
      <w:marBottom w:val="0"/>
      <w:divBdr>
        <w:top w:val="none" w:sz="0" w:space="0" w:color="auto"/>
        <w:left w:val="none" w:sz="0" w:space="0" w:color="auto"/>
        <w:bottom w:val="none" w:sz="0" w:space="0" w:color="auto"/>
        <w:right w:val="none" w:sz="0" w:space="0" w:color="auto"/>
      </w:divBdr>
    </w:div>
    <w:div w:id="1527056781">
      <w:bodyDiv w:val="1"/>
      <w:marLeft w:val="0"/>
      <w:marRight w:val="0"/>
      <w:marTop w:val="0"/>
      <w:marBottom w:val="0"/>
      <w:divBdr>
        <w:top w:val="none" w:sz="0" w:space="0" w:color="auto"/>
        <w:left w:val="none" w:sz="0" w:space="0" w:color="auto"/>
        <w:bottom w:val="none" w:sz="0" w:space="0" w:color="auto"/>
        <w:right w:val="none" w:sz="0" w:space="0" w:color="auto"/>
      </w:divBdr>
    </w:div>
    <w:div w:id="1579707402">
      <w:bodyDiv w:val="1"/>
      <w:marLeft w:val="0"/>
      <w:marRight w:val="0"/>
      <w:marTop w:val="0"/>
      <w:marBottom w:val="0"/>
      <w:divBdr>
        <w:top w:val="none" w:sz="0" w:space="0" w:color="auto"/>
        <w:left w:val="none" w:sz="0" w:space="0" w:color="auto"/>
        <w:bottom w:val="none" w:sz="0" w:space="0" w:color="auto"/>
        <w:right w:val="none" w:sz="0" w:space="0" w:color="auto"/>
      </w:divBdr>
    </w:div>
    <w:div w:id="1680737392">
      <w:bodyDiv w:val="1"/>
      <w:marLeft w:val="0"/>
      <w:marRight w:val="0"/>
      <w:marTop w:val="0"/>
      <w:marBottom w:val="0"/>
      <w:divBdr>
        <w:top w:val="none" w:sz="0" w:space="0" w:color="auto"/>
        <w:left w:val="none" w:sz="0" w:space="0" w:color="auto"/>
        <w:bottom w:val="none" w:sz="0" w:space="0" w:color="auto"/>
        <w:right w:val="none" w:sz="0" w:space="0" w:color="auto"/>
      </w:divBdr>
    </w:div>
    <w:div w:id="206374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Consultation@ag.gov.a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www.austlii.edu.au/cgi-bin/viewdoc/au/cases/vic/VSCA/2014/75.html" TargetMode="External"/><Relationship Id="rId2" Type="http://schemas.openxmlformats.org/officeDocument/2006/relationships/hyperlink" Target="https://www.ag.gov.au/Consultations/Documents/religious-freedom-bills-second-draft/explanatory-notes-second-exposure-draft-religious-discrimination-bill-2019.pdf" TargetMode="External"/><Relationship Id="rId1" Type="http://schemas.openxmlformats.org/officeDocument/2006/relationships/hyperlink" Target="https://www.humanrightscommission.vic.gov.au/policy-submissions/item/1840-submission-on-the-draft-religious-discrimination-bill-oct-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63BA7-FA4F-4103-91D3-3464C942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5298</Words>
  <Characters>30199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KDFNL KFNASKLNFKASLFNSLK ASLFKNSFL LSKFNASFKLN</vt:lpstr>
    </vt:vector>
  </TitlesOfParts>
  <Company>Dept. of Justice Victoria</Company>
  <LinksUpToDate>false</LinksUpToDate>
  <CharactersWithSpaces>35427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KDFNL KFNASKLNFKASLFNSLK ASLFKNSFL LSKFNASFKLN</dc:title>
  <dc:subject/>
  <dc:creator>Simone Cusack (DJR)</dc:creator>
  <cp:keywords/>
  <dc:description/>
  <cp:lastModifiedBy>Miya Turnbull</cp:lastModifiedBy>
  <cp:revision>2</cp:revision>
  <cp:lastPrinted>2020-01-29T04:44:00Z</cp:lastPrinted>
  <dcterms:created xsi:type="dcterms:W3CDTF">2020-05-28T00:06:00Z</dcterms:created>
  <dcterms:modified xsi:type="dcterms:W3CDTF">2020-05-28T00:06:00Z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