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7C9" w:rsidRDefault="00D877C9">
      <w:pPr>
        <w:pStyle w:val="TitlePage1"/>
      </w:pPr>
      <w:bookmarkStart w:id="0" w:name="_GoBack"/>
      <w:bookmarkEnd w:id="0"/>
      <w:r>
        <w:t>VICTORIAN CIVIL AND ADMINISTRATIVE TRIBUNAL</w:t>
      </w:r>
    </w:p>
    <w:p w:rsidR="00D877C9" w:rsidRDefault="005737B9">
      <w:pPr>
        <w:pStyle w:val="TitlePage1"/>
      </w:pPr>
      <w:bookmarkStart w:id="1" w:name="Division"/>
      <w:bookmarkEnd w:id="1"/>
      <w:r>
        <w:t xml:space="preserve">HUMAN RIGHTS </w:t>
      </w:r>
      <w:r w:rsidR="00D877C9">
        <w:t>DIVISION</w:t>
      </w:r>
    </w:p>
    <w:tbl>
      <w:tblPr>
        <w:tblW w:w="5000" w:type="pct"/>
        <w:tblLook w:val="0000" w:firstRow="0" w:lastRow="0" w:firstColumn="0" w:lastColumn="0" w:noHBand="0" w:noVBand="0"/>
      </w:tblPr>
      <w:tblGrid>
        <w:gridCol w:w="4429"/>
        <w:gridCol w:w="4292"/>
      </w:tblGrid>
      <w:tr w:rsidR="00D877C9">
        <w:tblPrEx>
          <w:tblCellMar>
            <w:top w:w="0" w:type="dxa"/>
            <w:bottom w:w="0" w:type="dxa"/>
          </w:tblCellMar>
        </w:tblPrEx>
        <w:trPr>
          <w:cantSplit/>
        </w:trPr>
        <w:tc>
          <w:tcPr>
            <w:tcW w:w="2539" w:type="pct"/>
          </w:tcPr>
          <w:p w:rsidR="00D877C9" w:rsidRDefault="005737B9">
            <w:pPr>
              <w:pStyle w:val="TitlePage2"/>
            </w:pPr>
            <w:bookmarkStart w:id="2" w:name="SubDivision"/>
            <w:bookmarkEnd w:id="2"/>
            <w:r>
              <w:t xml:space="preserve">HUMAN RIGHTS </w:t>
            </w:r>
            <w:r w:rsidR="00D877C9">
              <w:t>LIST</w:t>
            </w:r>
          </w:p>
        </w:tc>
        <w:tc>
          <w:tcPr>
            <w:tcW w:w="2461" w:type="pct"/>
          </w:tcPr>
          <w:p w:rsidR="00D877C9" w:rsidRDefault="00D877C9">
            <w:pPr>
              <w:pStyle w:val="TitlePage3"/>
            </w:pPr>
            <w:bookmarkStart w:id="3" w:name="FileNo1"/>
            <w:bookmarkEnd w:id="3"/>
          </w:p>
          <w:p w:rsidR="00D877C9" w:rsidRDefault="00D877C9">
            <w:pPr>
              <w:pStyle w:val="TitlePage3"/>
            </w:pPr>
            <w:r>
              <w:t>vcat reference No.</w:t>
            </w:r>
            <w:r w:rsidR="005737B9">
              <w:t>H164/2014</w:t>
            </w:r>
          </w:p>
        </w:tc>
      </w:tr>
      <w:tr w:rsidR="00D877C9">
        <w:tblPrEx>
          <w:jc w:val="center"/>
          <w:tblCellMar>
            <w:top w:w="0" w:type="dxa"/>
            <w:bottom w:w="0" w:type="dxa"/>
          </w:tblCellMar>
        </w:tblPrEx>
        <w:trPr>
          <w:cantSplit/>
          <w:jc w:val="center"/>
        </w:trPr>
        <w:tc>
          <w:tcPr>
            <w:tcW w:w="5000" w:type="pct"/>
            <w:gridSpan w:val="2"/>
          </w:tcPr>
          <w:p w:rsidR="00D877C9" w:rsidRDefault="00D877C9">
            <w:pPr>
              <w:pStyle w:val="TitlePage2"/>
              <w:jc w:val="center"/>
            </w:pPr>
            <w:r>
              <w:t>CATCHWORDS</w:t>
            </w:r>
          </w:p>
        </w:tc>
      </w:tr>
      <w:tr w:rsidR="00D877C9">
        <w:tblPrEx>
          <w:jc w:val="center"/>
          <w:tblCellMar>
            <w:top w:w="0" w:type="dxa"/>
            <w:bottom w:w="0" w:type="dxa"/>
          </w:tblCellMar>
        </w:tblPrEx>
        <w:trPr>
          <w:cantSplit/>
          <w:jc w:val="center"/>
        </w:trPr>
        <w:tc>
          <w:tcPr>
            <w:tcW w:w="5000" w:type="pct"/>
            <w:gridSpan w:val="2"/>
          </w:tcPr>
          <w:p w:rsidR="00D877C9" w:rsidRDefault="005737B9" w:rsidP="00554662">
            <w:pPr>
              <w:pStyle w:val="Catchwords"/>
              <w:rPr>
                <w:color w:val="000000"/>
              </w:rPr>
            </w:pPr>
            <w:r w:rsidRPr="00EF3726">
              <w:rPr>
                <w:i/>
                <w:color w:val="000000"/>
              </w:rPr>
              <w:t>Equal Opportunity Act 2010</w:t>
            </w:r>
            <w:r>
              <w:rPr>
                <w:color w:val="000000"/>
              </w:rPr>
              <w:t xml:space="preserve"> (Vic)</w:t>
            </w:r>
            <w:r w:rsidR="00EF3726">
              <w:rPr>
                <w:color w:val="000000"/>
              </w:rPr>
              <w:t>,</w:t>
            </w:r>
            <w:r>
              <w:rPr>
                <w:color w:val="000000"/>
              </w:rPr>
              <w:t xml:space="preserve"> sections 3, </w:t>
            </w:r>
            <w:r w:rsidR="00E77306">
              <w:rPr>
                <w:color w:val="000000"/>
              </w:rPr>
              <w:t>8,</w:t>
            </w:r>
            <w:r>
              <w:rPr>
                <w:color w:val="000000"/>
              </w:rPr>
              <w:t xml:space="preserve"> </w:t>
            </w:r>
            <w:r w:rsidR="00720741">
              <w:rPr>
                <w:color w:val="000000"/>
              </w:rPr>
              <w:t xml:space="preserve">44, </w:t>
            </w:r>
            <w:r w:rsidR="00AF7475">
              <w:rPr>
                <w:color w:val="000000"/>
              </w:rPr>
              <w:t xml:space="preserve">75, </w:t>
            </w:r>
            <w:r>
              <w:rPr>
                <w:color w:val="000000"/>
              </w:rPr>
              <w:t xml:space="preserve">99 </w:t>
            </w:r>
            <w:r w:rsidR="00720741">
              <w:rPr>
                <w:color w:val="000000"/>
              </w:rPr>
              <w:t xml:space="preserve">103 </w:t>
            </w:r>
            <w:r w:rsidR="00E77306">
              <w:rPr>
                <w:color w:val="000000"/>
              </w:rPr>
              <w:t>and 10</w:t>
            </w:r>
            <w:r w:rsidR="00720741">
              <w:rPr>
                <w:color w:val="000000"/>
              </w:rPr>
              <w:t>4</w:t>
            </w:r>
            <w:r w:rsidR="00E65D2C">
              <w:rPr>
                <w:color w:val="000000"/>
              </w:rPr>
              <w:t xml:space="preserve"> </w:t>
            </w:r>
            <w:r>
              <w:rPr>
                <w:color w:val="000000"/>
              </w:rPr>
              <w:t>– claims of discrimination</w:t>
            </w:r>
            <w:r w:rsidR="00720741">
              <w:rPr>
                <w:color w:val="000000"/>
              </w:rPr>
              <w:t xml:space="preserve"> on the basis of race and physical features – claims of </w:t>
            </w:r>
            <w:r>
              <w:rPr>
                <w:color w:val="000000"/>
              </w:rPr>
              <w:t xml:space="preserve">sexual harassment </w:t>
            </w:r>
            <w:r w:rsidR="00E77306">
              <w:rPr>
                <w:color w:val="000000"/>
              </w:rPr>
              <w:t xml:space="preserve">and victimisation </w:t>
            </w:r>
            <w:r>
              <w:rPr>
                <w:color w:val="000000"/>
              </w:rPr>
              <w:t>by police officers – whether police providing services –</w:t>
            </w:r>
            <w:r w:rsidR="00720741">
              <w:rPr>
                <w:i/>
                <w:color w:val="000000"/>
              </w:rPr>
              <w:t xml:space="preserve">Racial and Religious Tolerance Act 2001 </w:t>
            </w:r>
            <w:r w:rsidR="00720741">
              <w:rPr>
                <w:color w:val="000000"/>
              </w:rPr>
              <w:t>(Vic), sections 7 and 11</w:t>
            </w:r>
            <w:r w:rsidR="00E65D2C">
              <w:rPr>
                <w:color w:val="000000"/>
              </w:rPr>
              <w:t xml:space="preserve"> </w:t>
            </w:r>
            <w:r w:rsidR="00EF3726">
              <w:rPr>
                <w:color w:val="000000"/>
              </w:rPr>
              <w:t xml:space="preserve">claims of racial vilification – </w:t>
            </w:r>
            <w:r w:rsidR="00554662" w:rsidRPr="005D18C3">
              <w:rPr>
                <w:i/>
                <w:color w:val="000000"/>
              </w:rPr>
              <w:t>Charter of Human Rights and Responsibilities Act 2006</w:t>
            </w:r>
            <w:r w:rsidR="00554662">
              <w:rPr>
                <w:color w:val="000000"/>
              </w:rPr>
              <w:t xml:space="preserve"> (Vic), sections 8, 12, 15 and 39 – claims of breaches of rights to freedom of expression and freedom of movement – right to </w:t>
            </w:r>
            <w:r w:rsidR="00554662">
              <w:t xml:space="preserve">recognition and equality before the law </w:t>
            </w:r>
            <w:r w:rsidR="00554662">
              <w:rPr>
                <w:color w:val="000000"/>
              </w:rPr>
              <w:t>–</w:t>
            </w:r>
            <w:r w:rsidR="00554662">
              <w:rPr>
                <w:i/>
                <w:color w:val="000000"/>
              </w:rPr>
              <w:t xml:space="preserve"> </w:t>
            </w:r>
            <w:r>
              <w:rPr>
                <w:color w:val="000000"/>
              </w:rPr>
              <w:t xml:space="preserve">application for proceedings to be summarily dismissed or struck out under section 75 of the </w:t>
            </w:r>
            <w:r w:rsidRPr="00962C2F">
              <w:rPr>
                <w:i/>
                <w:color w:val="000000"/>
              </w:rPr>
              <w:t>Victorian Civil and Administrative Tribunal Act 1998</w:t>
            </w:r>
            <w:r>
              <w:rPr>
                <w:color w:val="000000"/>
              </w:rPr>
              <w:t xml:space="preserve"> (Vic) – whether proceedings misconceived, lacking in substance </w:t>
            </w:r>
            <w:r w:rsidR="00E77306">
              <w:rPr>
                <w:color w:val="000000"/>
              </w:rPr>
              <w:t>or an abuse of process</w:t>
            </w:r>
            <w:r w:rsidR="00E65D2C">
              <w:rPr>
                <w:color w:val="000000"/>
              </w:rPr>
              <w:t>.</w:t>
            </w:r>
          </w:p>
        </w:tc>
      </w:tr>
    </w:tbl>
    <w:p w:rsidR="00D877C9" w:rsidRDefault="00D877C9">
      <w:bookmarkStart w:id="4" w:name="Catchwords"/>
      <w:bookmarkEnd w:id="4"/>
    </w:p>
    <w:tbl>
      <w:tblPr>
        <w:tblW w:w="5000" w:type="pct"/>
        <w:tblLook w:val="0000" w:firstRow="0" w:lastRow="0" w:firstColumn="0" w:lastColumn="0" w:noHBand="0" w:noVBand="0"/>
      </w:tblPr>
      <w:tblGrid>
        <w:gridCol w:w="3529"/>
        <w:gridCol w:w="5192"/>
      </w:tblGrid>
      <w:tr w:rsidR="00D877C9">
        <w:tblPrEx>
          <w:tblCellMar>
            <w:top w:w="0" w:type="dxa"/>
            <w:bottom w:w="0" w:type="dxa"/>
          </w:tblCellMar>
        </w:tblPrEx>
        <w:tc>
          <w:tcPr>
            <w:tcW w:w="2023" w:type="pct"/>
          </w:tcPr>
          <w:p w:rsidR="00D877C9" w:rsidRDefault="00D877C9">
            <w:pPr>
              <w:pStyle w:val="TitlePage2"/>
            </w:pPr>
            <w:bookmarkStart w:id="5" w:name="DELcomplainants2"/>
            <w:bookmarkStart w:id="6" w:name="DELapp"/>
            <w:bookmarkStart w:id="7" w:name="DELitmo"/>
            <w:bookmarkStart w:id="8" w:name="DELcar"/>
            <w:r>
              <w:t>APPLICANT</w:t>
            </w:r>
          </w:p>
        </w:tc>
        <w:tc>
          <w:tcPr>
            <w:tcW w:w="2977" w:type="pct"/>
          </w:tcPr>
          <w:p w:rsidR="00D877C9" w:rsidRDefault="00E77306">
            <w:pPr>
              <w:pStyle w:val="TitlePagetext"/>
            </w:pPr>
            <w:bookmarkStart w:id="9" w:name="Applicant"/>
            <w:bookmarkEnd w:id="9"/>
            <w:r>
              <w:t>Hamadou Djime</w:t>
            </w:r>
          </w:p>
        </w:tc>
      </w:tr>
      <w:tr w:rsidR="00D877C9">
        <w:tblPrEx>
          <w:tblCellMar>
            <w:top w:w="0" w:type="dxa"/>
            <w:bottom w:w="0" w:type="dxa"/>
          </w:tblCellMar>
        </w:tblPrEx>
        <w:tc>
          <w:tcPr>
            <w:tcW w:w="2023" w:type="pct"/>
          </w:tcPr>
          <w:p w:rsidR="00D877C9" w:rsidRDefault="00E77306">
            <w:pPr>
              <w:pStyle w:val="TitlePage2"/>
            </w:pPr>
            <w:bookmarkStart w:id="10" w:name="DELrespondents2"/>
            <w:bookmarkEnd w:id="5"/>
            <w:bookmarkEnd w:id="6"/>
            <w:r>
              <w:t xml:space="preserve">FIRST </w:t>
            </w:r>
            <w:r w:rsidR="00D877C9">
              <w:t>RESPONDENT</w:t>
            </w:r>
          </w:p>
        </w:tc>
        <w:tc>
          <w:tcPr>
            <w:tcW w:w="2977" w:type="pct"/>
          </w:tcPr>
          <w:p w:rsidR="00D877C9" w:rsidRDefault="00E77306">
            <w:pPr>
              <w:pStyle w:val="TitlePagetext"/>
            </w:pPr>
            <w:bookmarkStart w:id="11" w:name="Respondent"/>
            <w:bookmarkEnd w:id="11"/>
            <w:r w:rsidRPr="000954BF">
              <w:rPr>
                <w:noProof/>
                <w:color w:val="000000"/>
                <w:szCs w:val="24"/>
              </w:rPr>
              <w:t>Sergeant Micheal Kearnes</w:t>
            </w:r>
          </w:p>
        </w:tc>
      </w:tr>
      <w:tr w:rsidR="00E77306">
        <w:tblPrEx>
          <w:tblCellMar>
            <w:top w:w="0" w:type="dxa"/>
            <w:bottom w:w="0" w:type="dxa"/>
          </w:tblCellMar>
        </w:tblPrEx>
        <w:tc>
          <w:tcPr>
            <w:tcW w:w="2023" w:type="pct"/>
          </w:tcPr>
          <w:p w:rsidR="00E77306" w:rsidRDefault="00E77306">
            <w:pPr>
              <w:pStyle w:val="TitlePage2"/>
            </w:pPr>
            <w:r>
              <w:t>SECOND RESPONDENT</w:t>
            </w:r>
          </w:p>
        </w:tc>
        <w:tc>
          <w:tcPr>
            <w:tcW w:w="2977" w:type="pct"/>
          </w:tcPr>
          <w:p w:rsidR="00E77306" w:rsidRDefault="00E77306">
            <w:pPr>
              <w:pStyle w:val="TitlePagetext"/>
            </w:pPr>
            <w:r>
              <w:rPr>
                <w:noProof/>
                <w:color w:val="000000"/>
                <w:szCs w:val="24"/>
              </w:rPr>
              <w:t>Con</w:t>
            </w:r>
            <w:r w:rsidRPr="000954BF">
              <w:rPr>
                <w:noProof/>
                <w:color w:val="000000"/>
                <w:szCs w:val="24"/>
              </w:rPr>
              <w:t>stable Matthiew Le</w:t>
            </w:r>
          </w:p>
        </w:tc>
      </w:tr>
      <w:tr w:rsidR="00E77306">
        <w:tblPrEx>
          <w:tblCellMar>
            <w:top w:w="0" w:type="dxa"/>
            <w:bottom w:w="0" w:type="dxa"/>
          </w:tblCellMar>
        </w:tblPrEx>
        <w:tc>
          <w:tcPr>
            <w:tcW w:w="2023" w:type="pct"/>
          </w:tcPr>
          <w:p w:rsidR="00E77306" w:rsidRDefault="00E77306">
            <w:pPr>
              <w:pStyle w:val="TitlePage2"/>
            </w:pPr>
            <w:r>
              <w:t>THIRD RESPONDENT</w:t>
            </w:r>
          </w:p>
        </w:tc>
        <w:tc>
          <w:tcPr>
            <w:tcW w:w="2977" w:type="pct"/>
          </w:tcPr>
          <w:p w:rsidR="00E77306" w:rsidRDefault="00E77306">
            <w:pPr>
              <w:pStyle w:val="TitlePagetext"/>
            </w:pPr>
            <w:r w:rsidRPr="000954BF">
              <w:rPr>
                <w:noProof/>
                <w:color w:val="000000"/>
                <w:szCs w:val="24"/>
              </w:rPr>
              <w:t>Senior Constable Cailley Wilson</w:t>
            </w:r>
          </w:p>
        </w:tc>
      </w:tr>
      <w:tr w:rsidR="00E77306">
        <w:tblPrEx>
          <w:tblCellMar>
            <w:top w:w="0" w:type="dxa"/>
            <w:bottom w:w="0" w:type="dxa"/>
          </w:tblCellMar>
        </w:tblPrEx>
        <w:tc>
          <w:tcPr>
            <w:tcW w:w="2023" w:type="pct"/>
          </w:tcPr>
          <w:p w:rsidR="00E77306" w:rsidRDefault="00E77306">
            <w:pPr>
              <w:pStyle w:val="TitlePage2"/>
            </w:pPr>
            <w:r>
              <w:t>FOURTH RESPONDENT</w:t>
            </w:r>
          </w:p>
        </w:tc>
        <w:tc>
          <w:tcPr>
            <w:tcW w:w="2977" w:type="pct"/>
          </w:tcPr>
          <w:p w:rsidR="00E77306" w:rsidRDefault="008F0A53">
            <w:pPr>
              <w:pStyle w:val="TitlePagetext"/>
            </w:pPr>
            <w:r>
              <w:rPr>
                <w:noProof/>
                <w:color w:val="000000"/>
                <w:szCs w:val="24"/>
              </w:rPr>
              <w:t xml:space="preserve">Senior </w:t>
            </w:r>
            <w:r w:rsidR="00E77306" w:rsidRPr="000954BF">
              <w:rPr>
                <w:noProof/>
                <w:color w:val="000000"/>
                <w:szCs w:val="24"/>
              </w:rPr>
              <w:t xml:space="preserve">Constable </w:t>
            </w:r>
            <w:r w:rsidR="00B4473B">
              <w:rPr>
                <w:noProof/>
                <w:color w:val="000000"/>
                <w:szCs w:val="24"/>
              </w:rPr>
              <w:t xml:space="preserve">Fleur </w:t>
            </w:r>
            <w:r>
              <w:rPr>
                <w:noProof/>
                <w:color w:val="000000"/>
                <w:szCs w:val="24"/>
              </w:rPr>
              <w:t>v</w:t>
            </w:r>
            <w:r w:rsidR="00E77306" w:rsidRPr="000954BF">
              <w:rPr>
                <w:noProof/>
                <w:color w:val="000000"/>
                <w:szCs w:val="24"/>
              </w:rPr>
              <w:t xml:space="preserve">an </w:t>
            </w:r>
            <w:r>
              <w:rPr>
                <w:noProof/>
                <w:color w:val="000000"/>
                <w:szCs w:val="24"/>
              </w:rPr>
              <w:t>d</w:t>
            </w:r>
            <w:r w:rsidR="00E77306" w:rsidRPr="000954BF">
              <w:rPr>
                <w:noProof/>
                <w:color w:val="000000"/>
                <w:szCs w:val="24"/>
              </w:rPr>
              <w:t>er Sluis</w:t>
            </w:r>
          </w:p>
        </w:tc>
      </w:tr>
      <w:tr w:rsidR="00E77306">
        <w:tblPrEx>
          <w:tblCellMar>
            <w:top w:w="0" w:type="dxa"/>
            <w:bottom w:w="0" w:type="dxa"/>
          </w:tblCellMar>
        </w:tblPrEx>
        <w:tc>
          <w:tcPr>
            <w:tcW w:w="2023" w:type="pct"/>
          </w:tcPr>
          <w:p w:rsidR="00E77306" w:rsidRDefault="00E77306">
            <w:pPr>
              <w:pStyle w:val="TitlePage2"/>
            </w:pPr>
            <w:r>
              <w:t>FIFTH RESPONDENT</w:t>
            </w:r>
          </w:p>
        </w:tc>
        <w:tc>
          <w:tcPr>
            <w:tcW w:w="2977" w:type="pct"/>
          </w:tcPr>
          <w:p w:rsidR="00E77306" w:rsidRDefault="00E77306">
            <w:pPr>
              <w:pStyle w:val="TitlePagetext"/>
            </w:pPr>
            <w:r w:rsidRPr="000954BF">
              <w:rPr>
                <w:noProof/>
                <w:color w:val="000000"/>
                <w:szCs w:val="24"/>
              </w:rPr>
              <w:t xml:space="preserve">State of </w:t>
            </w:r>
            <w:smartTag w:uri="urn:schemas-microsoft-com:office:smarttags" w:element="State">
              <w:smartTag w:uri="urn:schemas-microsoft-com:office:smarttags" w:element="place">
                <w:r w:rsidRPr="000954BF">
                  <w:rPr>
                    <w:noProof/>
                    <w:color w:val="000000"/>
                    <w:szCs w:val="24"/>
                  </w:rPr>
                  <w:t>Victoria</w:t>
                </w:r>
              </w:smartTag>
            </w:smartTag>
            <w:r w:rsidRPr="000954BF">
              <w:rPr>
                <w:noProof/>
                <w:color w:val="000000"/>
                <w:szCs w:val="24"/>
              </w:rPr>
              <w:t xml:space="preserve"> (Victoria Police)</w:t>
            </w:r>
          </w:p>
        </w:tc>
      </w:tr>
      <w:tr w:rsidR="00480E6F">
        <w:tblPrEx>
          <w:tblCellMar>
            <w:top w:w="0" w:type="dxa"/>
            <w:bottom w:w="0" w:type="dxa"/>
          </w:tblCellMar>
        </w:tblPrEx>
        <w:tc>
          <w:tcPr>
            <w:tcW w:w="2023" w:type="pct"/>
          </w:tcPr>
          <w:p w:rsidR="00480E6F" w:rsidRDefault="00480E6F">
            <w:pPr>
              <w:pStyle w:val="TitlePage2"/>
            </w:pPr>
            <w:r>
              <w:t>Amicus curiae</w:t>
            </w:r>
          </w:p>
        </w:tc>
        <w:tc>
          <w:tcPr>
            <w:tcW w:w="2977" w:type="pct"/>
          </w:tcPr>
          <w:p w:rsidR="00480E6F" w:rsidRPr="000954BF" w:rsidRDefault="00480E6F">
            <w:pPr>
              <w:pStyle w:val="TitlePagetext"/>
              <w:rPr>
                <w:noProof/>
                <w:color w:val="000000"/>
                <w:szCs w:val="24"/>
              </w:rPr>
            </w:pPr>
            <w:r>
              <w:rPr>
                <w:noProof/>
                <w:color w:val="000000"/>
                <w:szCs w:val="24"/>
              </w:rPr>
              <w:t xml:space="preserve">Victoria Equal </w:t>
            </w:r>
            <w:smartTag w:uri="urn:schemas-microsoft-com:office:smarttags" w:element="place">
              <w:r>
                <w:rPr>
                  <w:noProof/>
                  <w:color w:val="000000"/>
                  <w:szCs w:val="24"/>
                </w:rPr>
                <w:t>Opportunity</w:t>
              </w:r>
            </w:smartTag>
            <w:r>
              <w:rPr>
                <w:noProof/>
                <w:color w:val="000000"/>
                <w:szCs w:val="24"/>
              </w:rPr>
              <w:t xml:space="preserve"> and Human Rights Commission</w:t>
            </w:r>
          </w:p>
        </w:tc>
      </w:tr>
      <w:tr w:rsidR="00D877C9">
        <w:tblPrEx>
          <w:tblCellMar>
            <w:top w:w="0" w:type="dxa"/>
            <w:bottom w:w="0" w:type="dxa"/>
          </w:tblCellMar>
        </w:tblPrEx>
        <w:tc>
          <w:tcPr>
            <w:tcW w:w="2023" w:type="pct"/>
          </w:tcPr>
          <w:p w:rsidR="00D877C9" w:rsidRDefault="00D877C9">
            <w:pPr>
              <w:pStyle w:val="TitlePage2"/>
            </w:pPr>
            <w:bookmarkStart w:id="12" w:name="INSresponsibleAuthority"/>
            <w:bookmarkEnd w:id="7"/>
            <w:bookmarkEnd w:id="8"/>
            <w:bookmarkEnd w:id="10"/>
            <w:bookmarkEnd w:id="12"/>
            <w:r>
              <w:t>WHERE HELD</w:t>
            </w:r>
          </w:p>
        </w:tc>
        <w:tc>
          <w:tcPr>
            <w:tcW w:w="2977" w:type="pct"/>
          </w:tcPr>
          <w:p w:rsidR="00D877C9" w:rsidRDefault="00D877C9">
            <w:pPr>
              <w:pStyle w:val="TitlePagetext"/>
            </w:pPr>
            <w:bookmarkStart w:id="13" w:name="Location"/>
            <w:bookmarkEnd w:id="13"/>
            <w:smartTag w:uri="urn:schemas-microsoft-com:office:smarttags" w:element="PlaceType">
              <w:smartTag w:uri="urn:schemas-microsoft-com:office:smarttags" w:element="PlaceName">
                <w:smartTag w:uri="urn:schemas-microsoft-com:office:smarttags" w:element="place">
                  <w:smartTag w:uri="urn:schemas-microsoft-com:office:smarttags" w:element="City">
                    <w:r>
                      <w:t>Melbourne</w:t>
                    </w:r>
                  </w:smartTag>
                </w:smartTag>
              </w:smartTag>
            </w:smartTag>
          </w:p>
        </w:tc>
      </w:tr>
      <w:tr w:rsidR="00D877C9">
        <w:tblPrEx>
          <w:tblCellMar>
            <w:top w:w="0" w:type="dxa"/>
            <w:bottom w:w="0" w:type="dxa"/>
          </w:tblCellMar>
        </w:tblPrEx>
        <w:tc>
          <w:tcPr>
            <w:tcW w:w="2023" w:type="pct"/>
          </w:tcPr>
          <w:p w:rsidR="00D877C9" w:rsidRDefault="00D877C9">
            <w:pPr>
              <w:pStyle w:val="TitlePage2"/>
            </w:pPr>
            <w:r>
              <w:t>BEFORE</w:t>
            </w:r>
          </w:p>
        </w:tc>
        <w:tc>
          <w:tcPr>
            <w:tcW w:w="2977" w:type="pct"/>
          </w:tcPr>
          <w:p w:rsidR="00D877C9" w:rsidRDefault="00E77306">
            <w:pPr>
              <w:pStyle w:val="TitlePagetext"/>
            </w:pPr>
            <w:bookmarkStart w:id="14" w:name="Before"/>
            <w:bookmarkEnd w:id="14"/>
            <w:r>
              <w:t>A Dea</w:t>
            </w:r>
            <w:r w:rsidR="00D877C9">
              <w:t>, Member</w:t>
            </w:r>
          </w:p>
        </w:tc>
      </w:tr>
      <w:tr w:rsidR="00D877C9">
        <w:tblPrEx>
          <w:tblCellMar>
            <w:top w:w="0" w:type="dxa"/>
            <w:bottom w:w="0" w:type="dxa"/>
          </w:tblCellMar>
        </w:tblPrEx>
        <w:tc>
          <w:tcPr>
            <w:tcW w:w="2023" w:type="pct"/>
          </w:tcPr>
          <w:p w:rsidR="00D877C9" w:rsidRDefault="00D877C9">
            <w:pPr>
              <w:pStyle w:val="TitlePage2"/>
            </w:pPr>
            <w:r>
              <w:t>HEARING TYPE</w:t>
            </w:r>
          </w:p>
        </w:tc>
        <w:tc>
          <w:tcPr>
            <w:tcW w:w="2977" w:type="pct"/>
          </w:tcPr>
          <w:p w:rsidR="00D877C9" w:rsidRDefault="00E77306">
            <w:pPr>
              <w:pStyle w:val="TitlePagetext"/>
            </w:pPr>
            <w:bookmarkStart w:id="15" w:name="HearingType"/>
            <w:bookmarkEnd w:id="15"/>
            <w:r>
              <w:rPr>
                <w:szCs w:val="24"/>
              </w:rPr>
              <w:t>S</w:t>
            </w:r>
            <w:r w:rsidR="0044619D">
              <w:rPr>
                <w:szCs w:val="24"/>
              </w:rPr>
              <w:t xml:space="preserve">ection 75 </w:t>
            </w:r>
            <w:r w:rsidR="00A70B4B">
              <w:rPr>
                <w:szCs w:val="24"/>
              </w:rPr>
              <w:t>application</w:t>
            </w:r>
          </w:p>
        </w:tc>
      </w:tr>
      <w:tr w:rsidR="00D877C9">
        <w:tblPrEx>
          <w:tblCellMar>
            <w:top w:w="0" w:type="dxa"/>
            <w:bottom w:w="0" w:type="dxa"/>
          </w:tblCellMar>
        </w:tblPrEx>
        <w:tc>
          <w:tcPr>
            <w:tcW w:w="2023" w:type="pct"/>
          </w:tcPr>
          <w:p w:rsidR="00D877C9" w:rsidRDefault="00D877C9">
            <w:pPr>
              <w:pStyle w:val="TitlePage2"/>
            </w:pPr>
            <w:r>
              <w:t>DATE OF HEARING</w:t>
            </w:r>
          </w:p>
        </w:tc>
        <w:tc>
          <w:tcPr>
            <w:tcW w:w="2977" w:type="pct"/>
          </w:tcPr>
          <w:p w:rsidR="00D877C9" w:rsidRDefault="00A70B4B">
            <w:pPr>
              <w:pStyle w:val="TitlePagetext"/>
            </w:pPr>
            <w:bookmarkStart w:id="16" w:name="HearingDate"/>
            <w:bookmarkEnd w:id="16"/>
            <w:r>
              <w:t xml:space="preserve">10 and 11 March 2015 and </w:t>
            </w:r>
            <w:r w:rsidR="00E77306">
              <w:t>13 May 2015</w:t>
            </w:r>
          </w:p>
        </w:tc>
      </w:tr>
      <w:tr w:rsidR="00D877C9">
        <w:tblPrEx>
          <w:tblCellMar>
            <w:top w:w="0" w:type="dxa"/>
            <w:bottom w:w="0" w:type="dxa"/>
          </w:tblCellMar>
        </w:tblPrEx>
        <w:tc>
          <w:tcPr>
            <w:tcW w:w="2023" w:type="pct"/>
          </w:tcPr>
          <w:p w:rsidR="00D877C9" w:rsidRDefault="00D877C9">
            <w:pPr>
              <w:pStyle w:val="TitlePage2"/>
            </w:pPr>
            <w:r>
              <w:t>DATE OF ORDER</w:t>
            </w:r>
          </w:p>
        </w:tc>
        <w:tc>
          <w:tcPr>
            <w:tcW w:w="2977" w:type="pct"/>
          </w:tcPr>
          <w:p w:rsidR="00D877C9" w:rsidRDefault="005A001B">
            <w:pPr>
              <w:pStyle w:val="TitlePagetext"/>
            </w:pPr>
            <w:bookmarkStart w:id="17" w:name="DateOrder"/>
            <w:bookmarkEnd w:id="17"/>
            <w:r>
              <w:t>26 June 2015</w:t>
            </w:r>
          </w:p>
        </w:tc>
      </w:tr>
      <w:tr w:rsidR="00D877C9">
        <w:tblPrEx>
          <w:tblCellMar>
            <w:top w:w="0" w:type="dxa"/>
            <w:bottom w:w="0" w:type="dxa"/>
          </w:tblCellMar>
        </w:tblPrEx>
        <w:tc>
          <w:tcPr>
            <w:tcW w:w="2023" w:type="pct"/>
          </w:tcPr>
          <w:p w:rsidR="00D877C9" w:rsidRDefault="00D877C9">
            <w:pPr>
              <w:pStyle w:val="TitlePage2"/>
            </w:pPr>
            <w:r>
              <w:t>CITATION</w:t>
            </w:r>
          </w:p>
        </w:tc>
        <w:tc>
          <w:tcPr>
            <w:tcW w:w="2977" w:type="pct"/>
          </w:tcPr>
          <w:p w:rsidR="00D877C9" w:rsidRPr="00CA0296" w:rsidRDefault="00CA0296">
            <w:pPr>
              <w:pStyle w:val="TitlePagetext"/>
            </w:pPr>
            <w:r w:rsidRPr="00CA0296">
              <w:t>Djime v Kearnes (Human Rights) [2015] VCAT 941</w:t>
            </w:r>
          </w:p>
        </w:tc>
      </w:tr>
    </w:tbl>
    <w:p w:rsidR="00D877C9" w:rsidRDefault="00D877C9">
      <w:pPr>
        <w:pStyle w:val="Heading1"/>
      </w:pPr>
      <w:r>
        <w:t>Order</w:t>
      </w:r>
      <w:r w:rsidR="000153ED">
        <w:t>S</w:t>
      </w:r>
    </w:p>
    <w:p w:rsidR="00D877C9" w:rsidRDefault="00D877C9"/>
    <w:p w:rsidR="000153ED" w:rsidRDefault="000153ED" w:rsidP="000153ED">
      <w:pPr>
        <w:numPr>
          <w:ilvl w:val="0"/>
          <w:numId w:val="26"/>
        </w:numPr>
      </w:pPr>
      <w:r>
        <w:t xml:space="preserve">Under section 75(1) of the </w:t>
      </w:r>
      <w:r>
        <w:rPr>
          <w:i/>
        </w:rPr>
        <w:t xml:space="preserve">Victorian Civil and Administrative Tribunal Act 1998 </w:t>
      </w:r>
      <w:r>
        <w:t>(Vic), the claims described by me in these reasons by reference to the following items are dismissed: items a, b, c, e, f, i, j, k, l, n, p, q, r, s, t, u, v, w, x, y and z.</w:t>
      </w:r>
    </w:p>
    <w:p w:rsidR="000153ED" w:rsidRDefault="000153ED" w:rsidP="000153ED">
      <w:pPr>
        <w:ind w:left="360"/>
      </w:pPr>
    </w:p>
    <w:p w:rsidR="000153ED" w:rsidRDefault="000153ED" w:rsidP="000153ED">
      <w:pPr>
        <w:numPr>
          <w:ilvl w:val="0"/>
          <w:numId w:val="26"/>
        </w:numPr>
      </w:pPr>
      <w:r>
        <w:lastRenderedPageBreak/>
        <w:t>The claims described by me in these reasons by reference to the following items are to proceed to a further hearing: items d, g, h, m, o and aa.</w:t>
      </w:r>
    </w:p>
    <w:p w:rsidR="000153ED" w:rsidRDefault="000153ED" w:rsidP="000153ED"/>
    <w:p w:rsidR="000153ED" w:rsidRDefault="000153ED" w:rsidP="000153ED">
      <w:pPr>
        <w:numPr>
          <w:ilvl w:val="0"/>
          <w:numId w:val="26"/>
        </w:numPr>
      </w:pPr>
      <w:r>
        <w:t>The proceeding is to be listed before me for further hearing after 24 July 2015.  Allow three days.</w:t>
      </w:r>
    </w:p>
    <w:p w:rsidR="000153ED" w:rsidRDefault="000153ED" w:rsidP="000153ED"/>
    <w:p w:rsidR="000153ED" w:rsidRDefault="000153ED" w:rsidP="000153ED"/>
    <w:p w:rsidR="000153ED" w:rsidRDefault="000153ED"/>
    <w:p w:rsidR="000153ED" w:rsidRDefault="000153ED"/>
    <w:p w:rsidR="00D877C9" w:rsidRDefault="00D877C9"/>
    <w:tbl>
      <w:tblPr>
        <w:tblW w:w="5000" w:type="pct"/>
        <w:tblLook w:val="0000" w:firstRow="0" w:lastRow="0" w:firstColumn="0" w:lastColumn="0" w:noHBand="0" w:noVBand="0"/>
      </w:tblPr>
      <w:tblGrid>
        <w:gridCol w:w="2907"/>
        <w:gridCol w:w="2908"/>
        <w:gridCol w:w="2906"/>
      </w:tblGrid>
      <w:tr w:rsidR="00D877C9">
        <w:tblPrEx>
          <w:tblCellMar>
            <w:top w:w="0" w:type="dxa"/>
            <w:bottom w:w="0" w:type="dxa"/>
          </w:tblCellMar>
        </w:tblPrEx>
        <w:tc>
          <w:tcPr>
            <w:tcW w:w="1667" w:type="pct"/>
          </w:tcPr>
          <w:p w:rsidR="00D877C9" w:rsidRDefault="00E77306">
            <w:r>
              <w:t>A Dea</w:t>
            </w:r>
          </w:p>
          <w:p w:rsidR="00D877C9" w:rsidRDefault="00D877C9">
            <w:pPr>
              <w:tabs>
                <w:tab w:val="left" w:pos="1515"/>
              </w:tabs>
              <w:rPr>
                <w:b/>
              </w:rPr>
            </w:pPr>
            <w:r>
              <w:rPr>
                <w:b/>
              </w:rPr>
              <w:t>Member</w:t>
            </w:r>
          </w:p>
        </w:tc>
        <w:tc>
          <w:tcPr>
            <w:tcW w:w="1667" w:type="pct"/>
          </w:tcPr>
          <w:p w:rsidR="00D877C9" w:rsidRDefault="00D877C9"/>
        </w:tc>
        <w:tc>
          <w:tcPr>
            <w:tcW w:w="1667" w:type="pct"/>
          </w:tcPr>
          <w:p w:rsidR="00D877C9" w:rsidRDefault="00D877C9"/>
        </w:tc>
      </w:tr>
    </w:tbl>
    <w:p w:rsidR="00D877C9" w:rsidRDefault="00D877C9"/>
    <w:p w:rsidR="00D877C9" w:rsidRDefault="00D877C9">
      <w:bookmarkStart w:id="18" w:name="DELappearances"/>
    </w:p>
    <w:p w:rsidR="00D877C9" w:rsidRDefault="00D877C9"/>
    <w:tbl>
      <w:tblPr>
        <w:tblW w:w="5000" w:type="pct"/>
        <w:tblLook w:val="0000" w:firstRow="0" w:lastRow="0" w:firstColumn="0" w:lastColumn="0" w:noHBand="0" w:noVBand="0"/>
      </w:tblPr>
      <w:tblGrid>
        <w:gridCol w:w="3529"/>
        <w:gridCol w:w="5192"/>
      </w:tblGrid>
      <w:tr w:rsidR="00D877C9">
        <w:tblPrEx>
          <w:tblCellMar>
            <w:top w:w="0" w:type="dxa"/>
            <w:bottom w:w="0" w:type="dxa"/>
          </w:tblCellMar>
        </w:tblPrEx>
        <w:trPr>
          <w:cantSplit/>
        </w:trPr>
        <w:tc>
          <w:tcPr>
            <w:tcW w:w="2023" w:type="pct"/>
          </w:tcPr>
          <w:p w:rsidR="00D877C9" w:rsidRDefault="00D877C9">
            <w:pPr>
              <w:pStyle w:val="Heading2"/>
            </w:pPr>
            <w:r>
              <w:t>APPEARANCES:</w:t>
            </w:r>
          </w:p>
        </w:tc>
        <w:tc>
          <w:tcPr>
            <w:tcW w:w="2977" w:type="pct"/>
          </w:tcPr>
          <w:p w:rsidR="00D877C9" w:rsidRDefault="00D877C9">
            <w:pPr>
              <w:pStyle w:val="TitlePagetext"/>
            </w:pPr>
          </w:p>
        </w:tc>
      </w:tr>
      <w:tr w:rsidR="00D877C9">
        <w:tblPrEx>
          <w:tblCellMar>
            <w:top w:w="0" w:type="dxa"/>
            <w:bottom w:w="0" w:type="dxa"/>
          </w:tblCellMar>
        </w:tblPrEx>
        <w:trPr>
          <w:cantSplit/>
        </w:trPr>
        <w:tc>
          <w:tcPr>
            <w:tcW w:w="2023" w:type="pct"/>
          </w:tcPr>
          <w:p w:rsidR="00D877C9" w:rsidRDefault="00D877C9">
            <w:pPr>
              <w:pStyle w:val="TitlePagetext"/>
            </w:pPr>
            <w:r>
              <w:t>For Applicant</w:t>
            </w:r>
          </w:p>
        </w:tc>
        <w:tc>
          <w:tcPr>
            <w:tcW w:w="2977" w:type="pct"/>
          </w:tcPr>
          <w:p w:rsidR="00D877C9" w:rsidRDefault="00E77306">
            <w:pPr>
              <w:pStyle w:val="TitlePagetext"/>
            </w:pPr>
            <w:r>
              <w:t>In person</w:t>
            </w:r>
          </w:p>
        </w:tc>
      </w:tr>
      <w:tr w:rsidR="00D877C9">
        <w:tblPrEx>
          <w:tblCellMar>
            <w:top w:w="0" w:type="dxa"/>
            <w:bottom w:w="0" w:type="dxa"/>
          </w:tblCellMar>
        </w:tblPrEx>
        <w:trPr>
          <w:cantSplit/>
        </w:trPr>
        <w:tc>
          <w:tcPr>
            <w:tcW w:w="2023" w:type="pct"/>
          </w:tcPr>
          <w:p w:rsidR="00D877C9" w:rsidRDefault="00D877C9">
            <w:pPr>
              <w:pStyle w:val="TitlePagetext"/>
            </w:pPr>
            <w:r>
              <w:t>For Respondents</w:t>
            </w:r>
            <w:bookmarkStart w:id="19" w:name="FORres"/>
            <w:bookmarkEnd w:id="19"/>
          </w:p>
        </w:tc>
        <w:tc>
          <w:tcPr>
            <w:tcW w:w="2977" w:type="pct"/>
          </w:tcPr>
          <w:p w:rsidR="00D877C9" w:rsidRDefault="00E77306">
            <w:pPr>
              <w:pStyle w:val="TitlePagetext"/>
            </w:pPr>
            <w:bookmarkStart w:id="20" w:name="APPres"/>
            <w:bookmarkEnd w:id="20"/>
            <w:r>
              <w:t>Ms R Sharp of Counsel</w:t>
            </w:r>
          </w:p>
        </w:tc>
      </w:tr>
      <w:tr w:rsidR="00B4473B">
        <w:tblPrEx>
          <w:tblCellMar>
            <w:top w:w="0" w:type="dxa"/>
            <w:bottom w:w="0" w:type="dxa"/>
          </w:tblCellMar>
        </w:tblPrEx>
        <w:trPr>
          <w:cantSplit/>
        </w:trPr>
        <w:tc>
          <w:tcPr>
            <w:tcW w:w="2023" w:type="pct"/>
          </w:tcPr>
          <w:p w:rsidR="00B4473B" w:rsidRDefault="00B4473B">
            <w:pPr>
              <w:pStyle w:val="TitlePagetext"/>
            </w:pPr>
            <w:r>
              <w:t>For VEOHRC</w:t>
            </w:r>
          </w:p>
        </w:tc>
        <w:tc>
          <w:tcPr>
            <w:tcW w:w="2977" w:type="pct"/>
          </w:tcPr>
          <w:p w:rsidR="00B4473B" w:rsidRDefault="00B4473B">
            <w:pPr>
              <w:pStyle w:val="TitlePagetext"/>
            </w:pPr>
            <w:r>
              <w:t>Ms C Harris of Counsel</w:t>
            </w:r>
          </w:p>
        </w:tc>
      </w:tr>
      <w:bookmarkEnd w:id="18"/>
    </w:tbl>
    <w:p w:rsidR="004D660E" w:rsidRDefault="004D660E"/>
    <w:p w:rsidR="00D877C9" w:rsidRDefault="004D660E">
      <w:r>
        <w:br w:type="page"/>
      </w:r>
    </w:p>
    <w:p w:rsidR="00D877C9" w:rsidRDefault="00D877C9">
      <w:pPr>
        <w:pStyle w:val="Heading1"/>
      </w:pPr>
      <w:r>
        <w:t>Reasons</w:t>
      </w:r>
    </w:p>
    <w:p w:rsidR="007F2002" w:rsidRDefault="004D660E" w:rsidP="007F2002">
      <w:pPr>
        <w:pStyle w:val="Para1"/>
      </w:pPr>
      <w:r>
        <w:t>Mr Djime has made allegations of discrimination, sexual harassment, victimisation, racial vilification and human rights breaches against individual Victoria Police officers</w:t>
      </w:r>
      <w:r w:rsidR="00A43E7F">
        <w:t xml:space="preserve"> and Victoria Police as a whole</w:t>
      </w:r>
      <w:r>
        <w:t xml:space="preserve">.  </w:t>
      </w:r>
      <w:r w:rsidR="00E624DC">
        <w:t xml:space="preserve">The proceedings are brought under the </w:t>
      </w:r>
      <w:r w:rsidR="00E624DC">
        <w:rPr>
          <w:i/>
        </w:rPr>
        <w:t xml:space="preserve">Equal Opportunity Act 2010 </w:t>
      </w:r>
      <w:r w:rsidR="00E624DC">
        <w:t xml:space="preserve">(Vic) (EO Act), the </w:t>
      </w:r>
      <w:r w:rsidR="00E624DC">
        <w:rPr>
          <w:i/>
        </w:rPr>
        <w:t xml:space="preserve">Racial and Religious Tolerance Act 2001 </w:t>
      </w:r>
      <w:r w:rsidR="00E624DC">
        <w:t xml:space="preserve">(Vic) (RRT Act) and the </w:t>
      </w:r>
      <w:r w:rsidR="00E624DC">
        <w:rPr>
          <w:i/>
        </w:rPr>
        <w:t xml:space="preserve">Charter of Human Rights and Responsibilities Act 2006 </w:t>
      </w:r>
      <w:r w:rsidR="00E624DC">
        <w:t>(Vic) (Charter).</w:t>
      </w:r>
      <w:r w:rsidR="00E65D2C">
        <w:t xml:space="preserve">  There are a total of 27 allegations arising under these Acts. </w:t>
      </w:r>
    </w:p>
    <w:p w:rsidR="004D660E" w:rsidRDefault="004D660E" w:rsidP="007F2002">
      <w:pPr>
        <w:pStyle w:val="Para1"/>
      </w:pPr>
      <w:r>
        <w:t>All of the allegations are denied by the officers and Victoria Police.</w:t>
      </w:r>
    </w:p>
    <w:p w:rsidR="004D660E" w:rsidRDefault="004D660E" w:rsidP="007F2002">
      <w:pPr>
        <w:pStyle w:val="Para1"/>
      </w:pPr>
      <w:r>
        <w:t xml:space="preserve">Mr Djime set out his allegations in particulars of claim </w:t>
      </w:r>
      <w:r w:rsidR="00E4591E">
        <w:t xml:space="preserve">dated 18 September 2014 </w:t>
      </w:r>
      <w:r>
        <w:t xml:space="preserve">and then a hearing was held </w:t>
      </w:r>
      <w:r w:rsidR="00A70B4B">
        <w:t xml:space="preserve">on 10 and 11 March 2015 </w:t>
      </w:r>
      <w:r>
        <w:t>where he gave evidence and called witnesses to give evidence.  Neither he nor his witnesses were cross</w:t>
      </w:r>
      <w:r w:rsidR="00E624DC">
        <w:t>-</w:t>
      </w:r>
      <w:r>
        <w:t>examined.  At the conclusion of the hearing, Mr Djime confirmed he had produced all of the evidence he relies on.</w:t>
      </w:r>
      <w:r w:rsidR="00344A9A">
        <w:rPr>
          <w:rStyle w:val="FootnoteReference"/>
        </w:rPr>
        <w:footnoteReference w:id="1"/>
      </w:r>
    </w:p>
    <w:p w:rsidR="00203021" w:rsidRDefault="004D660E" w:rsidP="004D660E">
      <w:pPr>
        <w:pStyle w:val="Para1"/>
      </w:pPr>
      <w:r>
        <w:t>The respondents have applied for the majority of the allegations to be summarily dismissed or st</w:t>
      </w:r>
      <w:r w:rsidR="00886BD1">
        <w:t>ruck out on the basis that the t</w:t>
      </w:r>
      <w:r>
        <w:t xml:space="preserve">ribunal has no jurisdiction to consider them or </w:t>
      </w:r>
      <w:r w:rsidR="000D0D83">
        <w:t>because</w:t>
      </w:r>
      <w:r>
        <w:t>, even taking the evidence at its highest, Mr Djime cannot prove his claims</w:t>
      </w:r>
      <w:r w:rsidR="00A43E7F">
        <w:t xml:space="preserve"> and they lack substance or are an abuse of process</w:t>
      </w:r>
      <w:r>
        <w:t xml:space="preserve">.  That application is made under </w:t>
      </w:r>
      <w:r w:rsidR="00203021">
        <w:t xml:space="preserve">section 75 of the </w:t>
      </w:r>
      <w:r w:rsidR="00203021">
        <w:rPr>
          <w:i/>
        </w:rPr>
        <w:t xml:space="preserve">Victorian Civil and Administrative Tribunal Act 1998 </w:t>
      </w:r>
      <w:r w:rsidR="00203021">
        <w:t>(Vic) (VCAT Act)</w:t>
      </w:r>
      <w:r w:rsidR="00A70B4B">
        <w:t xml:space="preserve"> and was heard by me on 13 May 2015</w:t>
      </w:r>
      <w:r w:rsidR="00203021">
        <w:t xml:space="preserve">.  The respondents acknowledge that some of the </w:t>
      </w:r>
      <w:r>
        <w:t xml:space="preserve">allegations ought to </w:t>
      </w:r>
      <w:r w:rsidR="00203021">
        <w:t>proceed to a full hearing.</w:t>
      </w:r>
    </w:p>
    <w:p w:rsidR="00480E6F" w:rsidRDefault="00480E6F" w:rsidP="004D660E">
      <w:pPr>
        <w:pStyle w:val="Para1"/>
      </w:pPr>
      <w:r>
        <w:t>On 10 March 2015, I made an order under section 160 of the EO Act granting leave to the Victorian Equal Opportunity and Human Rights Commiss</w:t>
      </w:r>
      <w:r w:rsidR="00313FBB">
        <w:t>ion (c</w:t>
      </w:r>
      <w:r w:rsidR="00886BD1">
        <w:t>ommission) to assist the t</w:t>
      </w:r>
      <w:r>
        <w:t xml:space="preserve">ribunal as </w:t>
      </w:r>
      <w:r>
        <w:rPr>
          <w:i/>
        </w:rPr>
        <w:t>amicus curiae</w:t>
      </w:r>
      <w:r w:rsidR="00554662">
        <w:rPr>
          <w:i/>
        </w:rPr>
        <w:t xml:space="preserve"> </w:t>
      </w:r>
      <w:r w:rsidR="00554662">
        <w:t>(friend of the court)</w:t>
      </w:r>
      <w:r>
        <w:rPr>
          <w:i/>
        </w:rPr>
        <w:t xml:space="preserve"> </w:t>
      </w:r>
      <w:r>
        <w:t xml:space="preserve">in the proceeding.  The </w:t>
      </w:r>
      <w:r w:rsidR="00313FBB">
        <w:t>c</w:t>
      </w:r>
      <w:r>
        <w:t>ommission did not participate in the section 75 hearing other than by filing submissions of law</w:t>
      </w:r>
      <w:r w:rsidR="00E4591E">
        <w:t xml:space="preserve"> dated 15 April 2015</w:t>
      </w:r>
      <w:r>
        <w:t>.</w:t>
      </w:r>
    </w:p>
    <w:p w:rsidR="00203021" w:rsidRDefault="00203021" w:rsidP="00203021">
      <w:pPr>
        <w:pStyle w:val="Para1"/>
      </w:pPr>
      <w:r>
        <w:t>I have decided to</w:t>
      </w:r>
      <w:r w:rsidRPr="00F4294A">
        <w:rPr>
          <w:b/>
        </w:rPr>
        <w:t xml:space="preserve"> </w:t>
      </w:r>
      <w:r w:rsidR="00E65D2C">
        <w:t xml:space="preserve">dismiss </w:t>
      </w:r>
      <w:r w:rsidR="000D0D83">
        <w:t>21</w:t>
      </w:r>
      <w:r w:rsidR="00E65D2C">
        <w:t xml:space="preserve"> of the 27 allegations</w:t>
      </w:r>
      <w:r>
        <w:t>.</w:t>
      </w:r>
      <w:r w:rsidR="00E65D2C">
        <w:t xml:space="preserve">  </w:t>
      </w:r>
      <w:r w:rsidR="00075CAA">
        <w:t xml:space="preserve">The remaining six allegations will proceed to hearing.  </w:t>
      </w:r>
      <w:r w:rsidR="000D0D83">
        <w:t>Attachment A</w:t>
      </w:r>
      <w:r w:rsidR="00E65D2C">
        <w:t xml:space="preserve"> to these reasons is a table set</w:t>
      </w:r>
      <w:r w:rsidR="00E07681">
        <w:t xml:space="preserve">ting </w:t>
      </w:r>
      <w:r w:rsidR="00E65D2C">
        <w:t>out the terms of each allegation and indicat</w:t>
      </w:r>
      <w:r w:rsidR="00E07681">
        <w:t xml:space="preserve">ing </w:t>
      </w:r>
      <w:r w:rsidR="00E65D2C">
        <w:t>whether the allegation is to be dismissed</w:t>
      </w:r>
      <w:r w:rsidR="000D0D83">
        <w:t xml:space="preserve"> or proceed </w:t>
      </w:r>
      <w:r w:rsidR="00E65D2C">
        <w:t>and, briefly, why.</w:t>
      </w:r>
    </w:p>
    <w:p w:rsidR="00E4591E" w:rsidRDefault="00E4591E" w:rsidP="00203021">
      <w:pPr>
        <w:pStyle w:val="Para1"/>
      </w:pPr>
      <w:r>
        <w:t>Mr Djime has made allegations that he was assaulted by police and has been subjected to sexually explicit comments by police officers.  As will be seen, the claims that relate to those allegations will be dismissed because the tribunal does not have power to consider them under the EO Act.  That ought not to be taken to suggest that the</w:t>
      </w:r>
      <w:r w:rsidR="00E07681">
        <w:t xml:space="preserve"> allegations </w:t>
      </w:r>
      <w:r>
        <w:t>have not been taken seriously or raised concern</w:t>
      </w:r>
      <w:r w:rsidR="00E07681">
        <w:t>s</w:t>
      </w:r>
      <w:r>
        <w:t xml:space="preserve"> in my mind.  I am aware from material provided by Mr Djime that these concerns (and others) have been raised with the Office of Police Integrity and the Independent Broad-based Anti-corruption Commission.  </w:t>
      </w:r>
    </w:p>
    <w:p w:rsidR="00E2587C" w:rsidRDefault="00E2587C" w:rsidP="00E2587C">
      <w:pPr>
        <w:pStyle w:val="Heading3"/>
      </w:pPr>
      <w:r>
        <w:t>Section 75 of the VCAT Act</w:t>
      </w:r>
    </w:p>
    <w:p w:rsidR="00E2587C" w:rsidRDefault="00E2587C" w:rsidP="00E2587C">
      <w:pPr>
        <w:pStyle w:val="Para1"/>
      </w:pPr>
      <w:r>
        <w:t xml:space="preserve">Section 75 of the VCAT Act </w:t>
      </w:r>
      <w:r w:rsidR="00886BD1">
        <w:t>gives the t</w:t>
      </w:r>
      <w:r>
        <w:t>ribunal discretion to dismiss or strike out a proceeding whether or not all the evidence has been heard.  It can do so if, in its opinion, all or part of the proceeding is frivolous, vexatious, misconceived or lacking in substance (75(1)(a)), or is otherwise an abuse of process (75(1)(b)).  An application for an order under section 75</w:t>
      </w:r>
      <w:r w:rsidR="000D0D83">
        <w:t>(1)</w:t>
      </w:r>
      <w:r>
        <w:t xml:space="preserve"> may be made at any time.  </w:t>
      </w:r>
    </w:p>
    <w:p w:rsidR="00E2587C" w:rsidRDefault="00E2587C" w:rsidP="00E2587C">
      <w:pPr>
        <w:pStyle w:val="Para1"/>
      </w:pPr>
      <w:r>
        <w:t>There have been many cases about section 75 and the law about how to approach the section is clear.</w:t>
      </w:r>
      <w:r>
        <w:rPr>
          <w:rStyle w:val="FootnoteReference"/>
        </w:rPr>
        <w:footnoteReference w:id="2"/>
      </w:r>
      <w:r>
        <w:t xml:space="preserve">  The </w:t>
      </w:r>
      <w:r w:rsidR="00886BD1">
        <w:t>t</w:t>
      </w:r>
      <w:r>
        <w:t xml:space="preserve">ribunal is required to exercise caution before summarily terminating a proceeding.  It should only do so if the proceeding is obviously hopeless or unsustainable in fact or in law, or on no reasonable view can justify relief, or is bound to fail.  This will include, but is not limited to, a case where an application can be said to disclose no reasonable cause of action or where a respondent can show a good defence sufficient to warrant the summary termination of the proceeding.  </w:t>
      </w:r>
    </w:p>
    <w:p w:rsidR="00E2587C" w:rsidRDefault="00E2587C" w:rsidP="00E2587C">
      <w:pPr>
        <w:pStyle w:val="Para1"/>
      </w:pPr>
      <w:r>
        <w:t xml:space="preserve">If the </w:t>
      </w:r>
      <w:r w:rsidR="00886BD1">
        <w:t>t</w:t>
      </w:r>
      <w:r>
        <w:t xml:space="preserve">ribunal is not satisfied that the proceeding should be summarily dismissed, the matter should go to a hearing so the applicant has the chance to have the </w:t>
      </w:r>
      <w:r w:rsidR="00C4781B">
        <w:t xml:space="preserve">application </w:t>
      </w:r>
      <w:r>
        <w:t xml:space="preserve">heard and so the evidence can be tested in the usual way.  When the high bar set out above is not reached, and there is simply a dispute between the parties as to the </w:t>
      </w:r>
      <w:r w:rsidR="00C4781B">
        <w:t>application</w:t>
      </w:r>
      <w:r>
        <w:t xml:space="preserve">, the matter should go to hearing.  </w:t>
      </w:r>
    </w:p>
    <w:p w:rsidR="00E2587C" w:rsidRDefault="00E2587C" w:rsidP="00E2587C">
      <w:pPr>
        <w:pStyle w:val="Para1"/>
      </w:pPr>
      <w:r>
        <w:t>In considering an application und</w:t>
      </w:r>
      <w:r w:rsidR="00886BD1">
        <w:t>er section 75, the t</w:t>
      </w:r>
      <w:r>
        <w:t xml:space="preserve">ribunal must take the applicant’s case and the evidence presented at its highest.  </w:t>
      </w:r>
    </w:p>
    <w:p w:rsidR="00C4781B" w:rsidRDefault="00C4781B" w:rsidP="00E2587C">
      <w:pPr>
        <w:pStyle w:val="Para1"/>
      </w:pPr>
      <w:r>
        <w:t xml:space="preserve">An application is </w:t>
      </w:r>
      <w:r>
        <w:rPr>
          <w:i/>
        </w:rPr>
        <w:t xml:space="preserve">‘misconceived’ </w:t>
      </w:r>
      <w:r>
        <w:t>under section 75</w:t>
      </w:r>
      <w:r w:rsidR="00A43E7F">
        <w:t>(1)</w:t>
      </w:r>
      <w:r>
        <w:t xml:space="preserve">(a) if it falls outside the </w:t>
      </w:r>
      <w:r w:rsidR="00886BD1">
        <w:t>t</w:t>
      </w:r>
      <w:r>
        <w:t xml:space="preserve">ribunal’s jurisdiction, it is statute barred or it </w:t>
      </w:r>
      <w:r w:rsidR="005A64C8">
        <w:t>concerns</w:t>
      </w:r>
      <w:r>
        <w:t xml:space="preserve"> matters that the applicant is estopped from raising.</w:t>
      </w:r>
      <w:r w:rsidR="0009548A">
        <w:rPr>
          <w:rStyle w:val="FootnoteReference"/>
        </w:rPr>
        <w:footnoteReference w:id="3"/>
      </w:r>
      <w:r>
        <w:t xml:space="preserve">  Estoppel applie</w:t>
      </w:r>
      <w:r w:rsidR="005A64C8">
        <w:t>s</w:t>
      </w:r>
      <w:r>
        <w:t xml:space="preserve"> to a range of circumstances including where a factual or legal issue in the application has already been heard and determined </w:t>
      </w:r>
      <w:r w:rsidR="0009548A">
        <w:t xml:space="preserve">(issue estoppel).  An application is </w:t>
      </w:r>
      <w:r w:rsidR="0009548A">
        <w:rPr>
          <w:i/>
        </w:rPr>
        <w:t xml:space="preserve">‘lacking in substance’ </w:t>
      </w:r>
      <w:r w:rsidR="0009548A">
        <w:t>if, after the applicant has produced all of his or her evidence, there is nothing of any substance for the respondent to answer.</w:t>
      </w:r>
      <w:r w:rsidR="0009548A">
        <w:rPr>
          <w:rStyle w:val="FootnoteReference"/>
        </w:rPr>
        <w:footnoteReference w:id="4"/>
      </w:r>
      <w:r w:rsidR="0009548A">
        <w:t xml:space="preserve"> </w:t>
      </w:r>
    </w:p>
    <w:p w:rsidR="00A43E7F" w:rsidRDefault="00A43E7F" w:rsidP="00A43E7F">
      <w:pPr>
        <w:pStyle w:val="Para1"/>
      </w:pPr>
      <w:r>
        <w:t xml:space="preserve">The term </w:t>
      </w:r>
      <w:r>
        <w:rPr>
          <w:i/>
        </w:rPr>
        <w:t>‘a</w:t>
      </w:r>
      <w:r w:rsidRPr="00E60D88">
        <w:rPr>
          <w:i/>
        </w:rPr>
        <w:t>buse of proces</w:t>
      </w:r>
      <w:r>
        <w:rPr>
          <w:i/>
        </w:rPr>
        <w:t>s’</w:t>
      </w:r>
      <w:r>
        <w:t xml:space="preserve"> contained in section 75(1)(b) is not defined in the VCAT Act.  It is understood to be a flexible concept designed to ensure that processes of the </w:t>
      </w:r>
      <w:r w:rsidR="00886BD1">
        <w:t>t</w:t>
      </w:r>
      <w:r>
        <w:t>ribunal are used in good faith.  It can include any process used in a way that is manifestly unjust, oppressive or unfair to a party or would otherwise bring the administration of justice into disrepute among right-thinking people.</w:t>
      </w:r>
      <w:r>
        <w:rPr>
          <w:rStyle w:val="FootnoteReference"/>
        </w:rPr>
        <w:footnoteReference w:id="5"/>
      </w:r>
      <w:r>
        <w:t xml:space="preserve">  The categories of abuse of process are not closed but include proceedings which are manifestly groundless, without foundation or</w:t>
      </w:r>
      <w:r w:rsidR="000D0D83">
        <w:t xml:space="preserve"> which serve no useful purpose</w:t>
      </w:r>
      <w:r>
        <w:t>.</w:t>
      </w:r>
      <w:r w:rsidR="00E4591E">
        <w:t xml:space="preserve"> </w:t>
      </w:r>
      <w:r>
        <w:t xml:space="preserve"> An abuse of process may arise where</w:t>
      </w:r>
      <w:r w:rsidR="000D0D83">
        <w:t>,</w:t>
      </w:r>
      <w:r>
        <w:t xml:space="preserve"> despite the fact that the circumstances do not give rise to an estoppel, their continuance would be unjustifiably vexatious and oppressive for the reason that it is sought to litigate again a case which has already been disposed of by earlier proceedings.</w:t>
      </w:r>
      <w:r>
        <w:rPr>
          <w:rStyle w:val="FootnoteReference"/>
        </w:rPr>
        <w:footnoteReference w:id="6"/>
      </w:r>
    </w:p>
    <w:p w:rsidR="0009548A" w:rsidRDefault="0009548A" w:rsidP="00E2587C">
      <w:pPr>
        <w:pStyle w:val="Para1"/>
      </w:pPr>
      <w:r>
        <w:t xml:space="preserve">Before turning to Mr Djime’s allegations, I will deal with the law </w:t>
      </w:r>
      <w:r w:rsidR="002839B4">
        <w:t xml:space="preserve">relied on by Mr Djime, discuss the meaning of the term </w:t>
      </w:r>
      <w:r w:rsidR="002839B4">
        <w:rPr>
          <w:i/>
        </w:rPr>
        <w:t>‘</w:t>
      </w:r>
      <w:r w:rsidRPr="002839B4">
        <w:rPr>
          <w:i/>
        </w:rPr>
        <w:t>services</w:t>
      </w:r>
      <w:r w:rsidR="002839B4">
        <w:rPr>
          <w:i/>
        </w:rPr>
        <w:t>’</w:t>
      </w:r>
      <w:r>
        <w:t xml:space="preserve"> under the EO Act and </w:t>
      </w:r>
      <w:r w:rsidR="002839B4">
        <w:t>the case law relating to the provision of services by police officers to individuals and the public at large.</w:t>
      </w:r>
      <w:r w:rsidR="000D0D83">
        <w:t xml:space="preserve">  I will then turn to the particular allegations made and rule on the respondents’ application under section 75(1) of the VCAT Act.</w:t>
      </w:r>
    </w:p>
    <w:p w:rsidR="002839B4" w:rsidRPr="008E4B2E" w:rsidRDefault="002839B4" w:rsidP="002839B4">
      <w:pPr>
        <w:pStyle w:val="Heading3"/>
      </w:pPr>
      <w:r>
        <w:t>The EO Act</w:t>
      </w:r>
    </w:p>
    <w:p w:rsidR="002839B4" w:rsidRPr="008E4B2E" w:rsidRDefault="002839B4" w:rsidP="002839B4">
      <w:pPr>
        <w:pStyle w:val="Para1"/>
      </w:pPr>
      <w:r>
        <w:t>The EO Act is protective legislation that seeks to ensure persons with named attributes are not discriminated against because of those attributes in relation to specified activities or classes of activities.</w:t>
      </w:r>
      <w:r>
        <w:rPr>
          <w:lang w:val="en-US"/>
        </w:rPr>
        <w:t xml:space="preserve">  The protected attributes include race and physical features</w:t>
      </w:r>
      <w:r w:rsidRPr="009A5F3F">
        <w:rPr>
          <w:lang w:val="en-US"/>
        </w:rPr>
        <w:t>.</w:t>
      </w:r>
      <w:r w:rsidRPr="00D36331">
        <w:rPr>
          <w:rStyle w:val="FootnoteReference"/>
          <w:lang w:val="en-US"/>
        </w:rPr>
        <w:footnoteReference w:id="7"/>
      </w:r>
      <w:r>
        <w:rPr>
          <w:lang w:val="en-US"/>
        </w:rPr>
        <w:t xml:space="preserve">  </w:t>
      </w:r>
    </w:p>
    <w:p w:rsidR="002839B4" w:rsidRDefault="005A64C8" w:rsidP="002839B4">
      <w:pPr>
        <w:pStyle w:val="Para1"/>
      </w:pPr>
      <w:r>
        <w:rPr>
          <w:lang w:val="en-US"/>
        </w:rPr>
        <w:t>The EO Act specifies</w:t>
      </w:r>
      <w:r w:rsidR="002839B4">
        <w:rPr>
          <w:lang w:val="en-US"/>
        </w:rPr>
        <w:t xml:space="preserve"> areas of life in which discrimination is prohibited.  Accordingly, in order to establish a breach of the EO Act, an applicant must point to an express prohibition which applies to the circumstances giving rise to the claim.  Mr Djime says that the discrimination he complains of occurred in the context of the provision of services to him by Victoria Police and the named police officers.</w:t>
      </w:r>
    </w:p>
    <w:p w:rsidR="00AB6F18" w:rsidRPr="008E4B2E" w:rsidRDefault="00AB6F18" w:rsidP="00AB6F18">
      <w:pPr>
        <w:pStyle w:val="Para1"/>
      </w:pPr>
      <w:r>
        <w:t xml:space="preserve">The claim here is one of direct discrimination.  So, what is claimed is that, contrary to section 44 of the EO Act, the respondents treated Mr Djime unfavourably </w:t>
      </w:r>
      <w:r w:rsidRPr="00193A11">
        <w:rPr>
          <w:i/>
        </w:rPr>
        <w:t>because of</w:t>
      </w:r>
      <w:r>
        <w:t xml:space="preserve"> one or more of the identified attributes.</w:t>
      </w:r>
      <w:r>
        <w:rPr>
          <w:rStyle w:val="FootnoteReference"/>
        </w:rPr>
        <w:footnoteReference w:id="8"/>
      </w:r>
      <w:r>
        <w:t xml:space="preserve">  Mr Djime says that the </w:t>
      </w:r>
      <w:r w:rsidR="00E07681">
        <w:t xml:space="preserve">alleged </w:t>
      </w:r>
      <w:r>
        <w:t xml:space="preserve">instances of discrimination occurred on the basis of his attributes of race and physical appearance.  Mr Djime was born in </w:t>
      </w:r>
      <w:smartTag w:uri="urn:schemas-microsoft-com:office:smarttags" w:element="country-region">
        <w:r>
          <w:t>Mali</w:t>
        </w:r>
      </w:smartTag>
      <w:r>
        <w:t xml:space="preserve"> and came to </w:t>
      </w:r>
      <w:smartTag w:uri="urn:schemas-microsoft-com:office:smarttags" w:element="country-region">
        <w:smartTag w:uri="urn:schemas-microsoft-com:office:smarttags" w:element="place">
          <w:r>
            <w:t>Australia</w:t>
          </w:r>
        </w:smartTag>
      </w:smartTag>
      <w:r>
        <w:t xml:space="preserve"> in 2006.  Mr Djime has dark skin and dreadlocks.  </w:t>
      </w:r>
    </w:p>
    <w:p w:rsidR="002839B4" w:rsidRDefault="002839B4" w:rsidP="002839B4">
      <w:pPr>
        <w:pStyle w:val="Para1"/>
      </w:pPr>
      <w:r>
        <w:rPr>
          <w:lang w:val="en-US"/>
        </w:rPr>
        <w:t xml:space="preserve">Section 44 </w:t>
      </w:r>
      <w:r w:rsidRPr="009A5F3F">
        <w:rPr>
          <w:lang w:val="en-US"/>
        </w:rPr>
        <w:t>of the EO Act prohibit</w:t>
      </w:r>
      <w:r>
        <w:rPr>
          <w:lang w:val="en-US"/>
        </w:rPr>
        <w:t>s</w:t>
      </w:r>
      <w:r w:rsidRPr="009A5F3F">
        <w:rPr>
          <w:lang w:val="en-US"/>
        </w:rPr>
        <w:t xml:space="preserve"> discrimination in the context of </w:t>
      </w:r>
      <w:r>
        <w:rPr>
          <w:lang w:val="en-US"/>
        </w:rPr>
        <w:t>the provision of services.</w:t>
      </w:r>
      <w:r>
        <w:t xml:space="preserve">  It says:</w:t>
      </w:r>
    </w:p>
    <w:p w:rsidR="002839B4" w:rsidRDefault="002839B4" w:rsidP="002839B4">
      <w:pPr>
        <w:pStyle w:val="Quote1"/>
        <w:rPr>
          <w:lang w:eastAsia="en-AU"/>
        </w:rPr>
      </w:pPr>
      <w:r w:rsidRPr="00A644DC">
        <w:rPr>
          <w:lang w:eastAsia="en-AU"/>
        </w:rPr>
        <w:t>(1)</w:t>
      </w:r>
      <w:r>
        <w:rPr>
          <w:lang w:eastAsia="en-AU"/>
        </w:rPr>
        <w:tab/>
      </w:r>
      <w:r>
        <w:rPr>
          <w:lang w:eastAsia="en-AU"/>
        </w:rPr>
        <w:tab/>
        <w:t>A person must not discriminate against another person—</w:t>
      </w:r>
    </w:p>
    <w:p w:rsidR="002839B4" w:rsidRDefault="002839B4" w:rsidP="002839B4">
      <w:pPr>
        <w:pStyle w:val="Quote1"/>
        <w:ind w:left="2272" w:hanging="568"/>
        <w:rPr>
          <w:lang w:eastAsia="en-AU"/>
        </w:rPr>
      </w:pPr>
      <w:r w:rsidRPr="00A644DC">
        <w:rPr>
          <w:lang w:eastAsia="en-AU"/>
        </w:rPr>
        <w:t>(a)</w:t>
      </w:r>
      <w:r>
        <w:rPr>
          <w:lang w:eastAsia="en-AU"/>
        </w:rPr>
        <w:tab/>
        <w:t>by refusing to provide goods or services to the other person; or</w:t>
      </w:r>
    </w:p>
    <w:p w:rsidR="002839B4" w:rsidRDefault="002839B4" w:rsidP="002839B4">
      <w:pPr>
        <w:pStyle w:val="Quote1"/>
        <w:ind w:left="2272" w:hanging="568"/>
        <w:rPr>
          <w:lang w:eastAsia="en-AU"/>
        </w:rPr>
      </w:pPr>
      <w:r w:rsidRPr="00A644DC">
        <w:rPr>
          <w:lang w:eastAsia="en-AU"/>
        </w:rPr>
        <w:t>(b)</w:t>
      </w:r>
      <w:r>
        <w:rPr>
          <w:lang w:eastAsia="en-AU"/>
        </w:rPr>
        <w:tab/>
        <w:t>in the terms on which goods or services are provided to the other person; or</w:t>
      </w:r>
    </w:p>
    <w:p w:rsidR="002839B4" w:rsidRDefault="002839B4" w:rsidP="002839B4">
      <w:pPr>
        <w:pStyle w:val="Quote1"/>
        <w:ind w:left="2272" w:hanging="568"/>
        <w:rPr>
          <w:lang w:eastAsia="en-AU"/>
        </w:rPr>
      </w:pPr>
      <w:r w:rsidRPr="00A644DC">
        <w:rPr>
          <w:lang w:eastAsia="en-AU"/>
        </w:rPr>
        <w:t>(c)</w:t>
      </w:r>
      <w:r>
        <w:rPr>
          <w:lang w:eastAsia="en-AU"/>
        </w:rPr>
        <w:tab/>
        <w:t>by subjecting the other person to any other detriment in connection with the provision of goods or services to him or her.</w:t>
      </w:r>
    </w:p>
    <w:p w:rsidR="002839B4" w:rsidRDefault="002839B4" w:rsidP="002839B4">
      <w:pPr>
        <w:pStyle w:val="Quote1"/>
        <w:ind w:left="1704" w:hanging="570"/>
        <w:rPr>
          <w:lang w:eastAsia="en-AU"/>
        </w:rPr>
      </w:pPr>
      <w:r w:rsidRPr="00A644DC">
        <w:rPr>
          <w:lang w:eastAsia="en-AU"/>
        </w:rPr>
        <w:t>(2)</w:t>
      </w:r>
      <w:r>
        <w:rPr>
          <w:lang w:eastAsia="en-AU"/>
        </w:rPr>
        <w:tab/>
        <w:t>Subsection (1) applies whether or not the goods or services are provided for payment.</w:t>
      </w:r>
    </w:p>
    <w:p w:rsidR="00C07336" w:rsidRDefault="00C07336" w:rsidP="00C07336">
      <w:pPr>
        <w:pStyle w:val="Para1"/>
      </w:pPr>
      <w:r>
        <w:t>It is not necessary for Mr Djime to show one or both of the attributes he relies on was the sole reason for the unfavourable treatment alleged but he must show that it was a substantial reason.  Motive is irrelevant in determining whether or not a person discriminates.</w:t>
      </w:r>
      <w:r>
        <w:rPr>
          <w:rStyle w:val="FootnoteReference"/>
        </w:rPr>
        <w:footnoteReference w:id="9"/>
      </w:r>
      <w:r>
        <w:t xml:space="preserve"> </w:t>
      </w:r>
    </w:p>
    <w:p w:rsidR="002839B4" w:rsidRDefault="002839B4" w:rsidP="002839B4">
      <w:pPr>
        <w:pStyle w:val="Para1"/>
        <w:rPr>
          <w:lang w:eastAsia="en-AU"/>
        </w:rPr>
      </w:pPr>
      <w:r>
        <w:rPr>
          <w:lang w:eastAsia="en-AU"/>
        </w:rPr>
        <w:t>Mr Djime says that he has been sexually harassed a number of times.  Section 92 of the EO Act defines sexual harassment as follows:</w:t>
      </w:r>
    </w:p>
    <w:p w:rsidR="002839B4" w:rsidRDefault="002839B4" w:rsidP="002839B4">
      <w:pPr>
        <w:pStyle w:val="Quote1"/>
        <w:ind w:left="1704" w:hanging="570"/>
        <w:rPr>
          <w:lang w:eastAsia="en-AU"/>
        </w:rPr>
      </w:pPr>
      <w:r>
        <w:rPr>
          <w:lang w:eastAsia="en-AU"/>
        </w:rPr>
        <w:t>(1)</w:t>
      </w:r>
      <w:r>
        <w:rPr>
          <w:lang w:eastAsia="en-AU"/>
        </w:rPr>
        <w:tab/>
        <w:t xml:space="preserve">For the purpose of this Act, a person sexually harasses another person if he or she - </w:t>
      </w:r>
    </w:p>
    <w:p w:rsidR="002839B4" w:rsidRDefault="002839B4" w:rsidP="002839B4">
      <w:pPr>
        <w:pStyle w:val="Quote1"/>
        <w:ind w:left="2272" w:hanging="568"/>
        <w:rPr>
          <w:lang w:eastAsia="en-AU"/>
        </w:rPr>
      </w:pPr>
      <w:r>
        <w:rPr>
          <w:lang w:eastAsia="en-AU"/>
        </w:rPr>
        <w:t>(a)</w:t>
      </w:r>
      <w:r>
        <w:rPr>
          <w:lang w:eastAsia="en-AU"/>
        </w:rPr>
        <w:tab/>
        <w:t>makes an unwelcome sexual advance, or an unwelcome request for sexual favours, to the other person; or</w:t>
      </w:r>
    </w:p>
    <w:p w:rsidR="002839B4" w:rsidRDefault="002839B4" w:rsidP="002839B4">
      <w:pPr>
        <w:pStyle w:val="Quote1"/>
        <w:ind w:left="2272" w:hanging="568"/>
        <w:rPr>
          <w:lang w:eastAsia="en-AU"/>
        </w:rPr>
      </w:pPr>
      <w:r>
        <w:rPr>
          <w:lang w:eastAsia="en-AU"/>
        </w:rPr>
        <w:t xml:space="preserve">(b) </w:t>
      </w:r>
      <w:r>
        <w:rPr>
          <w:lang w:eastAsia="en-AU"/>
        </w:rPr>
        <w:tab/>
        <w:t xml:space="preserve">engages in any other unwelcome conduct of a sexual nature in relation to the other person – </w:t>
      </w:r>
    </w:p>
    <w:p w:rsidR="002839B4" w:rsidRDefault="002839B4" w:rsidP="002839B4">
      <w:pPr>
        <w:pStyle w:val="Quote1"/>
        <w:ind w:left="1704"/>
        <w:rPr>
          <w:lang w:eastAsia="en-AU"/>
        </w:rPr>
      </w:pPr>
      <w:r>
        <w:rPr>
          <w:lang w:eastAsia="en-AU"/>
        </w:rPr>
        <w:t xml:space="preserve">in circumstances in which a reasonable person, having regard to all the circumstances, would have anticipated that the other person would be offended, humiliated or intimidated. </w:t>
      </w:r>
    </w:p>
    <w:p w:rsidR="002839B4" w:rsidRPr="002839B4" w:rsidRDefault="002839B4" w:rsidP="002839B4">
      <w:pPr>
        <w:pStyle w:val="Quote1"/>
        <w:ind w:left="1136" w:hanging="2"/>
        <w:rPr>
          <w:lang w:eastAsia="en-AU"/>
        </w:rPr>
      </w:pPr>
      <w:r w:rsidRPr="002839B4">
        <w:rPr>
          <w:lang w:eastAsia="en-AU"/>
        </w:rPr>
        <w:t xml:space="preserve">(2) </w:t>
      </w:r>
      <w:r w:rsidRPr="002839B4">
        <w:rPr>
          <w:lang w:eastAsia="en-AU"/>
        </w:rPr>
        <w:tab/>
        <w:t xml:space="preserve">In subsection (1) </w:t>
      </w:r>
      <w:r w:rsidRPr="002839B4">
        <w:rPr>
          <w:rFonts w:ascii="TimesNewRomanPS-BoldItalicMT" w:hAnsi="TimesNewRomanPS-BoldItalicMT" w:cs="TimesNewRomanPS-BoldItalicMT"/>
          <w:bCs/>
          <w:i/>
          <w:iCs/>
          <w:lang w:eastAsia="en-AU"/>
        </w:rPr>
        <w:t xml:space="preserve">conduct of a sexual nature </w:t>
      </w:r>
      <w:r w:rsidRPr="002839B4">
        <w:rPr>
          <w:lang w:eastAsia="en-AU"/>
        </w:rPr>
        <w:t xml:space="preserve">includes - </w:t>
      </w:r>
    </w:p>
    <w:p w:rsidR="002839B4" w:rsidRDefault="002839B4" w:rsidP="002839B4">
      <w:pPr>
        <w:pStyle w:val="Quote1"/>
        <w:ind w:left="1704"/>
        <w:rPr>
          <w:lang w:eastAsia="en-AU"/>
        </w:rPr>
      </w:pPr>
      <w:r>
        <w:rPr>
          <w:lang w:eastAsia="en-AU"/>
        </w:rPr>
        <w:t>(a)</w:t>
      </w:r>
      <w:r>
        <w:rPr>
          <w:lang w:eastAsia="en-AU"/>
        </w:rPr>
        <w:tab/>
      </w:r>
      <w:r>
        <w:rPr>
          <w:lang w:eastAsia="en-AU"/>
        </w:rPr>
        <w:tab/>
        <w:t xml:space="preserve">subjecting a person to any act of physical intimacy; </w:t>
      </w:r>
    </w:p>
    <w:p w:rsidR="002839B4" w:rsidRDefault="002839B4" w:rsidP="002839B4">
      <w:pPr>
        <w:pStyle w:val="Quote1"/>
        <w:ind w:left="2272" w:hanging="568"/>
        <w:rPr>
          <w:lang w:eastAsia="en-AU"/>
        </w:rPr>
      </w:pPr>
      <w:r>
        <w:rPr>
          <w:lang w:eastAsia="en-AU"/>
        </w:rPr>
        <w:t xml:space="preserve">(b) </w:t>
      </w:r>
      <w:r>
        <w:rPr>
          <w:lang w:eastAsia="en-AU"/>
        </w:rPr>
        <w:tab/>
        <w:t xml:space="preserve">making, orally or in writing, any remark or statement with sexual connotations to a person or about a person in his or her presence; </w:t>
      </w:r>
    </w:p>
    <w:p w:rsidR="002839B4" w:rsidRDefault="002839B4" w:rsidP="002839B4">
      <w:pPr>
        <w:pStyle w:val="Quote1"/>
        <w:ind w:left="2272" w:hanging="568"/>
        <w:rPr>
          <w:lang w:eastAsia="en-AU"/>
        </w:rPr>
      </w:pPr>
      <w:r>
        <w:rPr>
          <w:lang w:eastAsia="en-AU"/>
        </w:rPr>
        <w:t xml:space="preserve">(c) </w:t>
      </w:r>
      <w:r>
        <w:rPr>
          <w:lang w:eastAsia="en-AU"/>
        </w:rPr>
        <w:tab/>
        <w:t>making any gesture, action or comment of a sexual nature in a person's presence.</w:t>
      </w:r>
    </w:p>
    <w:p w:rsidR="002839B4" w:rsidRDefault="002839B4" w:rsidP="002839B4">
      <w:pPr>
        <w:pStyle w:val="Para1"/>
        <w:rPr>
          <w:lang w:eastAsia="en-AU"/>
        </w:rPr>
      </w:pPr>
      <w:r>
        <w:rPr>
          <w:lang w:eastAsia="en-AU"/>
        </w:rPr>
        <w:t>Section 99 of the EO Act prohibits sexual harassment in the provision of goods and services.  It says relevantly:</w:t>
      </w:r>
    </w:p>
    <w:p w:rsidR="002839B4" w:rsidRDefault="002839B4" w:rsidP="002839B4">
      <w:pPr>
        <w:pStyle w:val="Quote1"/>
        <w:ind w:left="1704" w:hanging="570"/>
        <w:rPr>
          <w:lang w:eastAsia="en-AU"/>
        </w:rPr>
      </w:pPr>
      <w:r>
        <w:rPr>
          <w:lang w:eastAsia="en-AU"/>
        </w:rPr>
        <w:t>(1)</w:t>
      </w:r>
      <w:r>
        <w:rPr>
          <w:lang w:eastAsia="en-AU"/>
        </w:rPr>
        <w:tab/>
        <w:t xml:space="preserve">A person must not sexually harass another person in the course of providing, or offering to provide, goods or services to that other person. </w:t>
      </w:r>
    </w:p>
    <w:p w:rsidR="002839B4" w:rsidRDefault="002839B4" w:rsidP="002839B4">
      <w:pPr>
        <w:pStyle w:val="Quote1"/>
        <w:ind w:left="1704" w:hanging="570"/>
        <w:rPr>
          <w:lang w:eastAsia="en-AU"/>
        </w:rPr>
      </w:pPr>
      <w:r>
        <w:rPr>
          <w:lang w:eastAsia="en-AU"/>
        </w:rPr>
        <w:t xml:space="preserve">(2) </w:t>
      </w:r>
      <w:r>
        <w:rPr>
          <w:lang w:eastAsia="en-AU"/>
        </w:rPr>
        <w:tab/>
        <w:t>A person must not sexually harass another person in the course of receiving or selecting goods or services provided by that other person.</w:t>
      </w:r>
    </w:p>
    <w:p w:rsidR="002839B4" w:rsidRDefault="002839B4" w:rsidP="002839B4">
      <w:pPr>
        <w:pStyle w:val="Quote1"/>
        <w:ind w:left="1704" w:hanging="570"/>
        <w:rPr>
          <w:lang w:eastAsia="en-AU"/>
        </w:rPr>
      </w:pPr>
      <w:r>
        <w:rPr>
          <w:lang w:eastAsia="en-AU"/>
        </w:rPr>
        <w:t xml:space="preserve">(3) </w:t>
      </w:r>
      <w:r>
        <w:rPr>
          <w:lang w:eastAsia="en-AU"/>
        </w:rPr>
        <w:tab/>
        <w:t xml:space="preserve">This section applies whether or not the goods or services are provided or received for payment. </w:t>
      </w:r>
    </w:p>
    <w:p w:rsidR="002839B4" w:rsidRDefault="002839B4" w:rsidP="002839B4">
      <w:pPr>
        <w:pStyle w:val="Para1"/>
        <w:rPr>
          <w:lang w:eastAsia="en-AU"/>
        </w:rPr>
      </w:pPr>
      <w:r>
        <w:rPr>
          <w:lang w:eastAsia="en-AU"/>
        </w:rPr>
        <w:t>So, in addition to demonstrating that the relevant conduct meets the definition of sexual harassment, an applicant must show that the conduct occurred in the context of the provision of goods and services.</w:t>
      </w:r>
    </w:p>
    <w:p w:rsidR="002839B4" w:rsidRDefault="002839B4" w:rsidP="002839B4">
      <w:pPr>
        <w:pStyle w:val="Para1"/>
      </w:pPr>
      <w:r>
        <w:t>Mr Djime alleges that a number of the events described above amount to victimisation contrary to section 103 of the EO Act.  Section 104 describes what victimisation is and says:</w:t>
      </w:r>
    </w:p>
    <w:p w:rsidR="002839B4" w:rsidRDefault="002839B4" w:rsidP="002839B4">
      <w:pPr>
        <w:pStyle w:val="Quote1"/>
        <w:ind w:left="1704" w:hanging="570"/>
        <w:rPr>
          <w:lang w:eastAsia="en-AU"/>
        </w:rPr>
      </w:pPr>
      <w:r>
        <w:rPr>
          <w:lang w:eastAsia="en-AU"/>
        </w:rPr>
        <w:t xml:space="preserve">(1) </w:t>
      </w:r>
      <w:r>
        <w:rPr>
          <w:lang w:eastAsia="en-AU"/>
        </w:rPr>
        <w:tab/>
        <w:t xml:space="preserve">A person victimises another person if the person subjects or threatens to subject the other person to any detriment because the other person, or a person associated with the other person - </w:t>
      </w:r>
    </w:p>
    <w:p w:rsidR="002839B4" w:rsidRDefault="002839B4" w:rsidP="002839B4">
      <w:pPr>
        <w:pStyle w:val="Quote1"/>
        <w:ind w:left="2272" w:hanging="568"/>
        <w:rPr>
          <w:lang w:eastAsia="en-AU"/>
        </w:rPr>
      </w:pPr>
      <w:r>
        <w:rPr>
          <w:lang w:eastAsia="en-AU"/>
        </w:rPr>
        <w:t>(a)</w:t>
      </w:r>
      <w:r>
        <w:rPr>
          <w:lang w:eastAsia="en-AU"/>
        </w:rPr>
        <w:tab/>
        <w:t xml:space="preserve">has brought a dispute to the Commission for dispute resolution; or  </w:t>
      </w:r>
    </w:p>
    <w:p w:rsidR="002839B4" w:rsidRDefault="002839B4" w:rsidP="002839B4">
      <w:pPr>
        <w:pStyle w:val="Quote1"/>
        <w:ind w:left="2272" w:hanging="568"/>
        <w:rPr>
          <w:lang w:eastAsia="en-AU"/>
        </w:rPr>
      </w:pPr>
      <w:r>
        <w:rPr>
          <w:lang w:eastAsia="en-AU"/>
        </w:rPr>
        <w:t xml:space="preserve">(b) </w:t>
      </w:r>
      <w:r>
        <w:rPr>
          <w:lang w:eastAsia="en-AU"/>
        </w:rPr>
        <w:tab/>
        <w:t xml:space="preserve">has made a complaint against any person under the old Act; or </w:t>
      </w:r>
    </w:p>
    <w:p w:rsidR="002839B4" w:rsidRDefault="002839B4" w:rsidP="002839B4">
      <w:pPr>
        <w:pStyle w:val="Quote1"/>
        <w:ind w:left="2272" w:hanging="568"/>
        <w:rPr>
          <w:lang w:eastAsia="en-AU"/>
        </w:rPr>
      </w:pPr>
      <w:r>
        <w:rPr>
          <w:lang w:eastAsia="en-AU"/>
        </w:rPr>
        <w:t xml:space="preserve">(c) </w:t>
      </w:r>
      <w:r>
        <w:rPr>
          <w:lang w:eastAsia="en-AU"/>
        </w:rPr>
        <w:tab/>
        <w:t xml:space="preserve">has brought any other proceedings under this Act or the old Act against any person; or </w:t>
      </w:r>
    </w:p>
    <w:p w:rsidR="002839B4" w:rsidRDefault="002839B4" w:rsidP="002839B4">
      <w:pPr>
        <w:pStyle w:val="Quote1"/>
        <w:ind w:left="2272" w:hanging="568"/>
        <w:rPr>
          <w:lang w:eastAsia="en-AU"/>
        </w:rPr>
      </w:pPr>
      <w:r>
        <w:rPr>
          <w:lang w:eastAsia="en-AU"/>
        </w:rPr>
        <w:t xml:space="preserve">(d) </w:t>
      </w:r>
      <w:r>
        <w:rPr>
          <w:lang w:eastAsia="en-AU"/>
        </w:rPr>
        <w:tab/>
        <w:t>has given evidence or information, or produced a document, in connection with –</w:t>
      </w:r>
    </w:p>
    <w:p w:rsidR="002839B4" w:rsidRDefault="002839B4" w:rsidP="002839B4">
      <w:pPr>
        <w:pStyle w:val="Quote1"/>
        <w:ind w:left="2272"/>
        <w:rPr>
          <w:lang w:eastAsia="en-AU"/>
        </w:rPr>
      </w:pPr>
      <w:r>
        <w:rPr>
          <w:lang w:eastAsia="en-AU"/>
        </w:rPr>
        <w:t xml:space="preserve">(i) any proceedings under this Act or the old Act; or </w:t>
      </w:r>
    </w:p>
    <w:p w:rsidR="002839B4" w:rsidRDefault="002839B4" w:rsidP="002839B4">
      <w:pPr>
        <w:pStyle w:val="Quote1"/>
        <w:ind w:left="2272"/>
        <w:rPr>
          <w:lang w:eastAsia="en-AU"/>
        </w:rPr>
      </w:pPr>
      <w:r>
        <w:rPr>
          <w:lang w:eastAsia="en-AU"/>
        </w:rPr>
        <w:t>(ii) any investigation conducted by the Commission; or</w:t>
      </w:r>
    </w:p>
    <w:p w:rsidR="002839B4" w:rsidRDefault="002839B4" w:rsidP="002839B4">
      <w:pPr>
        <w:pStyle w:val="Quote1"/>
        <w:ind w:left="2272" w:hanging="568"/>
        <w:rPr>
          <w:lang w:eastAsia="en-AU"/>
        </w:rPr>
      </w:pPr>
      <w:r>
        <w:rPr>
          <w:lang w:eastAsia="en-AU"/>
        </w:rPr>
        <w:t xml:space="preserve">(e) </w:t>
      </w:r>
      <w:r>
        <w:rPr>
          <w:lang w:eastAsia="en-AU"/>
        </w:rPr>
        <w:tab/>
        <w:t xml:space="preserve">has attended a compulsory conference or mediation at the Tribunal in any proceedings under this Act or the old Act; or   </w:t>
      </w:r>
    </w:p>
    <w:p w:rsidR="002839B4" w:rsidRDefault="002839B4" w:rsidP="002839B4">
      <w:pPr>
        <w:pStyle w:val="Quote1"/>
        <w:ind w:left="2272" w:hanging="568"/>
        <w:rPr>
          <w:lang w:eastAsia="en-AU"/>
        </w:rPr>
      </w:pPr>
      <w:r>
        <w:rPr>
          <w:lang w:eastAsia="en-AU"/>
        </w:rPr>
        <w:t xml:space="preserve">(f) </w:t>
      </w:r>
      <w:r>
        <w:rPr>
          <w:lang w:eastAsia="en-AU"/>
        </w:rPr>
        <w:tab/>
        <w:t xml:space="preserve">has otherwise done anything in accordance with this Act or the old Act in relation to any person; or  </w:t>
      </w:r>
    </w:p>
    <w:p w:rsidR="002839B4" w:rsidRDefault="002839B4" w:rsidP="002839B4">
      <w:pPr>
        <w:pStyle w:val="Quote1"/>
        <w:ind w:left="2272" w:hanging="568"/>
        <w:rPr>
          <w:lang w:eastAsia="en-AU"/>
        </w:rPr>
      </w:pPr>
      <w:r>
        <w:rPr>
          <w:lang w:eastAsia="en-AU"/>
        </w:rPr>
        <w:t xml:space="preserve">(g) </w:t>
      </w:r>
      <w:r>
        <w:rPr>
          <w:lang w:eastAsia="en-AU"/>
        </w:rPr>
        <w:tab/>
        <w:t xml:space="preserve">has alleged that any person has contravened a provision of Part 4 or 6 or this Part, or Part 3, 5 or 6 of the old Act, unless the allegation is false and was not made in good faith; or  </w:t>
      </w:r>
    </w:p>
    <w:p w:rsidR="002839B4" w:rsidRDefault="002839B4" w:rsidP="002839B4">
      <w:pPr>
        <w:pStyle w:val="Quote1"/>
        <w:ind w:left="2272" w:hanging="568"/>
        <w:rPr>
          <w:lang w:eastAsia="en-AU"/>
        </w:rPr>
      </w:pPr>
      <w:r>
        <w:rPr>
          <w:lang w:eastAsia="en-AU"/>
        </w:rPr>
        <w:t xml:space="preserve">(h) </w:t>
      </w:r>
      <w:r>
        <w:rPr>
          <w:lang w:eastAsia="en-AU"/>
        </w:rPr>
        <w:tab/>
        <w:t>has refused to do anything that –</w:t>
      </w:r>
    </w:p>
    <w:p w:rsidR="002839B4" w:rsidRDefault="002839B4" w:rsidP="002839B4">
      <w:pPr>
        <w:pStyle w:val="Quote1"/>
        <w:ind w:left="2556" w:hanging="284"/>
        <w:rPr>
          <w:lang w:eastAsia="en-AU"/>
        </w:rPr>
      </w:pPr>
      <w:r>
        <w:rPr>
          <w:lang w:eastAsia="en-AU"/>
        </w:rPr>
        <w:t>(i)</w:t>
      </w:r>
      <w:r>
        <w:rPr>
          <w:lang w:eastAsia="en-AU"/>
        </w:rPr>
        <w:tab/>
        <w:t xml:space="preserve">would contravene a provision of Part 4 or 6 or this Part; or </w:t>
      </w:r>
    </w:p>
    <w:p w:rsidR="002839B4" w:rsidRDefault="002839B4" w:rsidP="002839B4">
      <w:pPr>
        <w:pStyle w:val="Quote1"/>
        <w:ind w:left="2556" w:hanging="284"/>
        <w:rPr>
          <w:lang w:eastAsia="en-AU"/>
        </w:rPr>
      </w:pPr>
      <w:r>
        <w:rPr>
          <w:lang w:eastAsia="en-AU"/>
        </w:rPr>
        <w:t>(ii) would have contravened a provision of Part 3, 5 or 6 of the old Act –</w:t>
      </w:r>
    </w:p>
    <w:p w:rsidR="002839B4" w:rsidRDefault="002839B4" w:rsidP="005A64C8">
      <w:pPr>
        <w:pStyle w:val="Quote1"/>
        <w:ind w:left="2272"/>
        <w:rPr>
          <w:lang w:eastAsia="en-AU"/>
        </w:rPr>
      </w:pPr>
      <w:r>
        <w:rPr>
          <w:lang w:eastAsia="en-AU"/>
        </w:rPr>
        <w:t>or because the person believes that the other person or the associate has done or intends to do any of those things.</w:t>
      </w:r>
    </w:p>
    <w:p w:rsidR="002A2D75" w:rsidRDefault="00273B42" w:rsidP="00273B42">
      <w:pPr>
        <w:pStyle w:val="Para1"/>
      </w:pPr>
      <w:r w:rsidRPr="00273B42">
        <w:t xml:space="preserve">Mr Djime noted that, when he made his application, he completed the </w:t>
      </w:r>
      <w:r w:rsidR="00886BD1">
        <w:t>tribunal</w:t>
      </w:r>
      <w:r w:rsidR="005A64C8">
        <w:t xml:space="preserve"> application </w:t>
      </w:r>
      <w:r w:rsidRPr="00273B42">
        <w:t>form to show that he was also making a claim that certain police officers were authorising or assisting discrimination.  That part of the application form reflects section 105 of the EO Act which says</w:t>
      </w:r>
      <w:r>
        <w:t>,</w:t>
      </w:r>
      <w:r w:rsidRPr="00273B42">
        <w:t xml:space="preserve"> </w:t>
      </w:r>
      <w:r>
        <w:t xml:space="preserve">relevantly here, </w:t>
      </w:r>
      <w:r w:rsidRPr="00273B42">
        <w:t>that</w:t>
      </w:r>
      <w:r w:rsidR="005A64C8">
        <w:t xml:space="preserve"> </w:t>
      </w:r>
      <w:r>
        <w:t>a</w:t>
      </w:r>
      <w:r>
        <w:rPr>
          <w:lang w:eastAsia="en-AU"/>
        </w:rPr>
        <w:t xml:space="preserve"> </w:t>
      </w:r>
      <w:r w:rsidRPr="00273B42">
        <w:rPr>
          <w:lang w:eastAsia="en-AU"/>
        </w:rPr>
        <w:t>person must not request, instruct, induce,</w:t>
      </w:r>
      <w:r>
        <w:rPr>
          <w:lang w:eastAsia="en-AU"/>
        </w:rPr>
        <w:t xml:space="preserve"> </w:t>
      </w:r>
      <w:r w:rsidRPr="00273B42">
        <w:rPr>
          <w:lang w:eastAsia="en-AU"/>
        </w:rPr>
        <w:t>encourage, authorise or assist another person to</w:t>
      </w:r>
      <w:r>
        <w:rPr>
          <w:lang w:eastAsia="en-AU"/>
        </w:rPr>
        <w:t xml:space="preserve"> engage in prohibited discrimination, sexual harassment or victimisation. </w:t>
      </w:r>
      <w:r>
        <w:t xml:space="preserve"> Under section 106 of the EO Act, a claim may be brought </w:t>
      </w:r>
      <w:r w:rsidR="002A2D75">
        <w:t xml:space="preserve">against either the person who has breached the EO Act or the person who has </w:t>
      </w:r>
      <w:r w:rsidR="00E53B11">
        <w:t>authorised</w:t>
      </w:r>
      <w:r w:rsidR="002A2D75">
        <w:t xml:space="preserve"> or assisted that breach.  </w:t>
      </w:r>
    </w:p>
    <w:p w:rsidR="00273B42" w:rsidRPr="00273B42" w:rsidRDefault="002A2D75" w:rsidP="00273B42">
      <w:pPr>
        <w:pStyle w:val="Para1"/>
      </w:pPr>
      <w:r>
        <w:t>Mr Djime contended that, in order to deal with that part of his claim, he did not need to demonstrate that a service had been provided to him.  That is incorrect because, there can only be prohibited discrimination or sexual harassment if it falls within one of the areas of life identified in the EO Act.</w:t>
      </w:r>
    </w:p>
    <w:p w:rsidR="002839B4" w:rsidRDefault="002839B4" w:rsidP="002839B4">
      <w:pPr>
        <w:pStyle w:val="Para1"/>
      </w:pPr>
      <w:r>
        <w:t xml:space="preserve">Unlike discrimination and sexual harassment claims, an applicant in respect of a victimisation claim does not have to identify an area of life.  Rather, the applicant must demonstrate that there has been an action or conduct of the kind described in section 104(1) and show that action or conduct was the cause of the alleged </w:t>
      </w:r>
      <w:r>
        <w:rPr>
          <w:lang w:eastAsia="en-AU"/>
        </w:rPr>
        <w:t>detriment.</w:t>
      </w:r>
    </w:p>
    <w:p w:rsidR="00C07336" w:rsidRDefault="00C07336" w:rsidP="00C07336">
      <w:pPr>
        <w:pStyle w:val="Para1"/>
      </w:pPr>
      <w:r w:rsidRPr="0006646E">
        <w:t>The onus of proving that there has been</w:t>
      </w:r>
      <w:r>
        <w:t xml:space="preserve"> a breach of the EO Act </w:t>
      </w:r>
      <w:r w:rsidRPr="0006646E">
        <w:t>falls on</w:t>
      </w:r>
      <w:r>
        <w:t xml:space="preserve"> Mr Djime</w:t>
      </w:r>
      <w:r w:rsidRPr="0006646E">
        <w:t xml:space="preserve">.  The standard of proof is on the balance of probabilities.  What is required is for the </w:t>
      </w:r>
      <w:r w:rsidR="00886BD1">
        <w:t>tribunal</w:t>
      </w:r>
      <w:r w:rsidRPr="0006646E">
        <w:t xml:space="preserve"> to be satisfied that</w:t>
      </w:r>
      <w:r>
        <w:t>,</w:t>
      </w:r>
      <w:r w:rsidRPr="0006646E">
        <w:t xml:space="preserve"> overall</w:t>
      </w:r>
      <w:r>
        <w:t>,</w:t>
      </w:r>
      <w:r w:rsidRPr="0006646E">
        <w:t xml:space="preserve"> it is more probable than not that the events occurred as described and that the inferences sought to be drawn can reasonably be drawn from the facts as they have been found.  </w:t>
      </w:r>
    </w:p>
    <w:p w:rsidR="00C07336" w:rsidRDefault="00C07336" w:rsidP="00C07336">
      <w:pPr>
        <w:pStyle w:val="Para1"/>
        <w:rPr>
          <w:lang w:eastAsia="en-AU"/>
        </w:rPr>
      </w:pPr>
      <w:r>
        <w:t>In cases of discrimination, the person engaging in the prohibited conduct does not ordinarily announce that fact.  It is often necessary for an inference to be drawn from the evidence presented that the reason for the unfavourable treatment is the relevant attribute.  T</w:t>
      </w:r>
      <w:r w:rsidRPr="0006646E">
        <w:t xml:space="preserve">he </w:t>
      </w:r>
      <w:r w:rsidR="00886BD1">
        <w:t>tribunal</w:t>
      </w:r>
      <w:r w:rsidRPr="0006646E">
        <w:t xml:space="preserve"> </w:t>
      </w:r>
      <w:r>
        <w:t xml:space="preserve">must </w:t>
      </w:r>
      <w:r w:rsidRPr="0006646E">
        <w:t xml:space="preserve">be satisfied overall that the inferences sought to be drawn can reasonably be drawn from the facts as found.  </w:t>
      </w:r>
    </w:p>
    <w:p w:rsidR="002839B4" w:rsidRPr="00E31982" w:rsidRDefault="002839B4" w:rsidP="002839B4">
      <w:pPr>
        <w:pStyle w:val="Heading3"/>
      </w:pPr>
      <w:r>
        <w:t>RRT Act</w:t>
      </w:r>
    </w:p>
    <w:p w:rsidR="000D0D83" w:rsidRDefault="000D0D83" w:rsidP="002839B4">
      <w:pPr>
        <w:pStyle w:val="Para1"/>
      </w:pPr>
      <w:r>
        <w:t>Mr Djime alleges that he was racially vilified contrary to the RRT Act in respect of one incident.</w:t>
      </w:r>
    </w:p>
    <w:p w:rsidR="002839B4" w:rsidRDefault="002839B4" w:rsidP="002839B4">
      <w:pPr>
        <w:pStyle w:val="Para1"/>
      </w:pPr>
      <w:r>
        <w:t xml:space="preserve">The purposes of the RRT Act </w:t>
      </w:r>
      <w:r>
        <w:rPr>
          <w:lang w:eastAsia="en-AU"/>
        </w:rPr>
        <w:t>are to promote racial and religious tolerance by prohibiting certain conduct involving the vilification of persons on the ground of race or religious belief or activity and to provide a means of redress for the victims of racial or religious vilification.</w:t>
      </w:r>
      <w:r>
        <w:rPr>
          <w:rStyle w:val="FootnoteReference"/>
        </w:rPr>
        <w:footnoteReference w:id="10"/>
      </w:r>
    </w:p>
    <w:p w:rsidR="002839B4" w:rsidRDefault="002839B4" w:rsidP="002839B4">
      <w:pPr>
        <w:pStyle w:val="Para1"/>
      </w:pPr>
      <w:r>
        <w:t>Section 7 of the RRT Act says:</w:t>
      </w:r>
    </w:p>
    <w:p w:rsidR="002839B4" w:rsidRDefault="002839B4" w:rsidP="002839B4">
      <w:pPr>
        <w:pStyle w:val="Quote1"/>
        <w:ind w:left="1704" w:hanging="570"/>
        <w:rPr>
          <w:lang w:eastAsia="en-AU"/>
        </w:rPr>
      </w:pPr>
      <w:r>
        <w:rPr>
          <w:lang w:eastAsia="en-AU"/>
        </w:rPr>
        <w:t>(1)</w:t>
      </w:r>
      <w:r>
        <w:rPr>
          <w:lang w:eastAsia="en-AU"/>
        </w:rPr>
        <w:tab/>
        <w:t>A person must not, on the ground of the race of another person or class of persons, engage in conduct that incites hatred against, serious contempt for, or revulsion or severe ridicule of, that other person or class of persons.</w:t>
      </w:r>
    </w:p>
    <w:p w:rsidR="002839B4" w:rsidRDefault="002839B4" w:rsidP="002839B4">
      <w:pPr>
        <w:pStyle w:val="Quote1"/>
        <w:rPr>
          <w:lang w:eastAsia="en-AU"/>
        </w:rPr>
      </w:pPr>
      <w:r>
        <w:rPr>
          <w:lang w:eastAsia="en-AU"/>
        </w:rPr>
        <w:t xml:space="preserve">(2) </w:t>
      </w:r>
      <w:r>
        <w:rPr>
          <w:lang w:eastAsia="en-AU"/>
        </w:rPr>
        <w:tab/>
        <w:t xml:space="preserve">For the purposes of subsection (1), conduct - </w:t>
      </w:r>
    </w:p>
    <w:p w:rsidR="002839B4" w:rsidRDefault="002839B4" w:rsidP="002839B4">
      <w:pPr>
        <w:pStyle w:val="Quote1"/>
        <w:ind w:left="2272" w:hanging="568"/>
        <w:rPr>
          <w:lang w:eastAsia="en-AU"/>
        </w:rPr>
      </w:pPr>
      <w:r>
        <w:rPr>
          <w:lang w:eastAsia="en-AU"/>
        </w:rPr>
        <w:t>(a)</w:t>
      </w:r>
      <w:r>
        <w:rPr>
          <w:lang w:eastAsia="en-AU"/>
        </w:rPr>
        <w:tab/>
        <w:t xml:space="preserve">may be constituted by a single occasion or by a number of occasions over a period of time; and </w:t>
      </w:r>
    </w:p>
    <w:p w:rsidR="002839B4" w:rsidRDefault="002839B4" w:rsidP="002839B4">
      <w:pPr>
        <w:pStyle w:val="Quote1"/>
        <w:ind w:left="2272" w:hanging="568"/>
        <w:rPr>
          <w:lang w:eastAsia="en-AU"/>
        </w:rPr>
      </w:pPr>
      <w:r>
        <w:rPr>
          <w:lang w:eastAsia="en-AU"/>
        </w:rPr>
        <w:t xml:space="preserve">(b) </w:t>
      </w:r>
      <w:r>
        <w:rPr>
          <w:lang w:eastAsia="en-AU"/>
        </w:rPr>
        <w:tab/>
        <w:t xml:space="preserve">may occur in or outside </w:t>
      </w:r>
      <w:smartTag w:uri="urn:schemas-microsoft-com:office:smarttags" w:element="State">
        <w:smartTag w:uri="urn:schemas-microsoft-com:office:smarttags" w:element="place">
          <w:r>
            <w:rPr>
              <w:lang w:eastAsia="en-AU"/>
            </w:rPr>
            <w:t>Victoria</w:t>
          </w:r>
        </w:smartTag>
      </w:smartTag>
      <w:r>
        <w:rPr>
          <w:lang w:eastAsia="en-AU"/>
        </w:rPr>
        <w:t>.</w:t>
      </w:r>
    </w:p>
    <w:p w:rsidR="002839B4" w:rsidRDefault="002839B4" w:rsidP="002839B4">
      <w:pPr>
        <w:pStyle w:val="Para1"/>
      </w:pPr>
      <w:r>
        <w:t xml:space="preserve">Section 11 of the RRT Act provides that </w:t>
      </w:r>
      <w:r>
        <w:rPr>
          <w:lang w:eastAsia="en-AU"/>
        </w:rPr>
        <w:t xml:space="preserve">a person does not contravene section 7 if the person establishes that the relevant conduct was engaged in reasonably and in good faith and </w:t>
      </w:r>
      <w:r>
        <w:rPr>
          <w:i/>
          <w:lang w:eastAsia="en-AU"/>
        </w:rPr>
        <w:t>‘</w:t>
      </w:r>
      <w:r w:rsidRPr="00381683">
        <w:rPr>
          <w:i/>
          <w:lang w:eastAsia="en-AU"/>
        </w:rPr>
        <w:t>for any purpose that is in the public interest’</w:t>
      </w:r>
      <w:r>
        <w:rPr>
          <w:lang w:eastAsia="en-AU"/>
        </w:rPr>
        <w:t>.</w:t>
      </w:r>
    </w:p>
    <w:p w:rsidR="002839B4" w:rsidRDefault="002839B4" w:rsidP="002839B4">
      <w:pPr>
        <w:pStyle w:val="Heading3"/>
      </w:pPr>
      <w:r>
        <w:t>Charter</w:t>
      </w:r>
    </w:p>
    <w:p w:rsidR="002839B4" w:rsidRDefault="002839B4" w:rsidP="002839B4">
      <w:pPr>
        <w:pStyle w:val="Para1"/>
      </w:pPr>
      <w:r>
        <w:t xml:space="preserve">I understand that Mr Djime claims that the respondents have breached his Charter rights to freedom of expression and freedom of movement.  </w:t>
      </w:r>
    </w:p>
    <w:p w:rsidR="002839B4" w:rsidRDefault="002839B4" w:rsidP="002839B4">
      <w:pPr>
        <w:pStyle w:val="Para1"/>
      </w:pPr>
      <w:r w:rsidRPr="00E55E1A">
        <w:t>Section 12 says that</w:t>
      </w:r>
      <w:r>
        <w:t>,</w:t>
      </w:r>
      <w:r w:rsidRPr="00E55E1A">
        <w:t xml:space="preserve"> </w:t>
      </w:r>
      <w:r w:rsidRPr="00E55E1A">
        <w:rPr>
          <w:lang w:eastAsia="en-AU"/>
        </w:rPr>
        <w:t xml:space="preserve">every person lawfully within </w:t>
      </w:r>
      <w:smartTag w:uri="urn:schemas-microsoft-com:office:smarttags" w:element="State">
        <w:r w:rsidRPr="00E55E1A">
          <w:rPr>
            <w:lang w:eastAsia="en-AU"/>
          </w:rPr>
          <w:t>Victoria</w:t>
        </w:r>
      </w:smartTag>
      <w:r>
        <w:rPr>
          <w:lang w:eastAsia="en-AU"/>
        </w:rPr>
        <w:t>,</w:t>
      </w:r>
      <w:r w:rsidRPr="00E55E1A">
        <w:rPr>
          <w:lang w:eastAsia="en-AU"/>
        </w:rPr>
        <w:t xml:space="preserve"> has the right to move freely within </w:t>
      </w:r>
      <w:smartTag w:uri="urn:schemas-microsoft-com:office:smarttags" w:element="State">
        <w:smartTag w:uri="urn:schemas-microsoft-com:office:smarttags" w:element="place">
          <w:r w:rsidRPr="00E55E1A">
            <w:rPr>
              <w:lang w:eastAsia="en-AU"/>
            </w:rPr>
            <w:t>Victoria</w:t>
          </w:r>
        </w:smartTag>
      </w:smartTag>
      <w:r w:rsidRPr="00E55E1A">
        <w:rPr>
          <w:lang w:eastAsia="en-AU"/>
        </w:rPr>
        <w:t xml:space="preserve"> and to enter and leave it and has the freedom to choose where to live.</w:t>
      </w:r>
    </w:p>
    <w:p w:rsidR="002839B4" w:rsidRDefault="002839B4" w:rsidP="002839B4">
      <w:pPr>
        <w:pStyle w:val="Para1"/>
      </w:pPr>
      <w:r>
        <w:t>Section 15 says:</w:t>
      </w:r>
    </w:p>
    <w:p w:rsidR="002839B4" w:rsidRDefault="002839B4" w:rsidP="002839B4">
      <w:pPr>
        <w:pStyle w:val="Quote1"/>
        <w:ind w:left="1704" w:hanging="570"/>
      </w:pPr>
      <w:r>
        <w:t>(1)</w:t>
      </w:r>
      <w:r>
        <w:tab/>
        <w:t xml:space="preserve">Every person has the right to hold an opinion without interference.  </w:t>
      </w:r>
    </w:p>
    <w:p w:rsidR="002839B4" w:rsidRPr="00A4638C" w:rsidRDefault="002839B4" w:rsidP="002839B4">
      <w:pPr>
        <w:pStyle w:val="Quote1"/>
        <w:ind w:left="1704" w:hanging="570"/>
      </w:pPr>
      <w:r>
        <w:t>(2)</w:t>
      </w:r>
      <w:r>
        <w:tab/>
      </w:r>
      <w:r w:rsidRPr="00A4638C">
        <w:t>Every person has the right to freedom of expression which includes the freedom to seek, receive and impart information and ideas of all kinds, whether within o</w:t>
      </w:r>
      <w:r>
        <w:t xml:space="preserve">r outside </w:t>
      </w:r>
      <w:smartTag w:uri="urn:schemas-microsoft-com:office:smarttags" w:element="State">
        <w:smartTag w:uri="urn:schemas-microsoft-com:office:smarttags" w:element="place">
          <w:r>
            <w:t>Victoria</w:t>
          </w:r>
        </w:smartTag>
      </w:smartTag>
      <w:r>
        <w:t xml:space="preserve"> and whether - </w:t>
      </w:r>
    </w:p>
    <w:p w:rsidR="002839B4" w:rsidRDefault="002839B4" w:rsidP="002839B4">
      <w:pPr>
        <w:pStyle w:val="Quote1"/>
        <w:ind w:left="1702" w:firstLine="2"/>
      </w:pPr>
      <w:r>
        <w:t>(a)</w:t>
      </w:r>
      <w:r>
        <w:tab/>
      </w:r>
      <w:r>
        <w:tab/>
      </w:r>
      <w:r w:rsidRPr="00A4638C">
        <w:t xml:space="preserve">orally; or </w:t>
      </w:r>
    </w:p>
    <w:p w:rsidR="002839B4" w:rsidRDefault="002839B4" w:rsidP="002839B4">
      <w:pPr>
        <w:pStyle w:val="Quote1"/>
        <w:ind w:left="1700" w:firstLine="2"/>
      </w:pPr>
      <w:r>
        <w:t xml:space="preserve">(b) </w:t>
      </w:r>
      <w:r>
        <w:tab/>
      </w:r>
      <w:r w:rsidRPr="00A4638C">
        <w:t xml:space="preserve">in writing; or  </w:t>
      </w:r>
    </w:p>
    <w:p w:rsidR="002839B4" w:rsidRDefault="002839B4" w:rsidP="002839B4">
      <w:pPr>
        <w:pStyle w:val="Quote1"/>
        <w:ind w:left="1700" w:firstLine="2"/>
      </w:pPr>
      <w:r w:rsidRPr="00A4638C">
        <w:t xml:space="preserve">(c) </w:t>
      </w:r>
      <w:r>
        <w:tab/>
      </w:r>
      <w:r w:rsidRPr="00A4638C">
        <w:t xml:space="preserve">in print; or </w:t>
      </w:r>
    </w:p>
    <w:p w:rsidR="002839B4" w:rsidRDefault="002839B4" w:rsidP="002839B4">
      <w:pPr>
        <w:pStyle w:val="Quote1"/>
        <w:ind w:left="1700" w:firstLine="2"/>
      </w:pPr>
      <w:r w:rsidRPr="00A4638C">
        <w:t xml:space="preserve">(d) </w:t>
      </w:r>
      <w:r>
        <w:tab/>
      </w:r>
      <w:r w:rsidRPr="00A4638C">
        <w:t xml:space="preserve">by way of art; or </w:t>
      </w:r>
    </w:p>
    <w:p w:rsidR="002839B4" w:rsidRPr="00A4638C" w:rsidRDefault="002839B4" w:rsidP="002839B4">
      <w:pPr>
        <w:pStyle w:val="Quote1"/>
        <w:ind w:left="1698" w:firstLine="2"/>
      </w:pPr>
      <w:r w:rsidRPr="00A4638C">
        <w:t xml:space="preserve">(e) </w:t>
      </w:r>
      <w:r>
        <w:tab/>
      </w:r>
      <w:r w:rsidRPr="00A4638C">
        <w:t xml:space="preserve">in another medium chosen by him or her. </w:t>
      </w:r>
    </w:p>
    <w:p w:rsidR="002839B4" w:rsidRDefault="002839B4" w:rsidP="002839B4">
      <w:pPr>
        <w:pStyle w:val="Quote1"/>
        <w:ind w:left="1704" w:hanging="570"/>
      </w:pPr>
      <w:r>
        <w:t>(3)</w:t>
      </w:r>
      <w:r>
        <w:tab/>
        <w:t xml:space="preserve">Special duties and responsibilities are attached to the right of freedom of expression and the right may be subject to lawful restrictions reasonably necessary - </w:t>
      </w:r>
    </w:p>
    <w:p w:rsidR="002839B4" w:rsidRDefault="002839B4" w:rsidP="002839B4">
      <w:pPr>
        <w:pStyle w:val="Quote1"/>
        <w:ind w:left="1702" w:firstLine="2"/>
      </w:pPr>
      <w:r>
        <w:t>(a)</w:t>
      </w:r>
      <w:r>
        <w:tab/>
      </w:r>
      <w:r>
        <w:tab/>
        <w:t xml:space="preserve">to respect the rights and reputation of other persons; or </w:t>
      </w:r>
    </w:p>
    <w:p w:rsidR="002839B4" w:rsidRDefault="002839B4" w:rsidP="002839B4">
      <w:pPr>
        <w:pStyle w:val="Quote1"/>
        <w:ind w:left="2272" w:hanging="568"/>
      </w:pPr>
      <w:r>
        <w:t xml:space="preserve">(b) </w:t>
      </w:r>
      <w:r>
        <w:tab/>
        <w:t>for the protection of national security, public order, public health or public morality.</w:t>
      </w:r>
    </w:p>
    <w:p w:rsidR="002839B4" w:rsidRDefault="002839B4" w:rsidP="002839B4">
      <w:pPr>
        <w:pStyle w:val="Para1"/>
      </w:pPr>
      <w:r>
        <w:t>Given the claims of discrimination made, I have assumed that Mr Djime also relies on the Charter right to recognition and equality before the law.  Section 8 says:</w:t>
      </w:r>
    </w:p>
    <w:p w:rsidR="002839B4" w:rsidRDefault="002839B4" w:rsidP="002839B4">
      <w:pPr>
        <w:pStyle w:val="Quote1"/>
        <w:ind w:left="1704" w:hanging="570"/>
      </w:pPr>
      <w:r w:rsidRPr="000412EA">
        <w:t>(1)</w:t>
      </w:r>
      <w:r w:rsidRPr="000412EA">
        <w:tab/>
        <w:t>Every person has the right to recognition as a person before the law.</w:t>
      </w:r>
      <w:r>
        <w:t xml:space="preserve"> </w:t>
      </w:r>
    </w:p>
    <w:p w:rsidR="002839B4" w:rsidRDefault="002839B4" w:rsidP="002839B4">
      <w:pPr>
        <w:pStyle w:val="Quote1"/>
        <w:ind w:left="1704" w:hanging="570"/>
      </w:pPr>
      <w:r w:rsidRPr="000412EA">
        <w:t>(2)</w:t>
      </w:r>
      <w:r w:rsidRPr="000412EA">
        <w:tab/>
        <w:t xml:space="preserve">Every person has the right to enjoy his or her human rights without discrimination.  </w:t>
      </w:r>
    </w:p>
    <w:p w:rsidR="002839B4" w:rsidRDefault="002839B4" w:rsidP="002839B4">
      <w:pPr>
        <w:pStyle w:val="Quote1"/>
        <w:ind w:left="1704" w:hanging="570"/>
      </w:pPr>
      <w:r w:rsidRPr="000412EA">
        <w:t>(3)</w:t>
      </w:r>
      <w:r w:rsidRPr="000412EA">
        <w:tab/>
        <w:t>Every person is equal before the law and is entitled to the equal protection of the law without discrimination and has the right to equal and effective protection against discrimination.</w:t>
      </w:r>
    </w:p>
    <w:p w:rsidR="002839B4" w:rsidRPr="000412EA" w:rsidRDefault="002839B4" w:rsidP="002839B4">
      <w:pPr>
        <w:pStyle w:val="Quote1"/>
        <w:ind w:left="1704" w:hanging="570"/>
      </w:pPr>
      <w:r w:rsidRPr="000412EA">
        <w:t>(4)</w:t>
      </w:r>
      <w:r w:rsidRPr="000412EA">
        <w:tab/>
        <w:t>Measures taken for the purpose of assisting or advancing persons or groups of persons disadvantaged because of discrimination do not constitute discrimination.</w:t>
      </w:r>
    </w:p>
    <w:p w:rsidR="002839B4" w:rsidRDefault="002839B4" w:rsidP="002839B4">
      <w:pPr>
        <w:pStyle w:val="Para1"/>
      </w:pPr>
      <w:r>
        <w:t>The Charter defines discrimination to mean ‘</w:t>
      </w:r>
      <w:r w:rsidRPr="00B65A97">
        <w:rPr>
          <w:i/>
        </w:rPr>
        <w:t>discrimination (within the meaning of the Equal Opportunity Act 2010) on the basis of an attribute set out in section 6 of that Ac</w:t>
      </w:r>
      <w:r>
        <w:t>t.</w:t>
      </w:r>
      <w:r w:rsidRPr="00B60994">
        <w:rPr>
          <w:i/>
        </w:rPr>
        <w:t>’</w:t>
      </w:r>
    </w:p>
    <w:p w:rsidR="002839B4" w:rsidRDefault="002839B4" w:rsidP="002839B4">
      <w:pPr>
        <w:pStyle w:val="Para1"/>
      </w:pPr>
      <w:r>
        <w:t>Section 7 of the Charter provides that a</w:t>
      </w:r>
      <w:r w:rsidRPr="00187086">
        <w:t xml:space="preserve"> human right may be subject under law only to such reasonable limits as can be demonstrably justified in a free and democratic society based on human dignity, equality and freedom, and taking into account </w:t>
      </w:r>
      <w:r>
        <w:t xml:space="preserve">certain matters.  They include </w:t>
      </w:r>
      <w:r w:rsidRPr="00187086">
        <w:t>the nature of the right</w:t>
      </w:r>
      <w:r>
        <w:t xml:space="preserve">, </w:t>
      </w:r>
      <w:r w:rsidRPr="00187086">
        <w:t>the importance o</w:t>
      </w:r>
      <w:r>
        <w:t>f the purpose of the limitation,</w:t>
      </w:r>
      <w:r w:rsidRPr="00187086">
        <w:t xml:space="preserve"> the nature and extent of the limitation</w:t>
      </w:r>
      <w:r>
        <w:t xml:space="preserve">, </w:t>
      </w:r>
      <w:r w:rsidRPr="00187086">
        <w:t xml:space="preserve">the relationship between </w:t>
      </w:r>
      <w:r>
        <w:t xml:space="preserve">the limitation and its purpose </w:t>
      </w:r>
      <w:r w:rsidRPr="00187086">
        <w:t>and any less restrictive means reasonably available to achieve the purpose that the limitation seeks to achieve.</w:t>
      </w:r>
    </w:p>
    <w:p w:rsidR="002839B4" w:rsidRDefault="002839B4" w:rsidP="002839B4">
      <w:pPr>
        <w:pStyle w:val="Para1"/>
      </w:pPr>
      <w:r>
        <w:t>Section 38 of the Charter says, relevantly, that it is unlawful for a public authority to act in a way that is incompatible with a human right or, in making a decision, to fail to give proper consideration to a relevant human right.  There is no d</w:t>
      </w:r>
      <w:r w:rsidR="005A4825">
        <w:t xml:space="preserve">ispute that the respondents all fall within the meaning of </w:t>
      </w:r>
      <w:r>
        <w:t xml:space="preserve">public authorities and so </w:t>
      </w:r>
      <w:r w:rsidR="00554662">
        <w:t xml:space="preserve">are </w:t>
      </w:r>
      <w:r>
        <w:t>bound by the Charter.</w:t>
      </w:r>
      <w:r w:rsidR="005A4825">
        <w:rPr>
          <w:rStyle w:val="FootnoteReference"/>
        </w:rPr>
        <w:footnoteReference w:id="11"/>
      </w:r>
    </w:p>
    <w:p w:rsidR="002839B4" w:rsidRDefault="002839B4" w:rsidP="002839B4">
      <w:pPr>
        <w:pStyle w:val="Para1"/>
      </w:pPr>
      <w:r>
        <w:t>Claims under the Charter may be brought where they fall within section 39(1).  It says:</w:t>
      </w:r>
    </w:p>
    <w:p w:rsidR="002839B4" w:rsidRPr="00E55E1A" w:rsidRDefault="002839B4" w:rsidP="002839B4">
      <w:pPr>
        <w:pStyle w:val="Quote1"/>
        <w:rPr>
          <w:sz w:val="26"/>
          <w:szCs w:val="26"/>
        </w:rPr>
      </w:pPr>
      <w:r>
        <w:t>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w:t>
      </w:r>
    </w:p>
    <w:p w:rsidR="002839B4" w:rsidRDefault="002839B4" w:rsidP="002839B4">
      <w:pPr>
        <w:pStyle w:val="Para1"/>
      </w:pPr>
      <w:r>
        <w:t xml:space="preserve">As a consequence of Bell J’s decision in </w:t>
      </w:r>
      <w:r w:rsidRPr="00926FFF">
        <w:rPr>
          <w:i/>
        </w:rPr>
        <w:t>Goode v Common Equity Housing</w:t>
      </w:r>
      <w:r>
        <w:t>,</w:t>
      </w:r>
      <w:r>
        <w:rPr>
          <w:rStyle w:val="FootnoteReference"/>
        </w:rPr>
        <w:footnoteReference w:id="12"/>
      </w:r>
      <w:r>
        <w:t xml:space="preserve"> it is clear that, in respect of an act or decision of a public authority, where an applicant may seek relief or remedy for unlawfulness under one Act (such as the EO Act or the RRT Act), then a claim for relief or remedy for unlawfulness may also be made under the Charter. </w:t>
      </w:r>
    </w:p>
    <w:p w:rsidR="002839B4" w:rsidRPr="004A4D78" w:rsidRDefault="002839B4" w:rsidP="002839B4">
      <w:pPr>
        <w:pStyle w:val="Heading3"/>
      </w:pPr>
      <w:r w:rsidRPr="004A4D78">
        <w:t>Services under the EO Act</w:t>
      </w:r>
    </w:p>
    <w:p w:rsidR="002839B4" w:rsidRPr="004A4D78" w:rsidRDefault="002839B4" w:rsidP="002839B4">
      <w:pPr>
        <w:pStyle w:val="Para1"/>
        <w:numPr>
          <w:ilvl w:val="0"/>
          <w:numId w:val="0"/>
        </w:numPr>
        <w:rPr>
          <w:i/>
        </w:rPr>
      </w:pPr>
      <w:r>
        <w:rPr>
          <w:i/>
        </w:rPr>
        <w:t>The meaning of services</w:t>
      </w:r>
    </w:p>
    <w:p w:rsidR="002839B4" w:rsidRDefault="002839B4" w:rsidP="002839B4">
      <w:pPr>
        <w:pStyle w:val="Para1"/>
      </w:pPr>
      <w:r>
        <w:t xml:space="preserve">The term </w:t>
      </w:r>
      <w:r>
        <w:rPr>
          <w:i/>
        </w:rPr>
        <w:t>‘</w:t>
      </w:r>
      <w:r w:rsidRPr="00DF4C85">
        <w:rPr>
          <w:i/>
        </w:rPr>
        <w:t>services’</w:t>
      </w:r>
      <w:r>
        <w:rPr>
          <w:i/>
        </w:rPr>
        <w:t xml:space="preserve"> </w:t>
      </w:r>
      <w:r>
        <w:t xml:space="preserve"> is defined in section 3 of the EO Act as follows: </w:t>
      </w:r>
    </w:p>
    <w:p w:rsidR="002839B4" w:rsidRDefault="002839B4" w:rsidP="002839B4">
      <w:pPr>
        <w:pStyle w:val="Quote1"/>
        <w:rPr>
          <w:lang w:eastAsia="en-AU"/>
        </w:rPr>
      </w:pPr>
      <w:r w:rsidRPr="00074536">
        <w:rPr>
          <w:rFonts w:ascii="TimesNewRomanPS-BoldItalicMT" w:hAnsi="TimesNewRomanPS-BoldItalicMT" w:cs="TimesNewRomanPS-BoldItalicMT"/>
          <w:bCs/>
          <w:i/>
          <w:iCs/>
          <w:lang w:eastAsia="en-AU"/>
        </w:rPr>
        <w:t xml:space="preserve">services </w:t>
      </w:r>
      <w:r w:rsidRPr="00074536">
        <w:rPr>
          <w:lang w:eastAsia="en-AU"/>
        </w:rPr>
        <w:t>i</w:t>
      </w:r>
      <w:r>
        <w:rPr>
          <w:lang w:eastAsia="en-AU"/>
        </w:rPr>
        <w:t xml:space="preserve">ncludes, without limiting the generality of the word - </w:t>
      </w:r>
    </w:p>
    <w:p w:rsidR="002839B4" w:rsidRDefault="002839B4" w:rsidP="002839B4">
      <w:pPr>
        <w:pStyle w:val="Quote1"/>
        <w:numPr>
          <w:ilvl w:val="0"/>
          <w:numId w:val="23"/>
        </w:numPr>
        <w:rPr>
          <w:lang w:eastAsia="en-AU"/>
        </w:rPr>
      </w:pPr>
      <w:r>
        <w:rPr>
          <w:lang w:eastAsia="en-AU"/>
        </w:rPr>
        <w:t>access to and use of any place that members of the public are permitted to enter;</w:t>
      </w:r>
    </w:p>
    <w:p w:rsidR="002839B4" w:rsidRDefault="002839B4" w:rsidP="002839B4">
      <w:pPr>
        <w:pStyle w:val="Quote1"/>
        <w:numPr>
          <w:ilvl w:val="0"/>
          <w:numId w:val="23"/>
        </w:numPr>
        <w:rPr>
          <w:lang w:eastAsia="en-AU"/>
        </w:rPr>
      </w:pPr>
      <w:r>
        <w:rPr>
          <w:lang w:eastAsia="en-AU"/>
        </w:rPr>
        <w:t>banking services, the provision of loans or finance, financial accommodation, credit guarantees and insurance;</w:t>
      </w:r>
    </w:p>
    <w:p w:rsidR="002839B4" w:rsidRDefault="002839B4" w:rsidP="002839B4">
      <w:pPr>
        <w:pStyle w:val="Quote1"/>
        <w:numPr>
          <w:ilvl w:val="0"/>
          <w:numId w:val="23"/>
        </w:numPr>
        <w:rPr>
          <w:lang w:eastAsia="en-AU"/>
        </w:rPr>
      </w:pPr>
      <w:r>
        <w:rPr>
          <w:lang w:eastAsia="en-AU"/>
        </w:rPr>
        <w:t>provision of entertainment, recreation or refreshment;</w:t>
      </w:r>
    </w:p>
    <w:p w:rsidR="002839B4" w:rsidRDefault="002839B4" w:rsidP="002839B4">
      <w:pPr>
        <w:pStyle w:val="Quote1"/>
        <w:numPr>
          <w:ilvl w:val="0"/>
          <w:numId w:val="23"/>
        </w:numPr>
        <w:rPr>
          <w:lang w:eastAsia="en-AU"/>
        </w:rPr>
      </w:pPr>
      <w:r>
        <w:rPr>
          <w:lang w:eastAsia="en-AU"/>
        </w:rPr>
        <w:t>services connected with transportation or travel;</w:t>
      </w:r>
    </w:p>
    <w:p w:rsidR="002839B4" w:rsidRDefault="002839B4" w:rsidP="002839B4">
      <w:pPr>
        <w:pStyle w:val="Quote1"/>
        <w:numPr>
          <w:ilvl w:val="0"/>
          <w:numId w:val="23"/>
        </w:numPr>
        <w:rPr>
          <w:lang w:eastAsia="en-AU"/>
        </w:rPr>
      </w:pPr>
      <w:r>
        <w:rPr>
          <w:lang w:eastAsia="en-AU"/>
        </w:rPr>
        <w:t>services of any profession, trade or business, including those of an employment agent;</w:t>
      </w:r>
    </w:p>
    <w:p w:rsidR="002839B4" w:rsidRDefault="002839B4" w:rsidP="002839B4">
      <w:pPr>
        <w:pStyle w:val="Quote1"/>
        <w:numPr>
          <w:ilvl w:val="0"/>
          <w:numId w:val="23"/>
        </w:numPr>
        <w:rPr>
          <w:lang w:eastAsia="en-AU"/>
        </w:rPr>
      </w:pPr>
      <w:r>
        <w:rPr>
          <w:lang w:eastAsia="en-AU"/>
        </w:rPr>
        <w:t xml:space="preserve">services provided by a government department, public authority, State owned enterprise or municipal council- </w:t>
      </w:r>
    </w:p>
    <w:p w:rsidR="002839B4" w:rsidRDefault="002839B4" w:rsidP="002839B4">
      <w:pPr>
        <w:pStyle w:val="Quote1"/>
      </w:pPr>
      <w:r>
        <w:rPr>
          <w:lang w:eastAsia="en-AU"/>
        </w:rPr>
        <w:t>but does not include education or trainin</w:t>
      </w:r>
      <w:r w:rsidR="00B60994">
        <w:rPr>
          <w:lang w:eastAsia="en-AU"/>
        </w:rPr>
        <w:t>g in an educational institution</w:t>
      </w:r>
    </w:p>
    <w:p w:rsidR="002839B4" w:rsidRDefault="00C81B92" w:rsidP="002839B4">
      <w:pPr>
        <w:pStyle w:val="Para1"/>
      </w:pPr>
      <w:r>
        <w:t>It is important to note that the definition is an inclusive one rather than an exclusive one and so</w:t>
      </w:r>
      <w:r w:rsidR="00E65D2C">
        <w:t>,</w:t>
      </w:r>
      <w:r>
        <w:t xml:space="preserve"> </w:t>
      </w:r>
      <w:r w:rsidR="00E65D2C">
        <w:t xml:space="preserve">while (a) to (f) above </w:t>
      </w:r>
      <w:r>
        <w:t>provi</w:t>
      </w:r>
      <w:r w:rsidR="00E65D2C">
        <w:t xml:space="preserve">de examples of what is included, </w:t>
      </w:r>
      <w:r>
        <w:t xml:space="preserve">the meaning can extend beyond those.  </w:t>
      </w:r>
      <w:r w:rsidR="002839B4">
        <w:t>None of the examples listed in (a) to (</w:t>
      </w:r>
      <w:r w:rsidR="005A4825">
        <w:t>e</w:t>
      </w:r>
      <w:r w:rsidR="002839B4">
        <w:t xml:space="preserve">) </w:t>
      </w:r>
      <w:r w:rsidR="005A4825">
        <w:t xml:space="preserve">apply here.  In order to understand the meaning of (f) </w:t>
      </w:r>
      <w:r>
        <w:t xml:space="preserve">and the term more generally, </w:t>
      </w:r>
      <w:r w:rsidR="005A4825">
        <w:t xml:space="preserve">reference may be had to case law. </w:t>
      </w:r>
      <w:r w:rsidR="00473D98">
        <w:t xml:space="preserve">I have been greatly assisted by the written submissions made by the respondents and the </w:t>
      </w:r>
      <w:r w:rsidR="00313FBB">
        <w:t>c</w:t>
      </w:r>
      <w:r w:rsidR="00473D98">
        <w:t>ommission in respect of cases which have considered similar or related matters.</w:t>
      </w:r>
    </w:p>
    <w:p w:rsidR="00314A08" w:rsidRPr="00314A08" w:rsidRDefault="00314A08" w:rsidP="00314A08">
      <w:pPr>
        <w:pStyle w:val="Para1"/>
        <w:numPr>
          <w:ilvl w:val="0"/>
          <w:numId w:val="0"/>
        </w:numPr>
        <w:rPr>
          <w:i/>
        </w:rPr>
      </w:pPr>
      <w:r>
        <w:rPr>
          <w:i/>
        </w:rPr>
        <w:t>Case law on the provision of services and police</w:t>
      </w:r>
    </w:p>
    <w:p w:rsidR="002839B4" w:rsidRDefault="002839B4" w:rsidP="002839B4">
      <w:pPr>
        <w:pStyle w:val="Para1"/>
      </w:pPr>
      <w:r>
        <w:t xml:space="preserve">The starting point </w:t>
      </w:r>
      <w:r w:rsidR="00314A08">
        <w:t xml:space="preserve">when considering the meaning of </w:t>
      </w:r>
      <w:r w:rsidR="00314A08">
        <w:rPr>
          <w:i/>
        </w:rPr>
        <w:t xml:space="preserve">‘services’ </w:t>
      </w:r>
      <w:r>
        <w:t xml:space="preserve">is the High Court of Australia’s decision in </w:t>
      </w:r>
      <w:r w:rsidRPr="002F460E">
        <w:rPr>
          <w:i/>
        </w:rPr>
        <w:t>IW v City of Perth</w:t>
      </w:r>
      <w:r>
        <w:t>,</w:t>
      </w:r>
      <w:r>
        <w:rPr>
          <w:rStyle w:val="FootnoteReference"/>
        </w:rPr>
        <w:footnoteReference w:id="13"/>
      </w:r>
      <w:r>
        <w:t xml:space="preserve"> given in the context of the </w:t>
      </w:r>
      <w:r w:rsidRPr="002F460E">
        <w:rPr>
          <w:i/>
        </w:rPr>
        <w:t>Equal Opportunity Ac</w:t>
      </w:r>
      <w:r>
        <w:rPr>
          <w:i/>
        </w:rPr>
        <w:t>t 1984</w:t>
      </w:r>
      <w:r>
        <w:t xml:space="preserve"> (WA)</w:t>
      </w:r>
      <w:r w:rsidR="00C712B8">
        <w:t xml:space="preserve"> and the city council’s decision to refu</w:t>
      </w:r>
      <w:r w:rsidR="005A4825">
        <w:t>se planning approval for a drop-</w:t>
      </w:r>
      <w:r w:rsidR="00C712B8">
        <w:t>in c</w:t>
      </w:r>
      <w:r w:rsidR="005A4825">
        <w:t xml:space="preserve">entre </w:t>
      </w:r>
      <w:r w:rsidR="00C712B8">
        <w:t>for people infected with or affected by HIV</w:t>
      </w:r>
      <w:r>
        <w:t xml:space="preserve">.  The High Court said that services has a wide meaning and referred to its meaning including </w:t>
      </w:r>
      <w:r w:rsidRPr="00DF4C85">
        <w:rPr>
          <w:i/>
        </w:rPr>
        <w:t>‘an act of helpful activity’</w:t>
      </w:r>
      <w:r>
        <w:t xml:space="preserve"> and </w:t>
      </w:r>
      <w:r w:rsidRPr="00DF4C85">
        <w:rPr>
          <w:i/>
        </w:rPr>
        <w:t>‘the duty or work of public servants’</w:t>
      </w:r>
      <w:r>
        <w:t xml:space="preserve">.  Brennan CJ and McHugh J referred to providing use of libraries, parks and sporting facilities as examples of services and also </w:t>
      </w:r>
      <w:r w:rsidRPr="00653B3E">
        <w:rPr>
          <w:i/>
        </w:rPr>
        <w:t>‘the provision of intangibles such as advice and information in respect of building and town planning matters’</w:t>
      </w:r>
      <w:r w:rsidR="00B60994">
        <w:t>.</w:t>
      </w:r>
      <w:r>
        <w:t xml:space="preserve">  Gummow J referred to services being rendered to an individual by conduct tending to the welfare or advantage of that person.  </w:t>
      </w:r>
      <w:r w:rsidR="00C712B8">
        <w:t xml:space="preserve">Having said that, as noted by Kirby J, a service may be provided even though the decision made is adverse to the user or , as was the case </w:t>
      </w:r>
      <w:r w:rsidR="005A4825">
        <w:t xml:space="preserve">in </w:t>
      </w:r>
      <w:r w:rsidR="005A4825">
        <w:rPr>
          <w:i/>
        </w:rPr>
        <w:t>IW</w:t>
      </w:r>
      <w:r w:rsidR="00C712B8">
        <w:t>, the applicant for the decision.</w:t>
      </w:r>
    </w:p>
    <w:p w:rsidR="00314A08" w:rsidRDefault="00314A08" w:rsidP="002839B4">
      <w:pPr>
        <w:pStyle w:val="Para1"/>
      </w:pPr>
      <w:r>
        <w:t xml:space="preserve">The respondents referred me to the decision of Lacava J in </w:t>
      </w:r>
      <w:r>
        <w:rPr>
          <w:i/>
        </w:rPr>
        <w:t>Kavanagh v Victorian WorkCover Authority</w:t>
      </w:r>
      <w:r>
        <w:t>.</w:t>
      </w:r>
      <w:r>
        <w:rPr>
          <w:rStyle w:val="FootnoteReference"/>
        </w:rPr>
        <w:footnoteReference w:id="14"/>
      </w:r>
      <w:r>
        <w:rPr>
          <w:i/>
        </w:rPr>
        <w:t xml:space="preserve">  </w:t>
      </w:r>
      <w:r>
        <w:t xml:space="preserve">His </w:t>
      </w:r>
      <w:r w:rsidR="005A4825">
        <w:t>H</w:t>
      </w:r>
      <w:r>
        <w:t>onour was considering a claim of discrimination and victimisation in the context of WorkCover’s management of Ms Kavanagh’s claim.  It was contended that WorkCover was carrying out a statutory duty rather than providing s</w:t>
      </w:r>
      <w:r w:rsidR="005A4825">
        <w:t>ervices.  At paragraph 48, his H</w:t>
      </w:r>
      <w:r>
        <w:t>onour set out matters to consider as follows:</w:t>
      </w:r>
    </w:p>
    <w:p w:rsidR="00314A08" w:rsidRDefault="00314A08" w:rsidP="00314A08">
      <w:pPr>
        <w:pStyle w:val="Quote1"/>
      </w:pPr>
      <w:r>
        <w:t>Firstly, whilst government activities are capable of being services, not all are. Secondly, it is critical to identify with precision the service said to have been refused. Thirdly, a service, to be a service, must confer a benefit, advantage or welfare on the complainant. Fourthly, the exercise of statutory functions or duties which require the exercise of a discretion, which is quasi judicial in nature, are not services. Fifthly, the performance of a statutory duty to decide whether or not to prosecute are not services. Sixthly, the decision to refuse to exercise a statutory discretion is not a refusal of a service, although a refusal to consider to exercise the discretion may be a refusal of a service. Finally, performance of statutory duties will not be regarded as services.</w:t>
      </w:r>
    </w:p>
    <w:p w:rsidR="009A38E9" w:rsidRDefault="009A38E9" w:rsidP="002839B4">
      <w:pPr>
        <w:pStyle w:val="Para1"/>
      </w:pPr>
      <w:r>
        <w:t xml:space="preserve">Mr Djime rightly noted that </w:t>
      </w:r>
      <w:r>
        <w:rPr>
          <w:i/>
        </w:rPr>
        <w:t xml:space="preserve">Kavanagh </w:t>
      </w:r>
      <w:r>
        <w:t>did not deal with complaints about police.</w:t>
      </w:r>
    </w:p>
    <w:p w:rsidR="00D706D8" w:rsidRDefault="00E36D88" w:rsidP="00D706D8">
      <w:pPr>
        <w:pStyle w:val="Para1"/>
      </w:pPr>
      <w:r w:rsidRPr="00D706D8">
        <w:t xml:space="preserve">The </w:t>
      </w:r>
      <w:r w:rsidR="00313FBB">
        <w:t>c</w:t>
      </w:r>
      <w:r w:rsidRPr="00D706D8">
        <w:t>ommission drew my attention to cases where the conduct in issue constituted the exercise of a statutory power or the p</w:t>
      </w:r>
      <w:r w:rsidR="00A86B0A">
        <w:t xml:space="preserve">erformance of a statutory duty and </w:t>
      </w:r>
      <w:r w:rsidRPr="00D706D8">
        <w:t xml:space="preserve">it was also found to be the provision of a service under </w:t>
      </w:r>
      <w:r w:rsidR="00A86B0A">
        <w:t xml:space="preserve">EO Act </w:t>
      </w:r>
      <w:r w:rsidRPr="00D706D8">
        <w:t>equivalent legislation.</w:t>
      </w:r>
      <w:r w:rsidRPr="00D706D8">
        <w:rPr>
          <w:rStyle w:val="FootnoteReference"/>
        </w:rPr>
        <w:footnoteReference w:id="15"/>
      </w:r>
      <w:r w:rsidR="00374F9A" w:rsidRPr="00D706D8">
        <w:t xml:space="preserve">  </w:t>
      </w:r>
    </w:p>
    <w:p w:rsidR="00E626F4" w:rsidRPr="00D706D8" w:rsidRDefault="00D706D8" w:rsidP="00D706D8">
      <w:pPr>
        <w:pStyle w:val="Para1"/>
      </w:pPr>
      <w:r w:rsidRPr="00D706D8">
        <w:t xml:space="preserve">The </w:t>
      </w:r>
      <w:r w:rsidR="00313FBB">
        <w:t>c</w:t>
      </w:r>
      <w:r w:rsidRPr="00D706D8">
        <w:t xml:space="preserve">ommission </w:t>
      </w:r>
      <w:r w:rsidR="00374F9A" w:rsidRPr="00D706D8">
        <w:t xml:space="preserve">also referred me to the decision of Sundberg J in </w:t>
      </w:r>
      <w:r w:rsidR="00374F9A" w:rsidRPr="00D706D8">
        <w:rPr>
          <w:i/>
        </w:rPr>
        <w:t xml:space="preserve">Rainsford v </w:t>
      </w:r>
      <w:smartTag w:uri="urn:schemas-microsoft-com:office:smarttags" w:element="State">
        <w:smartTag w:uri="urn:schemas-microsoft-com:office:smarttags" w:element="place">
          <w:r w:rsidR="00374F9A" w:rsidRPr="00D706D8">
            <w:rPr>
              <w:i/>
            </w:rPr>
            <w:t>Victoria</w:t>
          </w:r>
        </w:smartTag>
      </w:smartTag>
      <w:r w:rsidR="00E626F4" w:rsidRPr="00D706D8">
        <w:t>.</w:t>
      </w:r>
      <w:r w:rsidR="00374F9A" w:rsidRPr="00D55DB6">
        <w:rPr>
          <w:rStyle w:val="FootnoteReference"/>
        </w:rPr>
        <w:footnoteReference w:id="16"/>
      </w:r>
      <w:r w:rsidR="00E626F4" w:rsidRPr="00D55DB6">
        <w:t xml:space="preserve"> </w:t>
      </w:r>
      <w:r w:rsidR="00E626F4" w:rsidRPr="00D706D8">
        <w:t xml:space="preserve"> </w:t>
      </w:r>
      <w:r w:rsidR="005A4825">
        <w:t xml:space="preserve">That case </w:t>
      </w:r>
      <w:r w:rsidR="00E626F4" w:rsidRPr="00D706D8">
        <w:t xml:space="preserve">concerned a claim by a prisoner under the </w:t>
      </w:r>
      <w:r w:rsidR="00E626F4" w:rsidRPr="00D706D8">
        <w:rPr>
          <w:i/>
        </w:rPr>
        <w:t>Disability Discrimination Act 1992</w:t>
      </w:r>
      <w:r w:rsidR="005A4825">
        <w:t xml:space="preserve"> (Cth).  His</w:t>
      </w:r>
      <w:r>
        <w:t xml:space="preserve"> H</w:t>
      </w:r>
      <w:r w:rsidR="00E626F4" w:rsidRPr="00D706D8">
        <w:t xml:space="preserve">onour found that transport and the accommodation of prisoners in cells were inherent parts of incarceration and were not helpful or beneficial to the prisoners concerned.  Therefore, they could not be characterised as services provided to prisoners.  He </w:t>
      </w:r>
      <w:r w:rsidRPr="00D706D8">
        <w:t xml:space="preserve">expressed the view that the conduct </w:t>
      </w:r>
      <w:r w:rsidR="00E626F4" w:rsidRPr="00D706D8">
        <w:t xml:space="preserve">is better described as being </w:t>
      </w:r>
      <w:r w:rsidRPr="00D706D8">
        <w:rPr>
          <w:i/>
        </w:rPr>
        <w:t>‘</w:t>
      </w:r>
      <w:r w:rsidR="00E626F4" w:rsidRPr="00D706D8">
        <w:rPr>
          <w:i/>
        </w:rPr>
        <w:t>part and parcel of the exercise of a statutory duty</w:t>
      </w:r>
      <w:r w:rsidRPr="00D706D8">
        <w:rPr>
          <w:i/>
        </w:rPr>
        <w:t>’</w:t>
      </w:r>
      <w:r w:rsidRPr="00D706D8">
        <w:t xml:space="preserve">.  However, Sundberg J also said, referring to conduct involving attending to the welfare of prisoners, </w:t>
      </w:r>
      <w:r>
        <w:t>that some facili</w:t>
      </w:r>
      <w:r w:rsidRPr="00D706D8">
        <w:t>t</w:t>
      </w:r>
      <w:r>
        <w:t>i</w:t>
      </w:r>
      <w:r w:rsidRPr="00D706D8">
        <w:t xml:space="preserve">es provided to prisoners may constitute services. </w:t>
      </w:r>
    </w:p>
    <w:p w:rsidR="00E626F4" w:rsidRDefault="00E626F4" w:rsidP="00E626F4">
      <w:pPr>
        <w:pStyle w:val="Para1"/>
      </w:pPr>
      <w:r>
        <w:t xml:space="preserve">On appeal, </w:t>
      </w:r>
      <w:r w:rsidRPr="005A4825">
        <w:t>in</w:t>
      </w:r>
      <w:r w:rsidRPr="00D8777F">
        <w:rPr>
          <w:i/>
        </w:rPr>
        <w:t xml:space="preserve"> Rainsford v State of </w:t>
      </w:r>
      <w:smartTag w:uri="urn:schemas-microsoft-com:office:smarttags" w:element="State">
        <w:smartTag w:uri="urn:schemas-microsoft-com:office:smarttags" w:element="place">
          <w:r w:rsidRPr="00D8777F">
            <w:rPr>
              <w:i/>
            </w:rPr>
            <w:t>Victoria</w:t>
          </w:r>
        </w:smartTag>
      </w:smartTag>
      <w:r w:rsidR="00B60994" w:rsidRPr="00B60994">
        <w:rPr>
          <w:i/>
        </w:rPr>
        <w:t>,</w:t>
      </w:r>
      <w:r w:rsidR="00D706D8">
        <w:rPr>
          <w:rStyle w:val="FootnoteReference"/>
        </w:rPr>
        <w:footnoteReference w:id="17"/>
      </w:r>
      <w:r w:rsidR="00D706D8">
        <w:t xml:space="preserve"> </w:t>
      </w:r>
      <w:r>
        <w:t>the</w:t>
      </w:r>
      <w:r w:rsidRPr="008327A3">
        <w:t xml:space="preserve"> Ful</w:t>
      </w:r>
      <w:r>
        <w:t xml:space="preserve">l Court of the Federal Court briefly addressed the </w:t>
      </w:r>
      <w:r w:rsidR="00D706D8">
        <w:t xml:space="preserve">concept of </w:t>
      </w:r>
      <w:r>
        <w:t>services</w:t>
      </w:r>
      <w:r w:rsidR="00D706D8">
        <w:t>, saying</w:t>
      </w:r>
      <w:r>
        <w:t>:</w:t>
      </w:r>
    </w:p>
    <w:p w:rsidR="00E626F4" w:rsidRPr="0062662D" w:rsidRDefault="00E626F4" w:rsidP="00E626F4">
      <w:pPr>
        <w:pStyle w:val="Para1"/>
        <w:numPr>
          <w:ilvl w:val="0"/>
          <w:numId w:val="0"/>
        </w:numPr>
        <w:spacing w:line="240" w:lineRule="auto"/>
        <w:ind w:left="1136"/>
        <w:rPr>
          <w:sz w:val="24"/>
          <w:szCs w:val="24"/>
        </w:rPr>
      </w:pPr>
      <w:r w:rsidRPr="0062662D">
        <w:rPr>
          <w:sz w:val="24"/>
          <w:szCs w:val="24"/>
        </w:rPr>
        <w:t xml:space="preserve">In this case it is not necessary to consider whether his Honour erred in his interpretation of the expressions </w:t>
      </w:r>
      <w:r w:rsidR="005A4825">
        <w:rPr>
          <w:sz w:val="24"/>
          <w:szCs w:val="24"/>
        </w:rPr>
        <w:t>‘</w:t>
      </w:r>
      <w:r w:rsidRPr="0062662D">
        <w:rPr>
          <w:sz w:val="24"/>
          <w:szCs w:val="24"/>
        </w:rPr>
        <w:t>service</w:t>
      </w:r>
      <w:r w:rsidR="005A4825">
        <w:rPr>
          <w:sz w:val="24"/>
          <w:szCs w:val="24"/>
        </w:rPr>
        <w:t>’</w:t>
      </w:r>
      <w:r w:rsidRPr="0062662D">
        <w:rPr>
          <w:sz w:val="24"/>
          <w:szCs w:val="24"/>
        </w:rPr>
        <w:t xml:space="preserve"> or </w:t>
      </w:r>
      <w:r w:rsidR="005A4825">
        <w:rPr>
          <w:sz w:val="24"/>
          <w:szCs w:val="24"/>
        </w:rPr>
        <w:t>‘</w:t>
      </w:r>
      <w:r w:rsidRPr="0062662D">
        <w:rPr>
          <w:sz w:val="24"/>
          <w:szCs w:val="24"/>
        </w:rPr>
        <w:t>facility</w:t>
      </w:r>
      <w:r w:rsidR="005A4825">
        <w:rPr>
          <w:sz w:val="24"/>
          <w:szCs w:val="24"/>
        </w:rPr>
        <w:t>’</w:t>
      </w:r>
      <w:r w:rsidRPr="0062662D">
        <w:rPr>
          <w:sz w:val="24"/>
          <w:szCs w:val="24"/>
        </w:rPr>
        <w:t>. This is because, if, as we think, his Honour</w:t>
      </w:r>
      <w:r>
        <w:rPr>
          <w:sz w:val="24"/>
          <w:szCs w:val="24"/>
        </w:rPr>
        <w:t>’</w:t>
      </w:r>
      <w:r w:rsidRPr="0062662D">
        <w:rPr>
          <w:sz w:val="24"/>
          <w:szCs w:val="24"/>
        </w:rPr>
        <w:t xml:space="preserve">s conclusions on the other aspects of the claim are correct, this question does not arise. We observe that, although the meaning of </w:t>
      </w:r>
      <w:r w:rsidR="005A4825">
        <w:rPr>
          <w:sz w:val="24"/>
          <w:szCs w:val="24"/>
        </w:rPr>
        <w:t>‘</w:t>
      </w:r>
      <w:r w:rsidRPr="0062662D">
        <w:rPr>
          <w:sz w:val="24"/>
          <w:szCs w:val="24"/>
        </w:rPr>
        <w:t>service</w:t>
      </w:r>
      <w:r w:rsidR="005A4825">
        <w:rPr>
          <w:sz w:val="24"/>
          <w:szCs w:val="24"/>
        </w:rPr>
        <w:t>’</w:t>
      </w:r>
      <w:r w:rsidRPr="0062662D">
        <w:rPr>
          <w:sz w:val="24"/>
          <w:szCs w:val="24"/>
        </w:rPr>
        <w:t xml:space="preserve"> is not simple to resolve, and the matter was not argued in depth, we see some strength in the view that the provision of transport and accommodation, even in a prison, may amount to a service or facility.</w:t>
      </w:r>
    </w:p>
    <w:p w:rsidR="001D47F2" w:rsidRDefault="00891EB6" w:rsidP="001D47F2">
      <w:pPr>
        <w:pStyle w:val="Para1"/>
      </w:pPr>
      <w:r w:rsidRPr="001D47F2">
        <w:t xml:space="preserve">The respondents refer to the role of Victoria Police </w:t>
      </w:r>
      <w:r w:rsidR="005A4825">
        <w:t xml:space="preserve">officers </w:t>
      </w:r>
      <w:r w:rsidRPr="001D47F2">
        <w:t xml:space="preserve">by reference to </w:t>
      </w:r>
      <w:r w:rsidR="009A38E9" w:rsidRPr="001D47F2">
        <w:t xml:space="preserve">the </w:t>
      </w:r>
      <w:r w:rsidR="009A38E9" w:rsidRPr="005A4825">
        <w:rPr>
          <w:i/>
        </w:rPr>
        <w:t>Victoria Police Act 2013</w:t>
      </w:r>
      <w:r w:rsidR="009A38E9" w:rsidRPr="001D47F2">
        <w:t xml:space="preserve"> (Vic) (Police Act).  That Act did not come into force until 1 July 2013 and so it did not apply at all times covered by Mr Djime’s allegations.  The earlier legislation</w:t>
      </w:r>
      <w:r w:rsidR="005A4825">
        <w:t>,</w:t>
      </w:r>
      <w:r w:rsidR="009A38E9" w:rsidRPr="001D47F2">
        <w:t xml:space="preserve"> repealed by the Police Act</w:t>
      </w:r>
      <w:r w:rsidR="005A4825">
        <w:t>,</w:t>
      </w:r>
      <w:r w:rsidR="009A38E9" w:rsidRPr="001D47F2">
        <w:t xml:space="preserve"> was the </w:t>
      </w:r>
      <w:r w:rsidR="009A38E9" w:rsidRPr="001D47F2">
        <w:rPr>
          <w:i/>
        </w:rPr>
        <w:t>Police Regulation Act 1958</w:t>
      </w:r>
      <w:r w:rsidR="009A38E9" w:rsidRPr="001D47F2">
        <w:t xml:space="preserve"> (Vic).  </w:t>
      </w:r>
    </w:p>
    <w:p w:rsidR="001D47F2" w:rsidRPr="001D47F2" w:rsidRDefault="001D47F2" w:rsidP="001D47F2">
      <w:pPr>
        <w:pStyle w:val="Para1"/>
      </w:pPr>
      <w:r w:rsidRPr="001D47F2">
        <w:t>Th</w:t>
      </w:r>
      <w:r>
        <w:t xml:space="preserve">e 1958 Act </w:t>
      </w:r>
      <w:r w:rsidRPr="001D47F2">
        <w:t>did not set out the role or functions of police but did include an oath which all police officers were required to take.  That oath provided, amongst other things</w:t>
      </w:r>
      <w:r w:rsidR="00B60994">
        <w:t>,</w:t>
      </w:r>
      <w:r w:rsidRPr="001D47F2">
        <w:t xml:space="preserve"> that the officer swore to </w:t>
      </w:r>
      <w:r w:rsidRPr="001D47F2">
        <w:rPr>
          <w:i/>
        </w:rPr>
        <w:t>‘see and cause Her Majesty's peace to be kept and preserved’</w:t>
      </w:r>
      <w:r w:rsidRPr="001D47F2">
        <w:t xml:space="preserve">, to </w:t>
      </w:r>
      <w:r w:rsidRPr="001D47F2">
        <w:rPr>
          <w:i/>
        </w:rPr>
        <w:t>‘prevent to the best of my power all offences against the same’</w:t>
      </w:r>
      <w:r w:rsidRPr="001D47F2">
        <w:t xml:space="preserve"> and </w:t>
      </w:r>
      <w:r w:rsidRPr="001D47F2">
        <w:rPr>
          <w:i/>
        </w:rPr>
        <w:t>‘to the best of my skill and knowledge discharge all the duties legally imposed upon me faithfully and according to law’</w:t>
      </w:r>
      <w:r w:rsidR="00B60994">
        <w:t>.</w:t>
      </w:r>
      <w:r>
        <w:rPr>
          <w:rStyle w:val="FootnoteReference"/>
          <w:i/>
        </w:rPr>
        <w:footnoteReference w:id="18"/>
      </w:r>
    </w:p>
    <w:p w:rsidR="009A38E9" w:rsidRDefault="009A38E9" w:rsidP="002839B4">
      <w:pPr>
        <w:pStyle w:val="Para1"/>
      </w:pPr>
      <w:r>
        <w:t xml:space="preserve">Section 8 </w:t>
      </w:r>
      <w:r w:rsidR="001D47F2">
        <w:t xml:space="preserve">of the 2013 Police Act </w:t>
      </w:r>
      <w:r>
        <w:t xml:space="preserve">says that the role of police is to </w:t>
      </w:r>
      <w:r w:rsidRPr="009A38E9">
        <w:rPr>
          <w:i/>
        </w:rPr>
        <w:t>‘serve the Victorian community and uphold the law so as to promote a safe, secure and orderly society’</w:t>
      </w:r>
      <w:r>
        <w:t>.  Section 9(1) of the Police Act says that the functions of police include:</w:t>
      </w:r>
    </w:p>
    <w:p w:rsidR="009A38E9" w:rsidRDefault="009A38E9" w:rsidP="009A38E9">
      <w:pPr>
        <w:pStyle w:val="Quote1"/>
        <w:rPr>
          <w:lang w:eastAsia="en-AU"/>
        </w:rPr>
      </w:pPr>
      <w:r>
        <w:rPr>
          <w:lang w:eastAsia="en-AU"/>
        </w:rPr>
        <w:t>(a) preserving the peace;</w:t>
      </w:r>
    </w:p>
    <w:p w:rsidR="009A38E9" w:rsidRDefault="009A38E9" w:rsidP="009A38E9">
      <w:pPr>
        <w:pStyle w:val="Quote1"/>
        <w:rPr>
          <w:lang w:eastAsia="en-AU"/>
        </w:rPr>
      </w:pPr>
      <w:r>
        <w:rPr>
          <w:lang w:eastAsia="en-AU"/>
        </w:rPr>
        <w:t>(b) protecting life and property;</w:t>
      </w:r>
    </w:p>
    <w:p w:rsidR="009A38E9" w:rsidRDefault="009A38E9" w:rsidP="009A38E9">
      <w:pPr>
        <w:pStyle w:val="Quote1"/>
        <w:rPr>
          <w:lang w:eastAsia="en-AU"/>
        </w:rPr>
      </w:pPr>
      <w:r>
        <w:rPr>
          <w:lang w:eastAsia="en-AU"/>
        </w:rPr>
        <w:t>(c) preventing the commission of offences;</w:t>
      </w:r>
    </w:p>
    <w:p w:rsidR="009A38E9" w:rsidRDefault="009A38E9" w:rsidP="009A38E9">
      <w:pPr>
        <w:pStyle w:val="Quote1"/>
        <w:rPr>
          <w:lang w:eastAsia="en-AU"/>
        </w:rPr>
      </w:pPr>
      <w:r>
        <w:rPr>
          <w:lang w:eastAsia="en-AU"/>
        </w:rPr>
        <w:t>(d) detecting and apprehending offenders;</w:t>
      </w:r>
    </w:p>
    <w:p w:rsidR="009A38E9" w:rsidRDefault="009A38E9" w:rsidP="009A38E9">
      <w:pPr>
        <w:pStyle w:val="Quote1"/>
        <w:rPr>
          <w:lang w:eastAsia="en-AU"/>
        </w:rPr>
      </w:pPr>
      <w:r>
        <w:rPr>
          <w:lang w:eastAsia="en-AU"/>
        </w:rPr>
        <w:t>(e) helping those in need of assistance.</w:t>
      </w:r>
    </w:p>
    <w:p w:rsidR="001D47F2" w:rsidRDefault="001D47F2" w:rsidP="002839B4">
      <w:pPr>
        <w:pStyle w:val="Para1"/>
      </w:pPr>
      <w:r>
        <w:t>Despite the change in legislation, I accept the respondents’ contention that the Police Act has described Parliament’s view of the role of police</w:t>
      </w:r>
      <w:r w:rsidR="005A4825">
        <w:t xml:space="preserve"> over the relevant period</w:t>
      </w:r>
      <w:r>
        <w:t>.  I consider that the matters set out in sections 8 and 9 are consistent with the general community’s expectation and understanding of the broad role and function of police.</w:t>
      </w:r>
    </w:p>
    <w:p w:rsidR="00891EB6" w:rsidRDefault="00E36D88" w:rsidP="002839B4">
      <w:pPr>
        <w:pStyle w:val="Para1"/>
      </w:pPr>
      <w:r>
        <w:t>The respondent</w:t>
      </w:r>
      <w:r w:rsidR="000169C8">
        <w:t>s contend</w:t>
      </w:r>
      <w:r>
        <w:t xml:space="preserve"> matters such as those referred to in </w:t>
      </w:r>
      <w:r w:rsidR="000169C8">
        <w:t>section 9(1)(a) to (d) of the Police Act</w:t>
      </w:r>
      <w:r>
        <w:t xml:space="preserve"> fall within the duty to uphold the law, rather than being services within the meaning of the EO Act.</w:t>
      </w:r>
      <w:r>
        <w:rPr>
          <w:rStyle w:val="FootnoteReference"/>
        </w:rPr>
        <w:footnoteReference w:id="19"/>
      </w:r>
      <w:r>
        <w:t xml:space="preserve">  The </w:t>
      </w:r>
      <w:r w:rsidR="00CF2CA3">
        <w:t>c</w:t>
      </w:r>
      <w:r>
        <w:t xml:space="preserve">ommission </w:t>
      </w:r>
      <w:r w:rsidR="00D706D8">
        <w:t xml:space="preserve">submits </w:t>
      </w:r>
      <w:r>
        <w:t>that</w:t>
      </w:r>
      <w:r w:rsidR="000169C8">
        <w:t xml:space="preserve"> the words </w:t>
      </w:r>
      <w:r w:rsidR="000169C8" w:rsidRPr="000169C8">
        <w:rPr>
          <w:i/>
        </w:rPr>
        <w:t>‘</w:t>
      </w:r>
      <w:r w:rsidR="000169C8" w:rsidRPr="000169C8">
        <w:rPr>
          <w:i/>
          <w:lang w:eastAsia="en-AU"/>
        </w:rPr>
        <w:t>helping those in need of assistance’</w:t>
      </w:r>
      <w:r w:rsidR="000169C8">
        <w:t xml:space="preserve"> in </w:t>
      </w:r>
      <w:r w:rsidR="00473D98">
        <w:t>section 9(1)</w:t>
      </w:r>
      <w:r w:rsidR="000169C8">
        <w:t>(e) above clearly fall</w:t>
      </w:r>
      <w:r>
        <w:t xml:space="preserve"> within the ordinary meaning of services.  It says that, the mere fact that the matters described in </w:t>
      </w:r>
      <w:r w:rsidR="00473D98">
        <w:t>section 9(1)</w:t>
      </w:r>
      <w:r>
        <w:t xml:space="preserve">(a) to (d) may fall within a statutory duty is not enough to say they cannot also be services.  </w:t>
      </w:r>
    </w:p>
    <w:p w:rsidR="00A86B0A" w:rsidRDefault="00A86B0A" w:rsidP="002839B4">
      <w:pPr>
        <w:pStyle w:val="Para1"/>
      </w:pPr>
      <w:r>
        <w:t xml:space="preserve">Both the respondents and the </w:t>
      </w:r>
      <w:r w:rsidR="00313FBB">
        <w:t>c</w:t>
      </w:r>
      <w:r>
        <w:t xml:space="preserve">ommission referred me to a decision of the English Court of Appeal, </w:t>
      </w:r>
      <w:r>
        <w:rPr>
          <w:i/>
        </w:rPr>
        <w:t>Farah v Commissioner of Police of the Metropolis</w:t>
      </w:r>
      <w:r>
        <w:t>.</w:t>
      </w:r>
      <w:r>
        <w:rPr>
          <w:rStyle w:val="FootnoteReference"/>
        </w:rPr>
        <w:footnoteReference w:id="20"/>
      </w:r>
      <w:r>
        <w:t xml:space="preserve">  In that case</w:t>
      </w:r>
      <w:r w:rsidR="00B60994">
        <w:t>,</w:t>
      </w:r>
      <w:r>
        <w:t xml:space="preserve"> the plaintiff was a 17 year old young woman (at the relevant time)</w:t>
      </w:r>
      <w:r w:rsidR="00B60994">
        <w:t xml:space="preserve"> </w:t>
      </w:r>
      <w:r>
        <w:t xml:space="preserve">a citizen of </w:t>
      </w:r>
      <w:smartTag w:uri="urn:schemas-microsoft-com:office:smarttags" w:element="country-region">
        <w:smartTag w:uri="urn:schemas-microsoft-com:office:smarttags" w:element="place">
          <w:r>
            <w:t>Somalia</w:t>
          </w:r>
        </w:smartTag>
      </w:smartTag>
      <w:r>
        <w:t xml:space="preserve"> and a refugee.  She and her 10 year old cousin were attacked near their home by some white teenagers who set a dog on her and injured her.  She called 999 to obtain help from the police.  The police who attended arrested her without cause, detained her for a time and charged her with affray, common assault and causing unnecessary suffering to a dog.  The police took no steps to seek or detain her attackers.  Ms Farah was released on bail and, when the charges came on for hearing, no evidence was presented against her.  A claim of </w:t>
      </w:r>
      <w:r w:rsidR="0019547B">
        <w:t xml:space="preserve">racial </w:t>
      </w:r>
      <w:r>
        <w:t xml:space="preserve">discrimination was made.  The court found that those parts of the officer’s duties involving assistance to or protection of members of the public entailed the provision of services to the public and, in this case, to Ms Farah.  No ultimate finding was made against the police, because the court </w:t>
      </w:r>
      <w:r w:rsidR="0019547B">
        <w:t xml:space="preserve">found that the Commissioner was </w:t>
      </w:r>
      <w:r w:rsidR="00473D98">
        <w:t xml:space="preserve">not </w:t>
      </w:r>
      <w:r w:rsidR="0019547B">
        <w:t>liable under statute for the torts of the police officers.</w:t>
      </w:r>
    </w:p>
    <w:p w:rsidR="000169C8" w:rsidRDefault="000169C8" w:rsidP="002839B4">
      <w:pPr>
        <w:pStyle w:val="Para1"/>
      </w:pPr>
      <w:r>
        <w:t xml:space="preserve">In </w:t>
      </w:r>
      <w:r>
        <w:rPr>
          <w:i/>
        </w:rPr>
        <w:t xml:space="preserve">Kyriakidis v State of </w:t>
      </w:r>
      <w:smartTag w:uri="urn:schemas-microsoft-com:office:smarttags" w:element="State">
        <w:smartTag w:uri="urn:schemas-microsoft-com:office:smarttags" w:element="place">
          <w:r>
            <w:rPr>
              <w:i/>
            </w:rPr>
            <w:t>Victoria</w:t>
          </w:r>
        </w:smartTag>
      </w:smartTag>
      <w:r>
        <w:t>,</w:t>
      </w:r>
      <w:r>
        <w:rPr>
          <w:rStyle w:val="FootnoteReference"/>
          <w:i/>
        </w:rPr>
        <w:footnoteReference w:id="21"/>
      </w:r>
      <w:r>
        <w:t xml:space="preserve"> Member Duggan, relying on Sundberg J’s decision in </w:t>
      </w:r>
      <w:r>
        <w:rPr>
          <w:i/>
        </w:rPr>
        <w:t>Rainsford</w:t>
      </w:r>
      <w:r>
        <w:t>, found that the acts of an arresting officer would not be characterised as being helpful or beneficial to the individual being arrested.  In that case</w:t>
      </w:r>
      <w:r w:rsidR="00B60994">
        <w:t>,</w:t>
      </w:r>
      <w:r>
        <w:t xml:space="preserve"> the complaint was that Mr Kyriakidis ha</w:t>
      </w:r>
      <w:r w:rsidR="00B60994">
        <w:t>d</w:t>
      </w:r>
      <w:r>
        <w:t xml:space="preserve"> been discriminated against on the basis of his disability when he was arrested and not provided with medical assistance while in custody.  </w:t>
      </w:r>
    </w:p>
    <w:p w:rsidR="00FA33E9" w:rsidRDefault="00E07681" w:rsidP="002839B4">
      <w:pPr>
        <w:pStyle w:val="Para1"/>
      </w:pPr>
      <w:r>
        <w:t xml:space="preserve">The respondents </w:t>
      </w:r>
      <w:r w:rsidR="00FA33E9">
        <w:t xml:space="preserve">referred </w:t>
      </w:r>
      <w:r>
        <w:t xml:space="preserve">me </w:t>
      </w:r>
      <w:r w:rsidR="00FA33E9">
        <w:t xml:space="preserve">to a number of decisions concerning allegations of unlawful discrimination against the </w:t>
      </w:r>
      <w:smartTag w:uri="urn:schemas-microsoft-com:office:smarttags" w:element="State">
        <w:smartTag w:uri="urn:schemas-microsoft-com:office:smarttags" w:element="place">
          <w:r w:rsidR="00FA33E9">
            <w:t>New South Wales</w:t>
          </w:r>
        </w:smartTag>
      </w:smartTag>
      <w:r w:rsidR="00FA33E9">
        <w:t xml:space="preserve"> police force</w:t>
      </w:r>
      <w:r w:rsidR="00E63D41">
        <w:t>.</w:t>
      </w:r>
      <w:r w:rsidR="00FA33E9">
        <w:t xml:space="preserve">  In summary, the cases found:</w:t>
      </w:r>
    </w:p>
    <w:p w:rsidR="00FA33E9" w:rsidRDefault="00FA33E9" w:rsidP="00FA33E9">
      <w:pPr>
        <w:pStyle w:val="Para5"/>
      </w:pPr>
      <w:r>
        <w:t>Arresting an alleged offender, dealing with a bail application and maintaining custody over him while he was transported to hospital for medical treatment did not involve the provision of a service;</w:t>
      </w:r>
      <w:r>
        <w:rPr>
          <w:rStyle w:val="FootnoteReference"/>
        </w:rPr>
        <w:footnoteReference w:id="22"/>
      </w:r>
      <w:r w:rsidR="005903D0">
        <w:t xml:space="preserve"> and</w:t>
      </w:r>
    </w:p>
    <w:p w:rsidR="00FA33E9" w:rsidRDefault="00FA33E9" w:rsidP="00FA33E9">
      <w:pPr>
        <w:pStyle w:val="Para5"/>
      </w:pPr>
      <w:r>
        <w:t xml:space="preserve">The pursuit and arrest of a suspected criminal, </w:t>
      </w:r>
      <w:r w:rsidR="00A6589E">
        <w:t xml:space="preserve">the questioning of that person; </w:t>
      </w:r>
      <w:r>
        <w:t>the determination of a bail application and the decision to brin</w:t>
      </w:r>
      <w:r w:rsidR="00A6589E">
        <w:t>g criminal proceedings against the</w:t>
      </w:r>
      <w:r>
        <w:t xml:space="preserve"> person is not the provision of a service to that person</w:t>
      </w:r>
      <w:r w:rsidR="00B60994">
        <w:t>.</w:t>
      </w:r>
      <w:r>
        <w:rPr>
          <w:rStyle w:val="FootnoteReference"/>
        </w:rPr>
        <w:footnoteReference w:id="23"/>
      </w:r>
    </w:p>
    <w:p w:rsidR="000169C8" w:rsidRDefault="000169C8" w:rsidP="000169C8">
      <w:pPr>
        <w:pStyle w:val="Para1"/>
      </w:pPr>
      <w:r>
        <w:t xml:space="preserve">The respondents note that a distinction must be drawn between the service police provide to the community at large when undertaking duties such as preventing criminal conduct and an arresting officer’s dealings with an offender.  In </w:t>
      </w:r>
      <w:r>
        <w:rPr>
          <w:i/>
        </w:rPr>
        <w:t xml:space="preserve">Field </w:t>
      </w:r>
      <w:r w:rsidR="004C7D3B">
        <w:rPr>
          <w:i/>
        </w:rPr>
        <w:t xml:space="preserve">Meret </w:t>
      </w:r>
      <w:r>
        <w:rPr>
          <w:i/>
        </w:rPr>
        <w:t xml:space="preserve">v State of </w:t>
      </w:r>
      <w:smartTag w:uri="urn:schemas-microsoft-com:office:smarttags" w:element="State">
        <w:smartTag w:uri="urn:schemas-microsoft-com:office:smarttags" w:element="place">
          <w:r>
            <w:rPr>
              <w:i/>
            </w:rPr>
            <w:t>Victoria</w:t>
          </w:r>
        </w:smartTag>
      </w:smartTag>
      <w:r>
        <w:t>,</w:t>
      </w:r>
      <w:r>
        <w:rPr>
          <w:rStyle w:val="FootnoteReference"/>
        </w:rPr>
        <w:footnoteReference w:id="24"/>
      </w:r>
      <w:r>
        <w:t xml:space="preserve"> Member O’Dwyer dismissed a claim against Victoria Police alleging that its members failed to allow the complainant’s daughter to make a statement in the context of a particular investigation.  Member Dwyer said that police fulfil a public duty to investigate crime but they do not provide a service to any individual such as Ms Field where she was not a victim of crime and there was no specific duty owed to protect her.</w:t>
      </w:r>
    </w:p>
    <w:p w:rsidR="008D68DF" w:rsidRDefault="008D68DF" w:rsidP="000169C8">
      <w:pPr>
        <w:pStyle w:val="Para1"/>
      </w:pPr>
      <w:r>
        <w:t xml:space="preserve">The NSW Court of Appeal </w:t>
      </w:r>
      <w:r w:rsidR="008D4D29">
        <w:t xml:space="preserve">decided in </w:t>
      </w:r>
      <w:r w:rsidR="008D4D29">
        <w:rPr>
          <w:i/>
        </w:rPr>
        <w:t>Commissioner of Police v Mohammed</w:t>
      </w:r>
      <w:r w:rsidR="008D4D29">
        <w:t>,</w:t>
      </w:r>
      <w:r w:rsidR="008D4D29">
        <w:rPr>
          <w:rStyle w:val="FootnoteReference"/>
        </w:rPr>
        <w:footnoteReference w:id="25"/>
      </w:r>
      <w:r w:rsidR="008D4D29">
        <w:rPr>
          <w:i/>
        </w:rPr>
        <w:t xml:space="preserve"> </w:t>
      </w:r>
      <w:r w:rsidR="008D4D29">
        <w:t xml:space="preserve">that, under </w:t>
      </w:r>
      <w:r w:rsidR="00DA7CA4">
        <w:t>a similarly worded definition</w:t>
      </w:r>
      <w:r w:rsidR="008D4D29">
        <w:t xml:space="preserve">, </w:t>
      </w:r>
      <w:r w:rsidR="00206A33">
        <w:t xml:space="preserve">the provision or refusal of services may occur when police engage in </w:t>
      </w:r>
      <w:r w:rsidR="008D4D29">
        <w:t xml:space="preserve">conduct </w:t>
      </w:r>
      <w:r w:rsidR="00206A33">
        <w:t>in the context of</w:t>
      </w:r>
      <w:r w:rsidR="008D4D29">
        <w:t xml:space="preserve"> a request for assistance in relation to possible criminal activity where protection of persons or property may be required</w:t>
      </w:r>
      <w:r w:rsidR="00206A33">
        <w:t>.</w:t>
      </w:r>
      <w:r w:rsidR="008D4D29">
        <w:t xml:space="preserve">  Further</w:t>
      </w:r>
      <w:r w:rsidR="00206A33">
        <w:t>, the court found that t</w:t>
      </w:r>
      <w:r w:rsidR="008D4D29">
        <w:t>he detection and prevention of crime can constitute services</w:t>
      </w:r>
      <w:r w:rsidR="00206A33">
        <w:t>.</w:t>
      </w:r>
      <w:r w:rsidR="008D4D29">
        <w:t xml:space="preserve">  In that case, Ms Mohamed and her family were at their home in </w:t>
      </w:r>
      <w:smartTag w:uri="urn:schemas-microsoft-com:office:smarttags" w:element="City">
        <w:smartTag w:uri="urn:schemas-microsoft-com:office:smarttags" w:element="place">
          <w:r w:rsidR="008D4D29">
            <w:t>Blacktown</w:t>
          </w:r>
        </w:smartTag>
      </w:smartTag>
      <w:r w:rsidR="008D4D29">
        <w:t>.  They claimed that they were abused and assaulted by members of a neighbouring family.  Ms Mohamed rang police and two officers attended at the family home.  It was alleged that the officers were rude to the family and failed to take their complaint seriously. It was said that the police took no action against those said to have been responsib</w:t>
      </w:r>
      <w:r w:rsidR="00206A33">
        <w:t>le for the abuse and assaults.</w:t>
      </w:r>
    </w:p>
    <w:p w:rsidR="005903D0" w:rsidRDefault="005903D0" w:rsidP="005903D0">
      <w:pPr>
        <w:pStyle w:val="Para1"/>
      </w:pPr>
      <w:r>
        <w:t xml:space="preserve">In </w:t>
      </w:r>
      <w:r>
        <w:rPr>
          <w:i/>
        </w:rPr>
        <w:t xml:space="preserve">Richards v </w:t>
      </w:r>
      <w:r w:rsidRPr="00C81B92">
        <w:rPr>
          <w:i/>
        </w:rPr>
        <w:t>Commissioner of Police</w:t>
      </w:r>
      <w:r>
        <w:t>,</w:t>
      </w:r>
      <w:r>
        <w:rPr>
          <w:rStyle w:val="FootnoteReference"/>
        </w:rPr>
        <w:footnoteReference w:id="26"/>
      </w:r>
      <w:r>
        <w:t xml:space="preserve"> the West Australian Administrative Tribunal considered a claim of discrimination in the context of police attendance at two fights between groups of people.  After the first fight which had been broken up by police, some of those involved left the scene intending to go to hospital.  On the way there, they met the other group and a second fight occurred, during the course of which Mr Richards was very seriously injured.  The discrimination complaints were that, after the first fight, the police refused to escort the applicant group out of danger, failed to provide first aid to one of them and failed to call an ambulance when requested to do so.</w:t>
      </w:r>
      <w:r w:rsidR="00C025DC">
        <w:t xml:space="preserve">  </w:t>
      </w:r>
    </w:p>
    <w:p w:rsidR="00E63D41" w:rsidRDefault="005903D0" w:rsidP="005903D0">
      <w:pPr>
        <w:pStyle w:val="Para1"/>
      </w:pPr>
      <w:r>
        <w:t>The</w:t>
      </w:r>
      <w:r w:rsidR="00886BD1">
        <w:t xml:space="preserve"> WA</w:t>
      </w:r>
      <w:r>
        <w:t xml:space="preserve"> </w:t>
      </w:r>
      <w:r w:rsidR="00886BD1">
        <w:t>tribunal</w:t>
      </w:r>
      <w:r>
        <w:t xml:space="preserve"> found that p</w:t>
      </w:r>
      <w:r w:rsidR="00E63D41" w:rsidRPr="005903D0">
        <w:t>olice</w:t>
      </w:r>
      <w:r w:rsidR="00E63D41">
        <w:t xml:space="preserve"> officers perform the functions of prevention and detection of crime</w:t>
      </w:r>
      <w:r>
        <w:t xml:space="preserve"> </w:t>
      </w:r>
      <w:r w:rsidR="00E63D41">
        <w:t xml:space="preserve">when they intervene in situations where there is a disturbance of the peace or where an offence has been, or may be, committed.  </w:t>
      </w:r>
      <w:r w:rsidR="00473D98">
        <w:t xml:space="preserve">In those circumstances, they also perform the functions of protecting persons from injury or death and restoring and maintaining peace and good order.  </w:t>
      </w:r>
      <w:r w:rsidR="00E63D41">
        <w:t xml:space="preserve">When exercising their role of restoring or maintaining peace and good order, for the protection of the public, </w:t>
      </w:r>
      <w:r w:rsidR="00C025DC">
        <w:t>police are engaged in the provision</w:t>
      </w:r>
      <w:r w:rsidR="00E63D41">
        <w:t xml:space="preserve"> of services within the meaning of that expression under the </w:t>
      </w:r>
      <w:r w:rsidR="00C025DC">
        <w:t xml:space="preserve">applicable </w:t>
      </w:r>
      <w:r w:rsidR="000169C8">
        <w:t xml:space="preserve">equivalent </w:t>
      </w:r>
      <w:r w:rsidR="00C025DC">
        <w:t xml:space="preserve">Act. While there is no question that </w:t>
      </w:r>
      <w:r w:rsidR="00E63D41">
        <w:t xml:space="preserve">those services are being provided to the public in general, to the extent that </w:t>
      </w:r>
      <w:r w:rsidR="00C025DC">
        <w:t xml:space="preserve">police </w:t>
      </w:r>
      <w:r w:rsidR="00E63D41">
        <w:t>are required to ensure the safety and protection of persons involved in the event, they can be considered to be providing services to the individuals concerned.</w:t>
      </w:r>
      <w:r w:rsidR="00C025DC">
        <w:t xml:space="preserve">  When attending the fight, police were required to assess the situation and the risks of harm faced by those with whom they were dealing and to take appropriate action to remove or minimise those risks.</w:t>
      </w:r>
      <w:r w:rsidR="00C025DC">
        <w:rPr>
          <w:rStyle w:val="FootnoteReference"/>
        </w:rPr>
        <w:footnoteReference w:id="27"/>
      </w:r>
    </w:p>
    <w:p w:rsidR="009A6B5D" w:rsidRDefault="000169C8" w:rsidP="009A6B5D">
      <w:pPr>
        <w:pStyle w:val="Para1"/>
      </w:pPr>
      <w:r>
        <w:t xml:space="preserve">In </w:t>
      </w:r>
      <w:r w:rsidRPr="000169C8">
        <w:rPr>
          <w:i/>
        </w:rPr>
        <w:t>Richards</w:t>
      </w:r>
      <w:r>
        <w:t xml:space="preserve"> t</w:t>
      </w:r>
      <w:r w:rsidR="00C025DC" w:rsidRPr="000169C8">
        <w:t>he</w:t>
      </w:r>
      <w:r w:rsidR="00C025DC">
        <w:t xml:space="preserve"> complaints were not proven as no unfavourable treatment was found.  However, the </w:t>
      </w:r>
      <w:r w:rsidR="00886BD1">
        <w:t>tribunal</w:t>
      </w:r>
      <w:r w:rsidR="00C025DC">
        <w:t xml:space="preserve"> was satisfied that, following their intervention at the first incident, the police officers concerned were providing a service to the public of restoring and maintaining peace, and avoiding danger to the public. Provision of that service involved provision of services to individuals who might be in danger or whose health or physical wellbeing was threatened. </w:t>
      </w:r>
    </w:p>
    <w:p w:rsidR="009A6B5D" w:rsidRDefault="00C9392E" w:rsidP="009A6B5D">
      <w:pPr>
        <w:pStyle w:val="Para1"/>
      </w:pPr>
      <w:r>
        <w:t>T</w:t>
      </w:r>
      <w:r w:rsidR="009011AA">
        <w:t>he respondents and the c</w:t>
      </w:r>
      <w:r w:rsidR="009A6B5D" w:rsidRPr="009A6B5D">
        <w:t xml:space="preserve">ommission referred me to the NSW Administrative Tribunal decision of </w:t>
      </w:r>
      <w:r w:rsidR="009A6B5D" w:rsidRPr="009A6B5D">
        <w:rPr>
          <w:i/>
        </w:rPr>
        <w:t xml:space="preserve">Whitfield v State of </w:t>
      </w:r>
      <w:smartTag w:uri="urn:schemas-microsoft-com:office:smarttags" w:element="place">
        <w:smartTag w:uri="urn:schemas-microsoft-com:office:smarttags" w:element="State">
          <w:r w:rsidR="009A6B5D" w:rsidRPr="009A6B5D">
            <w:rPr>
              <w:i/>
            </w:rPr>
            <w:t>NSW</w:t>
          </w:r>
        </w:smartTag>
      </w:smartTag>
      <w:r w:rsidR="009A6B5D" w:rsidRPr="009A6B5D">
        <w:rPr>
          <w:i/>
        </w:rPr>
        <w:t xml:space="preserve"> (NSW Police Force)</w:t>
      </w:r>
      <w:r w:rsidR="009A6B5D" w:rsidRPr="009A6B5D">
        <w:t>.</w:t>
      </w:r>
      <w:r w:rsidR="009A6B5D" w:rsidRPr="009A6B5D">
        <w:rPr>
          <w:rStyle w:val="FootnoteReference"/>
        </w:rPr>
        <w:footnoteReference w:id="28"/>
      </w:r>
      <w:r w:rsidR="009A6B5D" w:rsidRPr="009A6B5D">
        <w:t xml:space="preserve">  In that case</w:t>
      </w:r>
      <w:r w:rsidR="00B60994">
        <w:t>,</w:t>
      </w:r>
      <w:r w:rsidR="009A6B5D" w:rsidRPr="009A6B5D">
        <w:t xml:space="preserve"> a police officer attended a house following complaints from neighbours about noise and arguments inside.  </w:t>
      </w:r>
      <w:r w:rsidR="009A6B5D" w:rsidRPr="009A6B5D">
        <w:rPr>
          <w:color w:val="000000"/>
          <w:lang w:eastAsia="en-AU"/>
        </w:rPr>
        <w:t xml:space="preserve">Mr Whitfield was living with the owner of the unit.  According to Mr Whitfield, the police officer demanded that he pack a bag and get out of the unit. Mr Whitfield said that he had done nothing wrong and was extremely upset by the police officer's demands. He left the unit that night.  The police officer said that the unit owner wanted Mr Whitfield to leave and that Mr Whitfield was abusing both her and the neighbours.  The officer also said Mr Whitfield agreed to leave.  The </w:t>
      </w:r>
      <w:r w:rsidR="009A6B5D" w:rsidRPr="009A6B5D">
        <w:t xml:space="preserve">NSW </w:t>
      </w:r>
      <w:r w:rsidR="00F65861">
        <w:t>tr</w:t>
      </w:r>
      <w:r w:rsidR="009A6B5D" w:rsidRPr="009A6B5D">
        <w:t>ibunal found that services were being provided to Mr Whitfield when he was asked to leave and those services were by way of prevention and detection of crime and protection of persons and property from injury and damage.   The characterisation of the services co</w:t>
      </w:r>
      <w:r w:rsidR="00B60994">
        <w:t>mes from the applicable police A</w:t>
      </w:r>
      <w:r w:rsidR="009A6B5D" w:rsidRPr="009A6B5D">
        <w:t>ct.</w:t>
      </w:r>
      <w:r w:rsidR="009A6B5D" w:rsidRPr="009A6B5D">
        <w:rPr>
          <w:rStyle w:val="FootnoteReference"/>
        </w:rPr>
        <w:footnoteReference w:id="29"/>
      </w:r>
      <w:r w:rsidR="009A6B5D" w:rsidRPr="009A6B5D">
        <w:t xml:space="preserve"> </w:t>
      </w:r>
    </w:p>
    <w:p w:rsidR="009A6B5D" w:rsidRPr="009A6B5D" w:rsidRDefault="009A6B5D" w:rsidP="009A6B5D">
      <w:pPr>
        <w:pStyle w:val="Para1"/>
      </w:pPr>
      <w:r>
        <w:t>I understood from the reasons</w:t>
      </w:r>
      <w:r w:rsidR="00F65861">
        <w:t xml:space="preserve"> for decision,</w:t>
      </w:r>
      <w:r>
        <w:t xml:space="preserve"> that there was no suggestion that an offence had been committed by Mr Whitfield and the request to leave was made by the officer as a means to </w:t>
      </w:r>
      <w:r w:rsidR="00E63204">
        <w:t>give effect to the owner’s expressed wish that Mr Whitfield leave.  It was accepted that the officer had no authority to require Mr Whitfield to leave.  The officer’s evidence was that he attended at the unit to investigate whether any person was in danger or whether there had been any breach of the law.  He confirmed that he had not formed any opinion as to either of those matters before talking to Mr Whitfield and the unit owner.</w:t>
      </w:r>
    </w:p>
    <w:p w:rsidR="00C025DC" w:rsidRDefault="00C025DC" w:rsidP="005903D0">
      <w:pPr>
        <w:pStyle w:val="Para1"/>
      </w:pPr>
      <w:r>
        <w:t xml:space="preserve">In </w:t>
      </w:r>
      <w:r>
        <w:rPr>
          <w:i/>
        </w:rPr>
        <w:t>Lambe v Anti-Discrimination Commission and Commissioner of Police</w:t>
      </w:r>
      <w:r>
        <w:t>,</w:t>
      </w:r>
      <w:r>
        <w:rPr>
          <w:i/>
        </w:rPr>
        <w:t xml:space="preserve"> </w:t>
      </w:r>
      <w:r w:rsidR="003D790F">
        <w:t xml:space="preserve">the Northern Territory Local Court found that </w:t>
      </w:r>
      <w:r w:rsidR="00305EAC">
        <w:t xml:space="preserve">deciding whether or not to lay a charge is not a service under the </w:t>
      </w:r>
      <w:r w:rsidR="00C81B92">
        <w:t xml:space="preserve">definition contained in the </w:t>
      </w:r>
      <w:r w:rsidR="00C81B92" w:rsidRPr="00C81B92">
        <w:rPr>
          <w:i/>
        </w:rPr>
        <w:t xml:space="preserve">Anti-Discrimination </w:t>
      </w:r>
      <w:r w:rsidR="00305EAC" w:rsidRPr="00C81B92">
        <w:rPr>
          <w:i/>
        </w:rPr>
        <w:t>Act</w:t>
      </w:r>
      <w:r w:rsidR="00C81B92">
        <w:t xml:space="preserve"> (NT)</w:t>
      </w:r>
      <w:r w:rsidR="00CF2CA3">
        <w:t>.</w:t>
      </w:r>
      <w:r w:rsidR="00CF2CA3" w:rsidRPr="00CF2CA3">
        <w:rPr>
          <w:rStyle w:val="FootnoteReference"/>
        </w:rPr>
        <w:t xml:space="preserve"> </w:t>
      </w:r>
      <w:r w:rsidR="00CF2CA3">
        <w:rPr>
          <w:rStyle w:val="FootnoteReference"/>
        </w:rPr>
        <w:footnoteReference w:id="30"/>
      </w:r>
      <w:r w:rsidR="00CF2CA3">
        <w:t xml:space="preserve"> </w:t>
      </w:r>
      <w:r w:rsidR="00305EAC">
        <w:t xml:space="preserve"> The same finding was made in respect of the service of a summons in respect of a criminal charge and the execution of a search warrant.  S</w:t>
      </w:r>
      <w:r w:rsidR="001150A6">
        <w:t xml:space="preserve">tipendiary </w:t>
      </w:r>
      <w:r w:rsidR="00305EAC">
        <w:t>M</w:t>
      </w:r>
      <w:r w:rsidR="001150A6">
        <w:t>agistrate</w:t>
      </w:r>
      <w:r w:rsidR="00305EAC">
        <w:t xml:space="preserve"> Trigg expressed the view that</w:t>
      </w:r>
      <w:r w:rsidR="000169C8">
        <w:t>,</w:t>
      </w:r>
      <w:r w:rsidR="00305EAC">
        <w:t xml:space="preserve"> generally</w:t>
      </w:r>
      <w:r w:rsidR="000169C8">
        <w:t>,</w:t>
      </w:r>
      <w:r w:rsidR="00305EAC">
        <w:t xml:space="preserve"> when police are performing duties involving the investigation, charging or possible charging and prosecution of alleged criminal activity, they are not providing any service to a possible or actual defendant.  In particular, he noted that the </w:t>
      </w:r>
      <w:r w:rsidR="00EF5092">
        <w:t>c</w:t>
      </w:r>
      <w:r w:rsidR="00305EAC">
        <w:t>ourt had no power to look behind decisions to prosecute or not and how a matter will or will not proceed in court.  Further, in respect of a complaint about the use of tape recordings in</w:t>
      </w:r>
      <w:r w:rsidR="001150A6">
        <w:t xml:space="preserve"> a criminal proceeding,</w:t>
      </w:r>
      <w:r w:rsidR="00305EAC">
        <w:t xml:space="preserve"> the </w:t>
      </w:r>
      <w:r w:rsidR="00F65861">
        <w:t xml:space="preserve">court found that the </w:t>
      </w:r>
      <w:r w:rsidR="00305EAC">
        <w:t xml:space="preserve">conduct of a Supreme Court Judge in the exercise of her duties is not a matter </w:t>
      </w:r>
      <w:r w:rsidR="001150A6">
        <w:t>which can be considered under EO Act equivalent legislation.</w:t>
      </w:r>
      <w:r w:rsidR="00305EAC">
        <w:rPr>
          <w:rStyle w:val="FootnoteReference"/>
        </w:rPr>
        <w:footnoteReference w:id="31"/>
      </w:r>
      <w:r w:rsidR="00305EAC">
        <w:t xml:space="preserve"> </w:t>
      </w:r>
    </w:p>
    <w:p w:rsidR="00EF5092" w:rsidRDefault="00EF5092" w:rsidP="00EF5092">
      <w:pPr>
        <w:pStyle w:val="Para1"/>
      </w:pPr>
      <w:r>
        <w:t xml:space="preserve">At the hearing and in the written submissions, there was a discussion about whether, at one point of time, a service may be provided but, because of the way in which events occur, the interaction ceases to be a service and becomes something else.  I was referred to the decision of the NSW Supreme Court in </w:t>
      </w:r>
      <w:r>
        <w:rPr>
          <w:i/>
        </w:rPr>
        <w:t xml:space="preserve">Commissioner of Police, </w:t>
      </w:r>
      <w:smartTag w:uri="urn:schemas-microsoft-com:office:smarttags" w:element="State">
        <w:smartTag w:uri="urn:schemas-microsoft-com:office:smarttags" w:element="place">
          <w:r>
            <w:rPr>
              <w:i/>
            </w:rPr>
            <w:t>New South Wales</w:t>
          </w:r>
        </w:smartTag>
      </w:smartTag>
      <w:r>
        <w:rPr>
          <w:i/>
        </w:rPr>
        <w:t xml:space="preserve"> v Estate of John Edward Russell</w:t>
      </w:r>
      <w:r>
        <w:t>.</w:t>
      </w:r>
      <w:r>
        <w:rPr>
          <w:rStyle w:val="FootnoteReference"/>
        </w:rPr>
        <w:footnoteReference w:id="32"/>
      </w:r>
      <w:r>
        <w:t xml:space="preserve">  In that case, Sully J drew a distinction between police officers</w:t>
      </w:r>
      <w:r w:rsidR="00F660A5">
        <w:t>’</w:t>
      </w:r>
      <w:r>
        <w:t xml:space="preserve"> actions in arresting and interviewing Mr Russell and their subsequent conduct towards him.  The court found that, when police were pursuing Mr Russell and arrested him, they were providing services to the community at large.  However, once Mr Russell had been arrested and passed into police custody, the police had a public duty to provide services to him by way of protecting him from injury or death and protectin</w:t>
      </w:r>
      <w:r w:rsidR="000169C8">
        <w:t>g</w:t>
      </w:r>
      <w:r>
        <w:t xml:space="preserve"> his property from damage.</w:t>
      </w:r>
      <w:r>
        <w:rPr>
          <w:rStyle w:val="FootnoteReference"/>
        </w:rPr>
        <w:footnoteReference w:id="33"/>
      </w:r>
    </w:p>
    <w:p w:rsidR="00EF5092" w:rsidRDefault="00EF5092" w:rsidP="00EF5092">
      <w:pPr>
        <w:pStyle w:val="Para1"/>
      </w:pPr>
      <w:r>
        <w:t>Mr Djime contended that, if the interaction commenced as a service under the EO Act, it could not change in nature in this way.</w:t>
      </w:r>
      <w:r w:rsidR="00F65861">
        <w:t xml:space="preserve">  Accordingly, all that occurs from that point in time ought to be considered to be a service under the EO Act.</w:t>
      </w:r>
    </w:p>
    <w:p w:rsidR="00EF5092" w:rsidRDefault="00EF5092" w:rsidP="00EF5092">
      <w:pPr>
        <w:pStyle w:val="Para1"/>
      </w:pPr>
      <w:r>
        <w:t xml:space="preserve">The </w:t>
      </w:r>
      <w:r w:rsidR="009011AA">
        <w:t>c</w:t>
      </w:r>
      <w:r>
        <w:t xml:space="preserve">ommission submissions agree that a chain of events may include a mix of the provision of services for the purposes of the EO Act and other actions which do not fall within its meaning.  </w:t>
      </w:r>
      <w:r w:rsidR="003C2302">
        <w:t xml:space="preserve">However, the commission says that it is important not to artificially distinguish between stages or aspects of the conduct.  </w:t>
      </w:r>
      <w:r w:rsidR="00F65861">
        <w:t xml:space="preserve">The </w:t>
      </w:r>
      <w:r w:rsidR="009011AA">
        <w:t>c</w:t>
      </w:r>
      <w:r w:rsidR="00F65861">
        <w:t xml:space="preserve">ommission says that </w:t>
      </w:r>
      <w:r>
        <w:t xml:space="preserve">it would be necessary to consider all of the evidence about the incidents </w:t>
      </w:r>
      <w:r w:rsidR="000169C8">
        <w:t xml:space="preserve">raised in this case </w:t>
      </w:r>
      <w:r>
        <w:t>in order to decide if it is open to conclude that services were being provided to Mr Djime throughout his dealings with police.</w:t>
      </w:r>
      <w:r>
        <w:rPr>
          <w:rStyle w:val="FootnoteReference"/>
        </w:rPr>
        <w:footnoteReference w:id="34"/>
      </w:r>
      <w:r>
        <w:t xml:space="preserve">  </w:t>
      </w:r>
    </w:p>
    <w:p w:rsidR="00EF5092" w:rsidRDefault="00EF5092" w:rsidP="00EF5092">
      <w:pPr>
        <w:pStyle w:val="Para1"/>
      </w:pPr>
      <w:r>
        <w:t xml:space="preserve">I consider it open to assess circumstances which involve police as consisting of services at some points in time to some people and as something outside the meaning of that term at other points in time for the same people.  That is clear from the decision in </w:t>
      </w:r>
      <w:r w:rsidRPr="00B41E95">
        <w:rPr>
          <w:i/>
        </w:rPr>
        <w:t>Richards</w:t>
      </w:r>
      <w:r>
        <w:t xml:space="preserve"> discussed above.  The police attended the fight to break it up in order to protect public safety and order.  Initially, they were providing a service of that kind to all of the participants.  It must be open to consider that, had one or more of the participants been arrested, a service may have been provided to their victims but not to those arrested.  The change in dealings would mean that the service provision role changed into a law enforcement role and at that point, a service was no longer being provided to the alleged offender.  That approach is consistent with </w:t>
      </w:r>
      <w:r w:rsidR="000169C8">
        <w:t>how</w:t>
      </w:r>
      <w:r>
        <w:t xml:space="preserve"> matters relating to investigation of criminal activity and the carrying out of arrests</w:t>
      </w:r>
      <w:r w:rsidR="000169C8">
        <w:t xml:space="preserve"> have been considered by the courts</w:t>
      </w:r>
      <w:r>
        <w:t>.  If charges were laid and prosecuted, police could not be said to be providing services to the alleged offenders.</w:t>
      </w:r>
    </w:p>
    <w:p w:rsidR="0019547B" w:rsidRPr="0019547B" w:rsidRDefault="0019547B" w:rsidP="0019547B">
      <w:pPr>
        <w:pStyle w:val="Para1"/>
        <w:numPr>
          <w:ilvl w:val="0"/>
          <w:numId w:val="0"/>
        </w:numPr>
        <w:rPr>
          <w:i/>
        </w:rPr>
      </w:pPr>
      <w:r>
        <w:rPr>
          <w:i/>
        </w:rPr>
        <w:t xml:space="preserve">Summary </w:t>
      </w:r>
    </w:p>
    <w:p w:rsidR="001D007E" w:rsidRDefault="00CF2CA3" w:rsidP="005903D0">
      <w:pPr>
        <w:pStyle w:val="Para1"/>
      </w:pPr>
      <w:r>
        <w:t xml:space="preserve">Although many of the decisions discussed above are not binding on this tribunal, I consider they are persuasive.  I have </w:t>
      </w:r>
      <w:r w:rsidR="001D007E">
        <w:t>consider</w:t>
      </w:r>
      <w:r>
        <w:t>ed</w:t>
      </w:r>
      <w:r w:rsidR="001D007E">
        <w:t xml:space="preserve"> whether a service within the meaning of the EO Act is provided in the course of dealings between an applicant and police</w:t>
      </w:r>
      <w:r>
        <w:t xml:space="preserve"> having regard to the following summary of general principles: </w:t>
      </w:r>
    </w:p>
    <w:p w:rsidR="001D007E" w:rsidRDefault="001D007E" w:rsidP="001D007E">
      <w:pPr>
        <w:pStyle w:val="Para5"/>
      </w:pPr>
      <w:r>
        <w:t xml:space="preserve">Conduct which is </w:t>
      </w:r>
      <w:r w:rsidRPr="001D007E">
        <w:t xml:space="preserve">helpful </w:t>
      </w:r>
      <w:r>
        <w:t>or beneficial for the individual</w:t>
      </w:r>
      <w:r w:rsidR="00FD47E8">
        <w:t xml:space="preserve"> is likely to be a service where it is consistent with the interests or welfare of the individual;</w:t>
      </w:r>
    </w:p>
    <w:p w:rsidR="001D007E" w:rsidRDefault="001D007E" w:rsidP="001D007E">
      <w:pPr>
        <w:pStyle w:val="Para5"/>
      </w:pPr>
      <w:r>
        <w:t>The fact that the conduct might arise in the exercise of a statutory power or in the performance of a statutory duty might assist in identifying the nature of the conduct and whether it falls within the meaning of a service but those matters are not determinat</w:t>
      </w:r>
      <w:r w:rsidR="00FD47E8">
        <w:t>ive;</w:t>
      </w:r>
    </w:p>
    <w:p w:rsidR="00FD47E8" w:rsidRDefault="00FD47E8" w:rsidP="001D007E">
      <w:pPr>
        <w:pStyle w:val="Para5"/>
      </w:pPr>
      <w:r>
        <w:t xml:space="preserve">There is a distinction to be drawn between the services police provide to the community at large when undertaking duties such as preventing criminal conduct and an arresting officer’s dealings with an </w:t>
      </w:r>
      <w:r w:rsidR="000169C8">
        <w:t xml:space="preserve">alleged </w:t>
      </w:r>
      <w:r>
        <w:t>offender</w:t>
      </w:r>
      <w:r w:rsidR="00F77452">
        <w:t>;</w:t>
      </w:r>
    </w:p>
    <w:p w:rsidR="00F77452" w:rsidRDefault="00F77452" w:rsidP="001D007E">
      <w:pPr>
        <w:pStyle w:val="Para5"/>
      </w:pPr>
      <w:r>
        <w:t xml:space="preserve">Police functions </w:t>
      </w:r>
      <w:r w:rsidR="000B6280">
        <w:t xml:space="preserve">which are </w:t>
      </w:r>
      <w:r>
        <w:t>associated with the prevention and detection of crime</w:t>
      </w:r>
      <w:r w:rsidR="00F65861">
        <w:t xml:space="preserve"> </w:t>
      </w:r>
      <w:r>
        <w:t>when they intervene in situations where there is a disturbance of the peace or where an offence has been, or may be, committed are services provided to the public at large and individuals who may suffer injury or harm</w:t>
      </w:r>
      <w:r w:rsidR="00CF2CA3">
        <w:t xml:space="preserve"> are likely to be services under the EO Act</w:t>
      </w:r>
      <w:r w:rsidR="00F65861">
        <w:t>.  In those circumstances, the service might include other functions such as protecting persons from injury or death and restoring and maintaining peace and good order</w:t>
      </w:r>
      <w:r>
        <w:t>;</w:t>
      </w:r>
    </w:p>
    <w:p w:rsidR="00EF5092" w:rsidRDefault="00EF5092" w:rsidP="001D007E">
      <w:pPr>
        <w:pStyle w:val="Para5"/>
      </w:pPr>
      <w:r>
        <w:t>Police provide a service when they respond to a specific request for assistance, such as when an emergency call is made</w:t>
      </w:r>
      <w:r w:rsidR="00206A33">
        <w:t>.  When police attend following a request for assistance, a service may be provided to a person who is being asked to leave or move on or take some other action which is intended to defuse the circumstances which led to the police attendance rather than because it is suspected tha</w:t>
      </w:r>
      <w:r w:rsidR="00F65861">
        <w:t>t an offence has been committed;</w:t>
      </w:r>
    </w:p>
    <w:p w:rsidR="00D72DB9" w:rsidRDefault="00D72DB9" w:rsidP="001D007E">
      <w:pPr>
        <w:pStyle w:val="Para5"/>
      </w:pPr>
      <w:r>
        <w:t>Depending on the particular circumstances, after an alleged offender has been arrested and passed into police custody, police may have a public duty to provide services by way of protecting the person from injury or death and protecting property from damage</w:t>
      </w:r>
      <w:r w:rsidR="00F65861">
        <w:t>;</w:t>
      </w:r>
    </w:p>
    <w:p w:rsidR="00EF5092" w:rsidRDefault="00F77452" w:rsidP="001D007E">
      <w:pPr>
        <w:pStyle w:val="Para5"/>
      </w:pPr>
      <w:r>
        <w:t xml:space="preserve">Services are not provided when police investigate an alleged offence, question an alleged offender, arrest an alleged offender, deal with a bail application, decide </w:t>
      </w:r>
      <w:r w:rsidR="00EF5092">
        <w:t xml:space="preserve">whether or not </w:t>
      </w:r>
      <w:r>
        <w:t xml:space="preserve">to lay charges, decide </w:t>
      </w:r>
      <w:r w:rsidR="00EF5092">
        <w:t>whether or not t</w:t>
      </w:r>
      <w:r>
        <w:t xml:space="preserve">o prosecute charges </w:t>
      </w:r>
      <w:r w:rsidR="00EF5092">
        <w:t>and decide how a matter will proceed in court;</w:t>
      </w:r>
    </w:p>
    <w:p w:rsidR="00F77452" w:rsidRDefault="00EF5092" w:rsidP="001D007E">
      <w:pPr>
        <w:pStyle w:val="Para5"/>
      </w:pPr>
      <w:r>
        <w:t>Services are not provided when police serve summonses and execute search warrants</w:t>
      </w:r>
      <w:r w:rsidR="00CF2CA3">
        <w:t xml:space="preserve"> and take other steps in respect of the laying of charges and their prosecution</w:t>
      </w:r>
      <w:r w:rsidR="00222D60">
        <w:t xml:space="preserve">; </w:t>
      </w:r>
    </w:p>
    <w:p w:rsidR="00EF5092" w:rsidRDefault="00EF5092" w:rsidP="001D007E">
      <w:pPr>
        <w:pStyle w:val="Para5"/>
      </w:pPr>
      <w:r>
        <w:t>During the course of dealing with a situation or event, police may at some points in time provide a service to an individual but the conduct may cea</w:t>
      </w:r>
      <w:r w:rsidR="00D72DB9">
        <w:t>se to be a service</w:t>
      </w:r>
      <w:r w:rsidR="00E838A9">
        <w:t xml:space="preserve">.  That might occur </w:t>
      </w:r>
      <w:r w:rsidR="00D72DB9">
        <w:t>if police</w:t>
      </w:r>
      <w:r w:rsidR="00E838A9">
        <w:t>:</w:t>
      </w:r>
      <w:r w:rsidR="00D72DB9">
        <w:t xml:space="preserve"> </w:t>
      </w:r>
      <w:r>
        <w:t>tak</w:t>
      </w:r>
      <w:r w:rsidR="00D72DB9">
        <w:t>e</w:t>
      </w:r>
      <w:r>
        <w:t xml:space="preserve"> action to </w:t>
      </w:r>
      <w:r w:rsidR="00E838A9">
        <w:t xml:space="preserve">investigate a possible offence; </w:t>
      </w:r>
      <w:r>
        <w:t xml:space="preserve">deal with </w:t>
      </w:r>
      <w:r w:rsidR="00D72DB9">
        <w:t xml:space="preserve">an </w:t>
      </w:r>
      <w:r>
        <w:t xml:space="preserve">alleged </w:t>
      </w:r>
      <w:r w:rsidR="00D72DB9">
        <w:t>offender</w:t>
      </w:r>
      <w:r w:rsidR="00E838A9">
        <w:t xml:space="preserve">; deal with </w:t>
      </w:r>
      <w:r>
        <w:t>other unlawful conduct</w:t>
      </w:r>
      <w:r w:rsidR="00E838A9">
        <w:t xml:space="preserve">; act </w:t>
      </w:r>
      <w:r>
        <w:t>to enforce the law</w:t>
      </w:r>
      <w:r w:rsidR="00E838A9">
        <w:t>;</w:t>
      </w:r>
      <w:r>
        <w:t xml:space="preserve"> or otherwise intervene to maintain peace and order</w:t>
      </w:r>
      <w:r w:rsidR="00222D60">
        <w:t>; and</w:t>
      </w:r>
    </w:p>
    <w:p w:rsidR="00222D60" w:rsidRDefault="00222D60" w:rsidP="001D007E">
      <w:pPr>
        <w:pStyle w:val="Para5"/>
      </w:pPr>
      <w:r>
        <w:t xml:space="preserve">Whether in particular circumstances a service is being offered will require consideration of the conduct of police within the particular </w:t>
      </w:r>
      <w:r w:rsidR="00E838A9">
        <w:t xml:space="preserve">factual </w:t>
      </w:r>
      <w:r>
        <w:t>context.</w:t>
      </w:r>
    </w:p>
    <w:p w:rsidR="00F82752" w:rsidRPr="00187086" w:rsidRDefault="00F82752" w:rsidP="00F82752">
      <w:pPr>
        <w:pStyle w:val="Heading3"/>
      </w:pPr>
      <w:r>
        <w:t>The respondents’ section 75 application</w:t>
      </w:r>
    </w:p>
    <w:p w:rsidR="00F82752" w:rsidRDefault="00F82752" w:rsidP="00F82752">
      <w:pPr>
        <w:pStyle w:val="Para1"/>
      </w:pPr>
      <w:r>
        <w:t>The respondents concede that there are two sets of events which ought to proceed to final hearing:</w:t>
      </w:r>
    </w:p>
    <w:p w:rsidR="00F82752" w:rsidRDefault="00F82752" w:rsidP="00F82752">
      <w:pPr>
        <w:pStyle w:val="Para5"/>
      </w:pPr>
      <w:r>
        <w:t xml:space="preserve">The transporting of Mr Djime away from Footscray Station, as summarised in paragraph </w:t>
      </w:r>
      <w:r w:rsidR="008972C3">
        <w:t xml:space="preserve">85 </w:t>
      </w:r>
      <w:r w:rsidR="00D72DB9">
        <w:t xml:space="preserve">below </w:t>
      </w:r>
      <w:r>
        <w:t>and the resulting</w:t>
      </w:r>
      <w:r w:rsidR="004C7D3B">
        <w:t xml:space="preserve"> claim described by me in item</w:t>
      </w:r>
      <w:r>
        <w:t xml:space="preserve"> d</w:t>
      </w:r>
      <w:r w:rsidR="004C7D3B">
        <w:t xml:space="preserve"> below</w:t>
      </w:r>
      <w:r>
        <w:t>;</w:t>
      </w:r>
      <w:r w:rsidR="00A70B4B" w:rsidRPr="00A70B4B">
        <w:rPr>
          <w:rStyle w:val="FootnoteReference"/>
        </w:rPr>
        <w:t xml:space="preserve"> </w:t>
      </w:r>
      <w:r w:rsidR="00A70B4B">
        <w:rPr>
          <w:rStyle w:val="FootnoteReference"/>
        </w:rPr>
        <w:footnoteReference w:id="35"/>
      </w:r>
      <w:r w:rsidR="00E838A9">
        <w:t xml:space="preserve"> and</w:t>
      </w:r>
    </w:p>
    <w:p w:rsidR="00F82752" w:rsidRDefault="004C7D3B" w:rsidP="00F82752">
      <w:pPr>
        <w:pStyle w:val="Para5"/>
      </w:pPr>
      <w:r>
        <w:t xml:space="preserve">The attendance at </w:t>
      </w:r>
      <w:r w:rsidR="00F82752">
        <w:t xml:space="preserve">rental premises following calls to 000 by Mr Djime and </w:t>
      </w:r>
      <w:r w:rsidR="00D72DB9">
        <w:t xml:space="preserve">another man </w:t>
      </w:r>
      <w:r w:rsidR="00F82752">
        <w:t xml:space="preserve">and the following events up to when Mr Djime walked into the premises.  The events are summarised in paragraphs </w:t>
      </w:r>
      <w:r w:rsidR="008972C3">
        <w:t>114</w:t>
      </w:r>
      <w:r w:rsidR="00C96EE5">
        <w:t xml:space="preserve"> </w:t>
      </w:r>
      <w:r w:rsidR="008972C3">
        <w:t xml:space="preserve">to 116 below </w:t>
      </w:r>
      <w:r w:rsidR="00F82752">
        <w:t>and the claims are described by me in items g and h</w:t>
      </w:r>
      <w:r w:rsidR="00C96EE5">
        <w:t xml:space="preserve"> below</w:t>
      </w:r>
      <w:r w:rsidR="00F82752">
        <w:t>.</w:t>
      </w:r>
      <w:r w:rsidR="00A70B4B">
        <w:rPr>
          <w:rStyle w:val="FootnoteReference"/>
        </w:rPr>
        <w:footnoteReference w:id="36"/>
      </w:r>
      <w:r w:rsidR="00F82752">
        <w:t xml:space="preserve"> </w:t>
      </w:r>
    </w:p>
    <w:p w:rsidR="00F82752" w:rsidRDefault="00F82752" w:rsidP="00F82752">
      <w:pPr>
        <w:pStyle w:val="Para1"/>
      </w:pPr>
      <w:r>
        <w:t>The respondents accept that it is arguable that those events are capable of constituting a service provided to Mr Djime and that they should proceed to hearing</w:t>
      </w:r>
      <w:r w:rsidR="00A70B4B">
        <w:t xml:space="preserve"> so the factual dispute can be heard and determined</w:t>
      </w:r>
      <w:r>
        <w:t xml:space="preserve">. </w:t>
      </w:r>
    </w:p>
    <w:p w:rsidR="00F82752" w:rsidRDefault="00F82752" w:rsidP="00F82752">
      <w:pPr>
        <w:pStyle w:val="Para1"/>
      </w:pPr>
      <w:r>
        <w:t xml:space="preserve">The respondents say that the majority of the other allegations made against them do not relate to the provision of a service to Mr Djime under the EO Act.  As a consequence, the respondents say that a large number of discrimination claims and all of the sexual harassment claims do not fall within the EO Act and cannot proceed.  </w:t>
      </w:r>
    </w:p>
    <w:p w:rsidR="00D77E58" w:rsidRDefault="00F82752" w:rsidP="00D77E58">
      <w:pPr>
        <w:pStyle w:val="Para1"/>
      </w:pPr>
      <w:r>
        <w:t>The respondents say that, even if some of the claims may proceed under any of the three Acts relied on by Mr Djime</w:t>
      </w:r>
      <w:r w:rsidR="00C96EE5">
        <w:t>, they</w:t>
      </w:r>
      <w:r>
        <w:t xml:space="preserve"> cannot be proven even if Mr Djime’s evidence is taken at its highest.</w:t>
      </w:r>
      <w:r w:rsidR="00D42C96">
        <w:t xml:space="preserve">  </w:t>
      </w:r>
      <w:r>
        <w:t>The respondents say that the claims of victimisation cannot proceed because there is no evidence that, even taking his evidence at its highest, the treatment</w:t>
      </w:r>
      <w:r w:rsidR="00C96EE5">
        <w:t xml:space="preserve"> of </w:t>
      </w:r>
      <w:r>
        <w:t>Mr Djime can be connected to a complaint or other conduct as set out in section 104 of the EO Act.</w:t>
      </w:r>
      <w:r w:rsidR="00D42C96">
        <w:t xml:space="preserve">  The respondents say that claims such as these ought to be dismissed or struck out under section 75(1) of the VCAT Act as they are misconceived, lacking in substance or an abuse of process.</w:t>
      </w:r>
    </w:p>
    <w:p w:rsidR="00D42C96" w:rsidRDefault="00D42C96" w:rsidP="00D42C96">
      <w:pPr>
        <w:pStyle w:val="Heading3"/>
      </w:pPr>
      <w:r>
        <w:t>Outline of reasons</w:t>
      </w:r>
    </w:p>
    <w:p w:rsidR="00F82752" w:rsidRDefault="00F82752" w:rsidP="002839B4">
      <w:pPr>
        <w:pStyle w:val="Para1"/>
      </w:pPr>
      <w:r>
        <w:t xml:space="preserve">I have set out </w:t>
      </w:r>
      <w:r w:rsidR="00C96EE5">
        <w:t>below a</w:t>
      </w:r>
      <w:r>
        <w:t xml:space="preserve"> summary the evidence given by Mr Djime and his witnesses, the claim arising and whether I consider that a service was provided or not.  Where I am not satisfied that a service was provided and that is a requirement to bring the claim, it will be dismissed.  Where the respondents say there is another reason why the particular claim should be summarily dismissed or struck out, I have considered tha</w:t>
      </w:r>
      <w:r w:rsidR="009011AA">
        <w:t>t contention together with the c</w:t>
      </w:r>
      <w:r>
        <w:t>ommission’s submission</w:t>
      </w:r>
      <w:r w:rsidR="00C96EE5">
        <w:t>s on the point</w:t>
      </w:r>
      <w:r>
        <w:t xml:space="preserve">. </w:t>
      </w:r>
    </w:p>
    <w:p w:rsidR="002839B4" w:rsidRDefault="00F82752" w:rsidP="00C96EE5">
      <w:pPr>
        <w:pStyle w:val="Para1"/>
      </w:pPr>
      <w:r>
        <w:t xml:space="preserve">As will become apparent, </w:t>
      </w:r>
      <w:r w:rsidR="002839B4">
        <w:t xml:space="preserve">individual aspects of the events </w:t>
      </w:r>
      <w:r>
        <w:t xml:space="preserve">described </w:t>
      </w:r>
      <w:r w:rsidR="002839B4">
        <w:t xml:space="preserve">may </w:t>
      </w:r>
      <w:r>
        <w:t xml:space="preserve">also </w:t>
      </w:r>
      <w:r w:rsidR="002839B4">
        <w:t xml:space="preserve">be </w:t>
      </w:r>
      <w:r>
        <w:t xml:space="preserve">considered as a </w:t>
      </w:r>
      <w:r w:rsidR="002839B4">
        <w:t>part of a larger continuum</w:t>
      </w:r>
      <w:r>
        <w:t xml:space="preserve">.  I have </w:t>
      </w:r>
      <w:r w:rsidR="002839B4">
        <w:t>separate</w:t>
      </w:r>
      <w:r>
        <w:t>d</w:t>
      </w:r>
      <w:r w:rsidR="002839B4">
        <w:t xml:space="preserve"> </w:t>
      </w:r>
      <w:r w:rsidR="00B41E95">
        <w:t xml:space="preserve">the </w:t>
      </w:r>
      <w:r w:rsidR="002839B4">
        <w:t>distinct events which are said to support Mr Djime’s claims</w:t>
      </w:r>
      <w:r>
        <w:t xml:space="preserve"> and considered them individually having regard to the summary of law set out earlier</w:t>
      </w:r>
      <w:r w:rsidR="00C96EE5">
        <w:t xml:space="preserve"> and the </w:t>
      </w:r>
      <w:r w:rsidR="009011AA">
        <w:t>c</w:t>
      </w:r>
      <w:r w:rsidR="00C96EE5">
        <w:t>ommission’s caution against artificial distinctions</w:t>
      </w:r>
      <w:r w:rsidR="002839B4">
        <w:t>.</w:t>
      </w:r>
    </w:p>
    <w:p w:rsidR="00E624DC" w:rsidRDefault="00E624DC" w:rsidP="00E624DC">
      <w:pPr>
        <w:pStyle w:val="Heading3"/>
      </w:pPr>
      <w:r>
        <w:t>The allegations</w:t>
      </w:r>
      <w:r w:rsidR="008B7DD5">
        <w:t xml:space="preserve"> - overview</w:t>
      </w:r>
    </w:p>
    <w:p w:rsidR="000C465F" w:rsidRDefault="00E624DC" w:rsidP="00E624DC">
      <w:pPr>
        <w:pStyle w:val="Para1"/>
      </w:pPr>
      <w:r>
        <w:t xml:space="preserve">The allegations arise from a number of interactions between Mr Djime and police officers commencing in </w:t>
      </w:r>
      <w:r w:rsidR="00CB0EA1">
        <w:t>2008</w:t>
      </w:r>
      <w:r>
        <w:t xml:space="preserve">.  </w:t>
      </w:r>
    </w:p>
    <w:p w:rsidR="00205CA8" w:rsidRDefault="00062447" w:rsidP="00205CA8">
      <w:pPr>
        <w:pStyle w:val="Para1"/>
      </w:pPr>
      <w:r>
        <w:t xml:space="preserve">In his materials (including his response to the respondents’ section 75 application) </w:t>
      </w:r>
      <w:r w:rsidR="00205CA8">
        <w:t xml:space="preserve">and when giving evidence Mr Djime made criticisms and accusations of collusion and corruption about solicitors who acted for him, police officers, including very senior officers, and members of the judiciary in respect of these and other matters.  He made similar criticisms of and accusations about the solicitors acting for the respondents and staff of the </w:t>
      </w:r>
      <w:r w:rsidR="009011AA">
        <w:t>c</w:t>
      </w:r>
      <w:r w:rsidR="00205CA8">
        <w:t xml:space="preserve">ommission.  </w:t>
      </w:r>
      <w:r w:rsidR="00A70B4B">
        <w:t xml:space="preserve">None of these allegations were supported by any objective evidence.  </w:t>
      </w:r>
      <w:r w:rsidR="00205CA8">
        <w:t xml:space="preserve">I informed Mr Djime that I regarded those comments as being disgraceful and that I would have no regard to them.  </w:t>
      </w:r>
    </w:p>
    <w:p w:rsidR="00E624DC" w:rsidRDefault="00FB2D3D" w:rsidP="00E624DC">
      <w:pPr>
        <w:pStyle w:val="Para1"/>
      </w:pPr>
      <w:r>
        <w:t xml:space="preserve">The following description of the claims </w:t>
      </w:r>
      <w:r w:rsidR="00E07681">
        <w:t>is</w:t>
      </w:r>
      <w:r>
        <w:t xml:space="preserve"> taken from the particulars of claim</w:t>
      </w:r>
      <w:r w:rsidR="00205CA8">
        <w:t>, the respondents</w:t>
      </w:r>
      <w:r w:rsidR="00F660A5">
        <w:t>’</w:t>
      </w:r>
      <w:r w:rsidR="00205CA8">
        <w:t xml:space="preserve"> section 75 application</w:t>
      </w:r>
      <w:r>
        <w:t xml:space="preserve"> and the transcript of evidence given before the</w:t>
      </w:r>
      <w:r w:rsidR="00876CD8">
        <w:t xml:space="preserve"> </w:t>
      </w:r>
      <w:r w:rsidR="00844590">
        <w:t>t</w:t>
      </w:r>
      <w:r>
        <w:t>ribunal.</w:t>
      </w:r>
      <w:r w:rsidR="00CF2CA3">
        <w:t xml:space="preserve">  I have treated those parts of the particulars of claim which contain statements </w:t>
      </w:r>
      <w:r w:rsidR="00E07681">
        <w:t xml:space="preserve">by Mr Djime as to what was said and done </w:t>
      </w:r>
      <w:r w:rsidR="00CF2CA3">
        <w:t xml:space="preserve">as part of </w:t>
      </w:r>
      <w:r w:rsidR="00E07681">
        <w:t xml:space="preserve">his </w:t>
      </w:r>
      <w:r w:rsidR="00CF2CA3">
        <w:t>evidence.</w:t>
      </w:r>
    </w:p>
    <w:p w:rsidR="00E624DC" w:rsidRPr="000C465F" w:rsidRDefault="00E624DC" w:rsidP="008B7DD5">
      <w:pPr>
        <w:pStyle w:val="Heading3"/>
      </w:pPr>
      <w:r>
        <w:t xml:space="preserve">Footscray </w:t>
      </w:r>
      <w:r w:rsidR="00C96EE5">
        <w:t>train station i</w:t>
      </w:r>
      <w:r>
        <w:t>ncident – 15 May 2013</w:t>
      </w:r>
      <w:r w:rsidR="000C465F">
        <w:rPr>
          <w:rStyle w:val="FootnoteReference"/>
        </w:rPr>
        <w:footnoteReference w:id="37"/>
      </w:r>
    </w:p>
    <w:p w:rsidR="008B7DD5" w:rsidRPr="008B7DD5" w:rsidRDefault="008B7DD5" w:rsidP="008B7DD5">
      <w:pPr>
        <w:pStyle w:val="Para1"/>
        <w:numPr>
          <w:ilvl w:val="0"/>
          <w:numId w:val="0"/>
        </w:numPr>
        <w:rPr>
          <w:i/>
        </w:rPr>
      </w:pPr>
      <w:r>
        <w:rPr>
          <w:i/>
        </w:rPr>
        <w:t>Allegations</w:t>
      </w:r>
    </w:p>
    <w:p w:rsidR="00FB2D3D" w:rsidRDefault="00E624DC" w:rsidP="00E2587C">
      <w:pPr>
        <w:pStyle w:val="Para1"/>
      </w:pPr>
      <w:r>
        <w:t>Mr</w:t>
      </w:r>
      <w:r w:rsidR="000C465F">
        <w:t xml:space="preserve"> Djime says that he arrived at </w:t>
      </w:r>
      <w:r>
        <w:t xml:space="preserve">the Footscray train station on 15 May 2013 intending to board a train to go to </w:t>
      </w:r>
      <w:r w:rsidR="00832414">
        <w:t>the city</w:t>
      </w:r>
      <w:r>
        <w:t xml:space="preserve">.  </w:t>
      </w:r>
      <w:r w:rsidR="00FB2D3D">
        <w:t xml:space="preserve">Mr Djime did not </w:t>
      </w:r>
      <w:r w:rsidR="00FB2D3D">
        <w:rPr>
          <w:i/>
        </w:rPr>
        <w:t xml:space="preserve">‘touch on’ </w:t>
      </w:r>
      <w:r w:rsidR="00FB2D3D">
        <w:t xml:space="preserve">his </w:t>
      </w:r>
      <w:r w:rsidR="00E53B11">
        <w:t>myki</w:t>
      </w:r>
      <w:r w:rsidR="00FB2D3D">
        <w:t xml:space="preserve"> card when he entered the platform because he had done so previously on a tram.</w:t>
      </w:r>
    </w:p>
    <w:p w:rsidR="00FB2D3D" w:rsidRDefault="00FB2D3D" w:rsidP="00E2587C">
      <w:pPr>
        <w:pStyle w:val="Para1"/>
      </w:pPr>
      <w:r>
        <w:t>Mr Djime s</w:t>
      </w:r>
      <w:r w:rsidR="00E624DC">
        <w:t xml:space="preserve">ays that </w:t>
      </w:r>
      <w:r w:rsidR="008F0A53">
        <w:t xml:space="preserve">Senior </w:t>
      </w:r>
      <w:r w:rsidR="00E624DC">
        <w:t xml:space="preserve">Constables Wilson and van der Sluis were near the entry to the station.  He says that when he arrived one of them (apparently </w:t>
      </w:r>
      <w:r w:rsidR="00770216">
        <w:t>Senior</w:t>
      </w:r>
      <w:r w:rsidR="009823A9">
        <w:t xml:space="preserve"> </w:t>
      </w:r>
      <w:r>
        <w:t>Constable Wilson</w:t>
      </w:r>
      <w:r w:rsidR="00E624DC">
        <w:t>) flirted with him.</w:t>
      </w:r>
      <w:r>
        <w:t xml:space="preserve">  He says that he told them he wanted nothing to do with them.  </w:t>
      </w:r>
      <w:r w:rsidR="004F683D">
        <w:t>He s</w:t>
      </w:r>
      <w:r w:rsidR="00C96EE5">
        <w:t>a</w:t>
      </w:r>
      <w:r w:rsidR="004F683D">
        <w:t xml:space="preserve">ys that the two women followed him </w:t>
      </w:r>
      <w:r w:rsidR="004F683D">
        <w:rPr>
          <w:i/>
        </w:rPr>
        <w:t>‘like two (2) high school girls in quest of a date’</w:t>
      </w:r>
      <w:r w:rsidR="004F683D">
        <w:t>.</w:t>
      </w:r>
      <w:r w:rsidR="004F683D">
        <w:rPr>
          <w:rStyle w:val="FootnoteReference"/>
        </w:rPr>
        <w:footnoteReference w:id="38"/>
      </w:r>
      <w:r w:rsidR="004F683D">
        <w:t xml:space="preserve">  </w:t>
      </w:r>
      <w:r>
        <w:t xml:space="preserve">Mr Djime says that the </w:t>
      </w:r>
      <w:r w:rsidR="00CF2CA3">
        <w:t xml:space="preserve">Senior </w:t>
      </w:r>
      <w:r>
        <w:t xml:space="preserve">Constables came up to him from behind and said that he had not tapped his </w:t>
      </w:r>
      <w:r w:rsidR="00E53B11">
        <w:t>myki</w:t>
      </w:r>
      <w:r>
        <w:t xml:space="preserve"> and that he had committed an offence.  They asked for his identification and he gave them his passport.  He asked how they could tell he did not have a valid </w:t>
      </w:r>
      <w:r w:rsidR="00E53B11">
        <w:t>myki</w:t>
      </w:r>
      <w:r>
        <w:t xml:space="preserve"> because they had not checked.  </w:t>
      </w:r>
    </w:p>
    <w:p w:rsidR="00E624DC" w:rsidRDefault="00FB2D3D" w:rsidP="00E2587C">
      <w:pPr>
        <w:pStyle w:val="Para1"/>
      </w:pPr>
      <w:r>
        <w:t xml:space="preserve">Mr Djime said that </w:t>
      </w:r>
      <w:r w:rsidR="009823A9">
        <w:t xml:space="preserve">Senior </w:t>
      </w:r>
      <w:r>
        <w:t xml:space="preserve">Constable van der Sluis then put herself between him and the train to stop him boarding.  He walked away but heard </w:t>
      </w:r>
      <w:r w:rsidR="00CF2CA3">
        <w:t xml:space="preserve">Senior </w:t>
      </w:r>
      <w:r>
        <w:t xml:space="preserve">Constable Wilson say to </w:t>
      </w:r>
      <w:r w:rsidR="009823A9">
        <w:t>Senior Constable van der Sluis</w:t>
      </w:r>
      <w:r>
        <w:t xml:space="preserve"> </w:t>
      </w:r>
      <w:r>
        <w:rPr>
          <w:i/>
        </w:rPr>
        <w:t>‘I know you want his black – blac</w:t>
      </w:r>
      <w:r w:rsidR="00F660A5">
        <w:rPr>
          <w:i/>
        </w:rPr>
        <w:t>k cock.  Go grab his black cock</w:t>
      </w:r>
      <w:r>
        <w:rPr>
          <w:i/>
        </w:rPr>
        <w:t>’</w:t>
      </w:r>
      <w:r w:rsidR="00F660A5">
        <w:t>.</w:t>
      </w:r>
      <w:r w:rsidR="00F97BA5">
        <w:rPr>
          <w:rStyle w:val="FootnoteReference"/>
          <w:i/>
        </w:rPr>
        <w:footnoteReference w:id="39"/>
      </w:r>
      <w:r w:rsidR="00876CD8">
        <w:t xml:space="preserve"> Mr Djime told the officers that he did not want to hear any of their comments.  He said they were not professional.</w:t>
      </w:r>
    </w:p>
    <w:p w:rsidR="00090DDD" w:rsidRDefault="00090DDD" w:rsidP="00E2587C">
      <w:pPr>
        <w:pStyle w:val="Para1"/>
      </w:pPr>
      <w:r>
        <w:t xml:space="preserve">Mr Djime says that they had no right to come and ask personal, sensual and </w:t>
      </w:r>
      <w:r w:rsidR="00E53B11">
        <w:t>disguised</w:t>
      </w:r>
      <w:r>
        <w:t xml:space="preserve"> sexual remarks and questions under the excuse that he had not touched on.</w:t>
      </w:r>
      <w:r>
        <w:rPr>
          <w:rStyle w:val="FootnoteReference"/>
        </w:rPr>
        <w:footnoteReference w:id="40"/>
      </w:r>
    </w:p>
    <w:p w:rsidR="00876CD8" w:rsidRDefault="00876CD8" w:rsidP="00E2587C">
      <w:pPr>
        <w:pStyle w:val="Para1"/>
      </w:pPr>
      <w:r>
        <w:t>Mr Djime walked up the stairs and was followed by the officers.  Mr Djime tendered CCTV photos taken from the station in support.</w:t>
      </w:r>
      <w:r w:rsidR="008D5865">
        <w:rPr>
          <w:rStyle w:val="FootnoteReference"/>
        </w:rPr>
        <w:footnoteReference w:id="41"/>
      </w:r>
      <w:r>
        <w:t xml:space="preserve">  As I understand it, Mr Djime was walking away and out of the station.</w:t>
      </w:r>
      <w:r w:rsidR="00090DDD">
        <w:t xml:space="preserve">  Mr Djime says that </w:t>
      </w:r>
      <w:r w:rsidR="009823A9">
        <w:t>Senior Constable van der Sluis</w:t>
      </w:r>
      <w:r w:rsidR="00090DDD">
        <w:t xml:space="preserve"> touched him on the chest </w:t>
      </w:r>
      <w:r w:rsidR="00C96EE5">
        <w:t xml:space="preserve">on or under the station </w:t>
      </w:r>
      <w:r w:rsidR="00090DDD">
        <w:t>footbridge after making unsolicited sexual comments to him.  He denies the suggestion, contained in particulars of def</w:t>
      </w:r>
      <w:r w:rsidR="00C96EE5">
        <w:t>ence dated 22 October 2014</w:t>
      </w:r>
      <w:r w:rsidR="00090DDD">
        <w:t xml:space="preserve">, that </w:t>
      </w:r>
      <w:r w:rsidR="009823A9">
        <w:t>Senior Constable van der Sluis</w:t>
      </w:r>
      <w:r w:rsidR="00090DDD">
        <w:t xml:space="preserve"> put her hands on Mr Djime to stop him from going to catch another train on another platform.</w:t>
      </w:r>
    </w:p>
    <w:p w:rsidR="00876CD8" w:rsidRDefault="00876CD8" w:rsidP="00E2587C">
      <w:pPr>
        <w:pStyle w:val="Para1"/>
      </w:pPr>
      <w:r>
        <w:t>Mr Djime said that he told the officers that he wanted to take the bus</w:t>
      </w:r>
      <w:r w:rsidR="00C96EE5">
        <w:t xml:space="preserve"> to the city</w:t>
      </w:r>
      <w:r>
        <w:t>.  He says he was then put in a police van.</w:t>
      </w:r>
      <w:r w:rsidR="00F97BA5">
        <w:rPr>
          <w:rStyle w:val="FootnoteReference"/>
        </w:rPr>
        <w:footnoteReference w:id="42"/>
      </w:r>
      <w:r>
        <w:t xml:space="preserve">  As I understand it, the </w:t>
      </w:r>
      <w:r w:rsidR="00F97BA5">
        <w:t xml:space="preserve">Senior </w:t>
      </w:r>
      <w:r w:rsidR="00C96EE5">
        <w:t>Constables</w:t>
      </w:r>
      <w:r>
        <w:t xml:space="preserve"> had called for other police officers to attend, apparently on the basis that Mr Djime was acting in an aggressive manner.  Mr Djime denied being aggressive.</w:t>
      </w:r>
      <w:r w:rsidR="00F97BA5">
        <w:rPr>
          <w:rStyle w:val="FootnoteReference"/>
        </w:rPr>
        <w:footnoteReference w:id="43"/>
      </w:r>
      <w:r>
        <w:t xml:space="preserve">  Mr Djime says that he was assaulted, molested and had his dreadlocks pulled by a Sergeant Reynolds.  He says that at all times he remained peaceful.  He was put into the van and then driven to an industrial area where he was left.  He says that was </w:t>
      </w:r>
      <w:r w:rsidRPr="00C96EE5">
        <w:rPr>
          <w:i/>
        </w:rPr>
        <w:t>‘in the middle of nowhere’</w:t>
      </w:r>
      <w:r>
        <w:t xml:space="preserve"> between Footscray and </w:t>
      </w:r>
      <w:smartTag w:uri="urn:schemas-microsoft-com:office:smarttags" w:element="place">
        <w:r>
          <w:t>North Melbourne</w:t>
        </w:r>
      </w:smartTag>
      <w:r>
        <w:t xml:space="preserve"> stations.  He said he had to walk three miles to get to the city.</w:t>
      </w:r>
      <w:r w:rsidR="00F97BA5">
        <w:rPr>
          <w:rStyle w:val="FootnoteReference"/>
        </w:rPr>
        <w:footnoteReference w:id="44"/>
      </w:r>
    </w:p>
    <w:p w:rsidR="000C465F" w:rsidRDefault="000C465F" w:rsidP="00E2587C">
      <w:pPr>
        <w:pStyle w:val="Para1"/>
      </w:pPr>
      <w:r>
        <w:t>The allegations arising from these events</w:t>
      </w:r>
      <w:r w:rsidR="00301070">
        <w:t xml:space="preserve">, leaving aside allegations Mr Djime characterises as </w:t>
      </w:r>
      <w:r w:rsidR="00451CD6">
        <w:t xml:space="preserve">criminal assaults and </w:t>
      </w:r>
      <w:r w:rsidR="00301070">
        <w:t>intentional torts,</w:t>
      </w:r>
      <w:r>
        <w:t xml:space="preserve"> are as follows:</w:t>
      </w:r>
    </w:p>
    <w:p w:rsidR="000C465F" w:rsidRDefault="00B423D3" w:rsidP="000C465F">
      <w:pPr>
        <w:pStyle w:val="Para4"/>
      </w:pPr>
      <w:r>
        <w:t xml:space="preserve">A claim of sexual harassment arising from the alleged flirting and comments referred to in paragraphs </w:t>
      </w:r>
      <w:r w:rsidR="008972C3">
        <w:t xml:space="preserve">81 </w:t>
      </w:r>
      <w:r>
        <w:t xml:space="preserve">to </w:t>
      </w:r>
      <w:r w:rsidR="008972C3">
        <w:t>84</w:t>
      </w:r>
      <w:r>
        <w:t xml:space="preserve"> above and when </w:t>
      </w:r>
      <w:r w:rsidR="009823A9">
        <w:t>Senior Constable van der Sluis</w:t>
      </w:r>
      <w:r>
        <w:t xml:space="preserve"> stopped Mr Djime from boarding the train at Footscray station on 15 May 2013</w:t>
      </w:r>
      <w:r w:rsidR="004F683D">
        <w:t>;</w:t>
      </w:r>
    </w:p>
    <w:p w:rsidR="004F683D" w:rsidRDefault="00B423D3" w:rsidP="000C465F">
      <w:pPr>
        <w:pStyle w:val="Para4"/>
      </w:pPr>
      <w:r>
        <w:t>A claim of discrimination arising from the charges laid in respect of events at Footscray station on 15 May 2013</w:t>
      </w:r>
      <w:r w:rsidR="004F683D">
        <w:t>;</w:t>
      </w:r>
    </w:p>
    <w:p w:rsidR="004F683D" w:rsidRDefault="00B423D3" w:rsidP="000C465F">
      <w:pPr>
        <w:pStyle w:val="Para4"/>
      </w:pPr>
      <w:r>
        <w:t>A claim of discrimination arising from Mr Djime’s removal from Footscray station and him being placed in a police van allegedly as a means to cover up the sexual harassment and because he had rejected the police officers’ advances on 15 May 2013</w:t>
      </w:r>
      <w:r w:rsidR="00301070">
        <w:t>;</w:t>
      </w:r>
      <w:r w:rsidR="00451CD6">
        <w:t xml:space="preserve"> and </w:t>
      </w:r>
    </w:p>
    <w:p w:rsidR="00301070" w:rsidRDefault="00B423D3" w:rsidP="000C465F">
      <w:pPr>
        <w:pStyle w:val="Para4"/>
      </w:pPr>
      <w:r>
        <w:t>A claim of discrimination arising from Mr Djime allegedly being left by police in the middle of nowhere on 15 May 2013</w:t>
      </w:r>
      <w:r w:rsidR="00451CD6">
        <w:t>.</w:t>
      </w:r>
    </w:p>
    <w:p w:rsidR="00832414" w:rsidRPr="00832414" w:rsidRDefault="00832414" w:rsidP="00832414">
      <w:pPr>
        <w:pStyle w:val="Para1"/>
        <w:numPr>
          <w:ilvl w:val="0"/>
          <w:numId w:val="0"/>
        </w:numPr>
        <w:rPr>
          <w:i/>
        </w:rPr>
      </w:pPr>
      <w:r>
        <w:rPr>
          <w:i/>
        </w:rPr>
        <w:t>Service?</w:t>
      </w:r>
    </w:p>
    <w:p w:rsidR="00832414" w:rsidRDefault="00832414" w:rsidP="00832414">
      <w:pPr>
        <w:pStyle w:val="Para1"/>
      </w:pPr>
      <w:r>
        <w:t xml:space="preserve">In respect of the Footscray station events, on Mr Djime’s evidence the police officers spoke to him shortly after he arrived on the platform and had not touched on with his </w:t>
      </w:r>
      <w:r w:rsidR="00E53B11">
        <w:t>myki</w:t>
      </w:r>
      <w:r>
        <w:t xml:space="preserve"> card.  </w:t>
      </w:r>
    </w:p>
    <w:p w:rsidR="00832414" w:rsidRDefault="00832414" w:rsidP="00832414">
      <w:pPr>
        <w:pStyle w:val="Para1"/>
      </w:pPr>
      <w:r>
        <w:t xml:space="preserve">Mr Djime gave evidence that, when he arrived at the station, the police officers were flirting with him as he passed and that he said nothing.  He walked past the myki device without touching on.  He then said that the police officers came from behind him to talk to him and </w:t>
      </w:r>
      <w:r>
        <w:rPr>
          <w:i/>
        </w:rPr>
        <w:t>‘there was flirting’</w:t>
      </w:r>
      <w:r>
        <w:t>.  He said:</w:t>
      </w:r>
    </w:p>
    <w:p w:rsidR="00832414" w:rsidRDefault="00832414" w:rsidP="00832414">
      <w:pPr>
        <w:pStyle w:val="Quote1"/>
      </w:pPr>
      <w:r>
        <w:t>They say, ‘You didn’t tap the myki.  You are – you have committed an offence by not touching your myki’.</w:t>
      </w:r>
      <w:r>
        <w:rPr>
          <w:rStyle w:val="FootnoteReference"/>
        </w:rPr>
        <w:footnoteReference w:id="45"/>
      </w:r>
      <w:r>
        <w:t xml:space="preserve"> </w:t>
      </w:r>
    </w:p>
    <w:p w:rsidR="00832414" w:rsidRDefault="00832414" w:rsidP="00832414">
      <w:pPr>
        <w:pStyle w:val="Para1"/>
      </w:pPr>
      <w:r>
        <w:t xml:space="preserve">They then asked for his identification and he produced his passport.  Mr Djime </w:t>
      </w:r>
      <w:r w:rsidR="00C96EE5">
        <w:t xml:space="preserve">gave evidence </w:t>
      </w:r>
      <w:r>
        <w:t xml:space="preserve">apparently referring to one of Senior Constable Wilson or </w:t>
      </w:r>
      <w:r w:rsidR="009823A9">
        <w:t>Senior Constable van der Sluis</w:t>
      </w:r>
      <w:r>
        <w:t xml:space="preserve"> who was questioning him about whether he had committed an offence:</w:t>
      </w:r>
    </w:p>
    <w:p w:rsidR="00832414" w:rsidRDefault="00832414" w:rsidP="00832414">
      <w:pPr>
        <w:pStyle w:val="Quote1"/>
      </w:pPr>
      <w:r>
        <w:t xml:space="preserve">And once he said that the blonde girl, [Senior Constable Wilson], she was the smiley one, very smiley one.  She come, she ask me about my hair and physical things, if I put product in my hair, </w:t>
      </w:r>
      <w:r w:rsidR="00C96EE5">
        <w:t>t</w:t>
      </w:r>
      <w:r>
        <w:t>his kind of occasion and my physical appearance, if I go to the gym</w:t>
      </w:r>
      <w:r w:rsidR="00F97BA5">
        <w:t xml:space="preserve"> . . . </w:t>
      </w:r>
      <w:r>
        <w:t>she started with that, I tell her – tell her mind your own business, ‘I’m not here to talk – I don’t want to talk about it with you’.</w:t>
      </w:r>
      <w:r>
        <w:rPr>
          <w:rStyle w:val="FootnoteReference"/>
        </w:rPr>
        <w:footnoteReference w:id="46"/>
      </w:r>
    </w:p>
    <w:p w:rsidR="00832414" w:rsidRDefault="00832414" w:rsidP="00832414">
      <w:pPr>
        <w:pStyle w:val="Para1"/>
      </w:pPr>
      <w:r>
        <w:t xml:space="preserve">Mr Djime then went on to give evidence that </w:t>
      </w:r>
      <w:r w:rsidR="00240E56">
        <w:t xml:space="preserve">Senior </w:t>
      </w:r>
      <w:r>
        <w:t xml:space="preserve">Constable Wilson got upset and then they asked for his address and other details commenting that he had not followed the law.  He then gave evidence that, when the train arrived at the platform, </w:t>
      </w:r>
      <w:r w:rsidR="00240E56">
        <w:t xml:space="preserve">Senior </w:t>
      </w:r>
      <w:r>
        <w:t>Constable Wilson put herself between him and the train.</w:t>
      </w:r>
      <w:r>
        <w:rPr>
          <w:rStyle w:val="FootnoteReference"/>
        </w:rPr>
        <w:footnoteReference w:id="47"/>
      </w:r>
      <w:r>
        <w:t xml:space="preserve">  He then explained that he did not touch </w:t>
      </w:r>
      <w:r w:rsidR="00240E56">
        <w:t xml:space="preserve">Senior </w:t>
      </w:r>
      <w:r>
        <w:t xml:space="preserve">Constable Wilson and walked away.  There was then a discussion about his genitals and other comments as described above in paragraph </w:t>
      </w:r>
      <w:r w:rsidR="008972C3">
        <w:t>82</w:t>
      </w:r>
      <w:r>
        <w:t>.  Mr Djime then tried to go upstairs and was followed by the officers.  He was asked to leave the station, he referred to wanting to take the bus and he was then told he was under arrest and taken to the police van.</w:t>
      </w:r>
      <w:r>
        <w:rPr>
          <w:rStyle w:val="FootnoteReference"/>
        </w:rPr>
        <w:footnoteReference w:id="48"/>
      </w:r>
    </w:p>
    <w:p w:rsidR="00832414" w:rsidRDefault="00832414" w:rsidP="00832414">
      <w:pPr>
        <w:pStyle w:val="Para1"/>
      </w:pPr>
      <w:r>
        <w:t>In his particulars of claim, Mr Djime suggests that the two female police officers were used to try to exploit and manipulate him to try to make him appear to be violent.</w:t>
      </w:r>
      <w:r>
        <w:rPr>
          <w:rStyle w:val="FootnoteReference"/>
        </w:rPr>
        <w:footnoteReference w:id="49"/>
      </w:r>
      <w:r>
        <w:t xml:space="preserve">  The particulars say that the police officers had no reason to try to stop him boarding the train given that he had validated his myki on a tram only 10 minutes before.  He refers to them using the issuing of the charge in respect of the myki to be an initial excuse to approach him and start making sexual comments to him and to assault him.</w:t>
      </w:r>
      <w:r>
        <w:rPr>
          <w:rStyle w:val="FootnoteReference"/>
        </w:rPr>
        <w:footnoteReference w:id="50"/>
      </w:r>
      <w:r>
        <w:t xml:space="preserve"> </w:t>
      </w:r>
    </w:p>
    <w:p w:rsidR="00832414" w:rsidRDefault="00832414" w:rsidP="00832414">
      <w:pPr>
        <w:pStyle w:val="Para1"/>
      </w:pPr>
      <w:r>
        <w:t xml:space="preserve">On this evidence, I am satisfied </w:t>
      </w:r>
      <w:r w:rsidR="00240E56">
        <w:t xml:space="preserve">on the balance of probabilities </w:t>
      </w:r>
      <w:r>
        <w:t>that the interactions between Mr Djime and the police officers commenced when he entered the platform area without touching on.  I</w:t>
      </w:r>
      <w:r w:rsidR="00F97BA5">
        <w:t xml:space="preserve"> am satisfied </w:t>
      </w:r>
      <w:r>
        <w:t>from Mr Djime’s evidence that the failure to touch on was raised with him immediately.  That is not the police officers engaging in a beneficial or useful activity in respect of Mr Djime – they observed he had not touched on and approached him as part of their law enforcement duties.  That is not a service under the meaning of the word in the EO Act</w:t>
      </w:r>
      <w:r w:rsidR="004C6771">
        <w:t xml:space="preserve"> but is more </w:t>
      </w:r>
      <w:r w:rsidR="00F97BA5">
        <w:t>like the</w:t>
      </w:r>
      <w:r w:rsidR="004C6771">
        <w:t xml:space="preserve"> investigation of a possible offence</w:t>
      </w:r>
      <w:r>
        <w:t>.</w:t>
      </w:r>
      <w:r w:rsidR="00240E56">
        <w:t xml:space="preserve"> </w:t>
      </w:r>
    </w:p>
    <w:p w:rsidR="00832414" w:rsidRDefault="00832414" w:rsidP="00832414">
      <w:pPr>
        <w:pStyle w:val="Para1"/>
      </w:pPr>
      <w:r>
        <w:t xml:space="preserve">The evidence given by Mr Djime and the photos he tendered show other police attended and he was removed from the station.  </w:t>
      </w:r>
      <w:r w:rsidR="004C6771">
        <w:t xml:space="preserve">His removal from the station by police </w:t>
      </w:r>
      <w:r>
        <w:t>is not conduct amounting to the provision of a service.</w:t>
      </w:r>
    </w:p>
    <w:p w:rsidR="00832414" w:rsidRDefault="00832414" w:rsidP="00832414">
      <w:pPr>
        <w:pStyle w:val="Para1"/>
      </w:pPr>
      <w:r>
        <w:t xml:space="preserve">I am satisfied that the events from when Mr Djime entered the platform to when he was placed in the police van for transport do not amount to the provision of services </w:t>
      </w:r>
      <w:r w:rsidR="00F97BA5">
        <w:t xml:space="preserve">under the EO Act </w:t>
      </w:r>
      <w:r>
        <w:t xml:space="preserve">and can be separately identified in a manner which is not hypothetical or unfair to Mr Djime.  </w:t>
      </w:r>
    </w:p>
    <w:p w:rsidR="00F8170B" w:rsidRDefault="00F8170B" w:rsidP="00832414">
      <w:pPr>
        <w:pStyle w:val="Para1"/>
      </w:pPr>
      <w:r>
        <w:t xml:space="preserve">At the hearing, Mr Djime suggested that his Charter right to freedom of movement was breached when he was stopped from boarding the train.  I have not considered that allegation because, if the discrimination claim cannot proceed, the Charter claim arising from the same circumstances also cannot proceed. </w:t>
      </w:r>
    </w:p>
    <w:p w:rsidR="00F433E1" w:rsidRPr="00F433E1" w:rsidRDefault="00F433E1" w:rsidP="00F433E1">
      <w:pPr>
        <w:pStyle w:val="Para1"/>
        <w:numPr>
          <w:ilvl w:val="0"/>
          <w:numId w:val="0"/>
        </w:numPr>
        <w:rPr>
          <w:i/>
        </w:rPr>
      </w:pPr>
      <w:r>
        <w:rPr>
          <w:i/>
        </w:rPr>
        <w:t>Decision</w:t>
      </w:r>
    </w:p>
    <w:p w:rsidR="00832414" w:rsidRDefault="00832414" w:rsidP="00832414">
      <w:pPr>
        <w:pStyle w:val="Para1"/>
      </w:pPr>
      <w:r>
        <w:t xml:space="preserve">The claims described by me in items </w:t>
      </w:r>
      <w:r w:rsidR="004C6771">
        <w:t xml:space="preserve">a, b and c </w:t>
      </w:r>
      <w:r>
        <w:t>will be dismissed under section 75</w:t>
      </w:r>
      <w:r w:rsidR="00F97BA5">
        <w:t>(1)</w:t>
      </w:r>
      <w:r>
        <w:t xml:space="preserve">(a) of the VCAT Act as they </w:t>
      </w:r>
      <w:r w:rsidR="004C6771">
        <w:t xml:space="preserve">are </w:t>
      </w:r>
      <w:r>
        <w:t xml:space="preserve">misconceived because the </w:t>
      </w:r>
      <w:r w:rsidR="00844590">
        <w:t>t</w:t>
      </w:r>
      <w:r>
        <w:t>ribunal has no power to consider them under the EO Act.</w:t>
      </w:r>
      <w:r w:rsidR="00F97BA5">
        <w:t xml:space="preserve">  Item b has some overlap with item e which is discussed below.</w:t>
      </w:r>
    </w:p>
    <w:p w:rsidR="00240E56" w:rsidRDefault="00240E56" w:rsidP="00832414">
      <w:pPr>
        <w:pStyle w:val="Para1"/>
      </w:pPr>
      <w:r>
        <w:t>Taking into account the concession by the respondents, item d will proceed to a further hearing.</w:t>
      </w:r>
    </w:p>
    <w:p w:rsidR="000C465F" w:rsidRPr="003C592E" w:rsidRDefault="000C465F" w:rsidP="004C6771">
      <w:pPr>
        <w:pStyle w:val="Heading3"/>
      </w:pPr>
      <w:r>
        <w:t xml:space="preserve">Footscray </w:t>
      </w:r>
      <w:r w:rsidR="00C96EE5">
        <w:t>t</w:t>
      </w:r>
      <w:r>
        <w:t xml:space="preserve">rain </w:t>
      </w:r>
      <w:r w:rsidR="00C96EE5">
        <w:t>s</w:t>
      </w:r>
      <w:r>
        <w:t xml:space="preserve">tation </w:t>
      </w:r>
      <w:r w:rsidR="00C96EE5">
        <w:t>i</w:t>
      </w:r>
      <w:r>
        <w:t>ncident – charges and prosecution</w:t>
      </w:r>
      <w:r w:rsidR="003C592E">
        <w:rPr>
          <w:rStyle w:val="FootnoteReference"/>
        </w:rPr>
        <w:footnoteReference w:id="51"/>
      </w:r>
    </w:p>
    <w:p w:rsidR="00F433E1" w:rsidRPr="00F433E1" w:rsidRDefault="00F433E1" w:rsidP="00F433E1">
      <w:pPr>
        <w:pStyle w:val="Para1"/>
        <w:numPr>
          <w:ilvl w:val="0"/>
          <w:numId w:val="0"/>
        </w:numPr>
        <w:rPr>
          <w:i/>
        </w:rPr>
      </w:pPr>
      <w:r>
        <w:rPr>
          <w:i/>
        </w:rPr>
        <w:t>Allegations</w:t>
      </w:r>
    </w:p>
    <w:p w:rsidR="002E1DE7" w:rsidRDefault="00301070" w:rsidP="00E2587C">
      <w:pPr>
        <w:pStyle w:val="Para1"/>
      </w:pPr>
      <w:r>
        <w:t>Mr Djime was issued with two infringement notices arising out of the incident at Footscray – one for failure to produce a ticket and one for using indecent language.</w:t>
      </w:r>
      <w:r>
        <w:rPr>
          <w:rStyle w:val="FootnoteReference"/>
        </w:rPr>
        <w:footnoteReference w:id="52"/>
      </w:r>
      <w:r>
        <w:t xml:space="preserve">  </w:t>
      </w:r>
      <w:r w:rsidR="002E1DE7">
        <w:t>On 1 August 2013, Victoria Police wrote to Mr Djime about the latter infringement notice.  The letter says that, as he had asked for the matter to be heard, it would proceed to</w:t>
      </w:r>
      <w:r w:rsidR="00313FBB">
        <w:t xml:space="preserve"> a hearing in the Magistrates’ </w:t>
      </w:r>
      <w:r w:rsidR="00F97BA5">
        <w:t>C</w:t>
      </w:r>
      <w:r w:rsidR="002E1DE7">
        <w:t>ourt and that he would be issued with a summons in due course.</w:t>
      </w:r>
      <w:r w:rsidR="002E1DE7">
        <w:rPr>
          <w:rStyle w:val="FootnoteReference"/>
        </w:rPr>
        <w:footnoteReference w:id="53"/>
      </w:r>
      <w:r w:rsidR="002E1DE7">
        <w:t xml:space="preserve">  A brief was prepared by </w:t>
      </w:r>
      <w:r w:rsidR="00F97BA5">
        <w:t xml:space="preserve">Senior </w:t>
      </w:r>
      <w:r w:rsidR="002E1DE7">
        <w:t>Constable Wilson.  On 20 September 2013, Mr Djime was served with a charge sheet and summons in relation to the indecent language notice.  At a later stage, the charge became one of using indecent language and using threatening language.</w:t>
      </w:r>
      <w:r w:rsidR="00B46412">
        <w:t xml:space="preserve">  It was not clear to me when that charge was added.</w:t>
      </w:r>
    </w:p>
    <w:p w:rsidR="000C465F" w:rsidRDefault="002E1DE7" w:rsidP="00E2587C">
      <w:pPr>
        <w:pStyle w:val="Para1"/>
      </w:pPr>
      <w:r>
        <w:t>On 14 January 2014, a hearing proceeded and Mr Djime was offered diversion in relation to the indecent language charge and the using threatening language charge was withdrawn.</w:t>
      </w:r>
      <w:r w:rsidR="00F171AB">
        <w:rPr>
          <w:rStyle w:val="FootnoteReference"/>
        </w:rPr>
        <w:footnoteReference w:id="54"/>
      </w:r>
      <w:r>
        <w:t xml:space="preserve">  </w:t>
      </w:r>
      <w:r w:rsidR="00F171AB">
        <w:t xml:space="preserve">Mr Djime rejected the diversion option because he learned that it was for the purposes of </w:t>
      </w:r>
      <w:r w:rsidR="00F171AB">
        <w:rPr>
          <w:i/>
        </w:rPr>
        <w:t>‘Defamation of character and Incrimination</w:t>
      </w:r>
      <w:r w:rsidR="00F97BA5">
        <w:rPr>
          <w:i/>
        </w:rPr>
        <w:t xml:space="preserve"> (sic)</w:t>
      </w:r>
      <w:r w:rsidR="00F171AB">
        <w:rPr>
          <w:i/>
        </w:rPr>
        <w:t>’</w:t>
      </w:r>
      <w:r w:rsidR="00F171AB">
        <w:t>.</w:t>
      </w:r>
      <w:r w:rsidR="00F171AB">
        <w:rPr>
          <w:rStyle w:val="FootnoteReference"/>
        </w:rPr>
        <w:footnoteReference w:id="55"/>
      </w:r>
    </w:p>
    <w:p w:rsidR="009D0E74" w:rsidRDefault="009D0E74" w:rsidP="00E2587C">
      <w:pPr>
        <w:pStyle w:val="Para1"/>
      </w:pPr>
      <w:r>
        <w:t xml:space="preserve">Court documents show that, on </w:t>
      </w:r>
      <w:r w:rsidR="00DB386A">
        <w:t xml:space="preserve">7 </w:t>
      </w:r>
      <w:r>
        <w:t xml:space="preserve">August 2014, the charge of using indecent language on rail premises was </w:t>
      </w:r>
      <w:r w:rsidR="00C96EE5" w:rsidRPr="00C96EE5">
        <w:rPr>
          <w:i/>
        </w:rPr>
        <w:t>‘</w:t>
      </w:r>
      <w:r w:rsidRPr="00C96EE5">
        <w:rPr>
          <w:i/>
        </w:rPr>
        <w:t>struck out/withdrawn</w:t>
      </w:r>
      <w:r w:rsidR="00C96EE5" w:rsidRPr="00C96EE5">
        <w:rPr>
          <w:i/>
        </w:rPr>
        <w:t>’</w:t>
      </w:r>
      <w:r>
        <w:t xml:space="preserve"> and no plea was entered.</w:t>
      </w:r>
      <w:r>
        <w:rPr>
          <w:rStyle w:val="FootnoteReference"/>
        </w:rPr>
        <w:footnoteReference w:id="56"/>
      </w:r>
      <w:r>
        <w:t xml:space="preserve">  On the same day the charge of using threatening language was heard.  Mr Djime pled not guilty.  </w:t>
      </w:r>
      <w:r w:rsidR="00DB386A">
        <w:t>No conviction was recorded and t</w:t>
      </w:r>
      <w:r>
        <w:t xml:space="preserve">he order shows that the matter was adjourned </w:t>
      </w:r>
      <w:r w:rsidR="00DB386A">
        <w:t xml:space="preserve">for 12 months </w:t>
      </w:r>
      <w:r>
        <w:t>to 7 August 2015, Mr Djime having given certain undertakings.  He was ordered to make a donation of $200 to a named charity.</w:t>
      </w:r>
      <w:r>
        <w:rPr>
          <w:rStyle w:val="FootnoteReference"/>
        </w:rPr>
        <w:footnoteReference w:id="57"/>
      </w:r>
    </w:p>
    <w:p w:rsidR="008D5865" w:rsidRDefault="008D5865" w:rsidP="00E2587C">
      <w:pPr>
        <w:pStyle w:val="Para1"/>
      </w:pPr>
      <w:r>
        <w:t xml:space="preserve">As I understand it, Mr Djime appealed the orders made to the County Court and that matter was heard on 15 September 2014.  I was informed that the facts relevant to the charge </w:t>
      </w:r>
      <w:r w:rsidR="00DB386A">
        <w:t xml:space="preserve">of use of threatening language </w:t>
      </w:r>
      <w:r>
        <w:t xml:space="preserve">were found </w:t>
      </w:r>
      <w:r w:rsidR="00DB386A">
        <w:t xml:space="preserve">to be </w:t>
      </w:r>
      <w:r>
        <w:t xml:space="preserve">proven but the charge was dismissed.  </w:t>
      </w:r>
    </w:p>
    <w:p w:rsidR="000C465F" w:rsidRDefault="000C465F" w:rsidP="00E2587C">
      <w:pPr>
        <w:pStyle w:val="Para1"/>
      </w:pPr>
      <w:r>
        <w:t>Mr Djime says that the</w:t>
      </w:r>
      <w:r w:rsidR="002E1DE7">
        <w:t xml:space="preserve"> infringement notices are fake and that the </w:t>
      </w:r>
      <w:r>
        <w:t xml:space="preserve">charges were fabricated.  </w:t>
      </w:r>
      <w:r w:rsidR="002E1DE7">
        <w:t xml:space="preserve">He says that </w:t>
      </w:r>
      <w:r w:rsidR="00F171AB">
        <w:t xml:space="preserve">the whole process for dealing with these </w:t>
      </w:r>
      <w:r w:rsidR="00F97BA5">
        <w:t xml:space="preserve">infringement </w:t>
      </w:r>
      <w:r w:rsidR="00F171AB">
        <w:t>notices was a smear campaign by Victoria Police to try to discredit him.</w:t>
      </w:r>
      <w:r w:rsidR="00F171AB">
        <w:rPr>
          <w:rStyle w:val="FootnoteReference"/>
        </w:rPr>
        <w:footnoteReference w:id="58"/>
      </w:r>
      <w:r w:rsidR="00F171AB">
        <w:t xml:space="preserve">  He says that the diversion plan was designed to make him say sorry to the police officers who had sexually harassed him and to humiliate and disrespect him and his race.</w:t>
      </w:r>
      <w:r w:rsidR="00F171AB">
        <w:rPr>
          <w:rStyle w:val="FootnoteReference"/>
        </w:rPr>
        <w:footnoteReference w:id="59"/>
      </w:r>
    </w:p>
    <w:p w:rsidR="00F171AB" w:rsidRDefault="00F171AB" w:rsidP="00E2587C">
      <w:pPr>
        <w:pStyle w:val="Para1"/>
      </w:pPr>
      <w:r>
        <w:t>Mr Djime draws connections between the timing of the charges and other events whi</w:t>
      </w:r>
      <w:r w:rsidR="009D0E74">
        <w:t xml:space="preserve">ch will be discussed later.  I understand that he says that a number of these </w:t>
      </w:r>
      <w:r w:rsidR="00C96EE5">
        <w:t xml:space="preserve">other </w:t>
      </w:r>
      <w:r w:rsidR="009D0E74">
        <w:t xml:space="preserve">events occurred as a sort of revenge for his rejection of the </w:t>
      </w:r>
      <w:r w:rsidR="00F97BA5">
        <w:t xml:space="preserve">police </w:t>
      </w:r>
      <w:r w:rsidR="009D0E74">
        <w:t>officers advances at the Footscray train station</w:t>
      </w:r>
      <w:r w:rsidR="00451CD6">
        <w:t xml:space="preserve"> and also because</w:t>
      </w:r>
      <w:r w:rsidR="00480E6F">
        <w:t>, around the same time as the charges were served on him,</w:t>
      </w:r>
      <w:r w:rsidR="00451CD6">
        <w:t xml:space="preserve"> he made a complaint about events which occurred in respect of </w:t>
      </w:r>
      <w:r w:rsidR="00C96EE5">
        <w:t>a</w:t>
      </w:r>
      <w:r w:rsidR="00451CD6">
        <w:t xml:space="preserve"> lease dispute </w:t>
      </w:r>
      <w:r w:rsidR="00C96EE5">
        <w:t xml:space="preserve">which is </w:t>
      </w:r>
      <w:r w:rsidR="00451CD6">
        <w:t>discussed below</w:t>
      </w:r>
      <w:r w:rsidR="009D0E74">
        <w:t xml:space="preserve">. </w:t>
      </w:r>
    </w:p>
    <w:p w:rsidR="008D5865" w:rsidRDefault="008D5865" w:rsidP="00E2587C">
      <w:pPr>
        <w:pStyle w:val="Para1"/>
      </w:pPr>
      <w:r>
        <w:t xml:space="preserve">Mr Djime </w:t>
      </w:r>
      <w:r w:rsidR="00B423D3">
        <w:t>makes</w:t>
      </w:r>
      <w:r>
        <w:t>:</w:t>
      </w:r>
    </w:p>
    <w:p w:rsidR="00451CD6" w:rsidRDefault="00B423D3" w:rsidP="008D5865">
      <w:pPr>
        <w:pStyle w:val="Para4"/>
      </w:pPr>
      <w:r>
        <w:t>A claim of discrimination arising from the issuing of the two infringement notices, the laying of the charges and their prosecution in the context of the Footscray station incident</w:t>
      </w:r>
      <w:r w:rsidR="00451CD6">
        <w:t>; and</w:t>
      </w:r>
    </w:p>
    <w:p w:rsidR="008D5865" w:rsidRDefault="00B423D3" w:rsidP="008D5865">
      <w:pPr>
        <w:pStyle w:val="Para4"/>
      </w:pPr>
      <w:r>
        <w:t>A claim of victimisation arising from the laying of the charges and their prosecution in the context of the Footscray station incident</w:t>
      </w:r>
      <w:r w:rsidR="00451CD6">
        <w:t>.</w:t>
      </w:r>
      <w:r w:rsidR="008D5865">
        <w:t xml:space="preserve"> </w:t>
      </w:r>
    </w:p>
    <w:p w:rsidR="004C6771" w:rsidRDefault="004C6771" w:rsidP="004C6771">
      <w:pPr>
        <w:pStyle w:val="Para4"/>
        <w:numPr>
          <w:ilvl w:val="0"/>
          <w:numId w:val="0"/>
        </w:numPr>
        <w:rPr>
          <w:i/>
        </w:rPr>
      </w:pPr>
      <w:r>
        <w:rPr>
          <w:i/>
        </w:rPr>
        <w:t>Service?</w:t>
      </w:r>
    </w:p>
    <w:p w:rsidR="004C6771" w:rsidRDefault="004C6771" w:rsidP="004C6771">
      <w:pPr>
        <w:pStyle w:val="Para1"/>
      </w:pPr>
      <w:r>
        <w:t>As discussed earlier, the laying of charges is not a service within the meaning of the EO Act.  While the issuing of infringement notices is not identical to the laying of criminal charges, it is sufficiently similar to be treated in the same way</w:t>
      </w:r>
      <w:r w:rsidR="00C96EE5">
        <w:t xml:space="preserve"> because both concern the enforcement of the law</w:t>
      </w:r>
      <w:r>
        <w:t>.  There is nothing beneficial for Mr Djime in those notices being issued and he certainly did not seek them.</w:t>
      </w:r>
    </w:p>
    <w:p w:rsidR="004C6771" w:rsidRDefault="004C6771" w:rsidP="004C6771">
      <w:pPr>
        <w:pStyle w:val="Para1"/>
      </w:pPr>
      <w:r>
        <w:t xml:space="preserve">As I understand the chain of events as described by the documents tendered by Mr Djime, once he elected to contest the infringement notices, the procedural steps required the laying of charges and they then had to be dealt with by the court.  </w:t>
      </w:r>
    </w:p>
    <w:p w:rsidR="004C6771" w:rsidRDefault="004C6771" w:rsidP="004C6771">
      <w:pPr>
        <w:pStyle w:val="Para1"/>
      </w:pPr>
      <w:r>
        <w:t xml:space="preserve">The respondents emphasise the fact that Mr Djime’s own action led to the prosecution and so it cannot be said that police </w:t>
      </w:r>
      <w:r w:rsidR="00F97BA5">
        <w:t xml:space="preserve">or either Senior Constable Wilson or Senior Constable van der Sluis </w:t>
      </w:r>
      <w:r>
        <w:t xml:space="preserve">decided to proceed down that path because of his race or physical features.  </w:t>
      </w:r>
    </w:p>
    <w:p w:rsidR="004C6771" w:rsidRDefault="004C6771" w:rsidP="004C6771">
      <w:pPr>
        <w:pStyle w:val="Para1"/>
      </w:pPr>
      <w:r>
        <w:t>While I accept that is correct, it is not necessary to focus on Mr Djime’s decision</w:t>
      </w:r>
      <w:r w:rsidR="00F97BA5">
        <w:t>,</w:t>
      </w:r>
      <w:r>
        <w:t xml:space="preserve"> other than to note that, having been i</w:t>
      </w:r>
      <w:r w:rsidR="00F97BA5">
        <w:t xml:space="preserve">ssued with infringement notices, </w:t>
      </w:r>
      <w:r>
        <w:t>he elected to challenge</w:t>
      </w:r>
      <w:r w:rsidR="00F97BA5">
        <w:t xml:space="preserve"> them, as was his right and </w:t>
      </w:r>
      <w:r>
        <w:t>a prosecution is the natural consequence</w:t>
      </w:r>
      <w:r w:rsidR="00110DC6">
        <w:t xml:space="preserve"> of that election</w:t>
      </w:r>
      <w:r>
        <w:t xml:space="preserve">.  The steps taken to lay the charges and have the matter dealt with by the Magistrates’ Court cannot amount to services under the EO Act. </w:t>
      </w:r>
    </w:p>
    <w:p w:rsidR="00F433E1" w:rsidRPr="00F433E1" w:rsidRDefault="00F433E1" w:rsidP="00F433E1">
      <w:pPr>
        <w:pStyle w:val="Para1"/>
        <w:numPr>
          <w:ilvl w:val="0"/>
          <w:numId w:val="0"/>
        </w:numPr>
        <w:rPr>
          <w:i/>
        </w:rPr>
      </w:pPr>
      <w:r>
        <w:rPr>
          <w:i/>
        </w:rPr>
        <w:t>Decision</w:t>
      </w:r>
    </w:p>
    <w:p w:rsidR="0020201E" w:rsidRDefault="00F433E1" w:rsidP="004C6771">
      <w:pPr>
        <w:pStyle w:val="Para1"/>
      </w:pPr>
      <w:r>
        <w:t>The claim described by me in item e will be dismissed under section 75</w:t>
      </w:r>
      <w:r w:rsidR="00110DC6">
        <w:t>(1)</w:t>
      </w:r>
      <w:r>
        <w:t xml:space="preserve">(a) of the VCAT Act as </w:t>
      </w:r>
      <w:r w:rsidR="00844590">
        <w:t>it is misconceived because the t</w:t>
      </w:r>
      <w:r>
        <w:t xml:space="preserve">ribunal has no power to consider it under the EO Act.  </w:t>
      </w:r>
    </w:p>
    <w:p w:rsidR="00F433E1" w:rsidRPr="004C6771" w:rsidRDefault="00F433E1" w:rsidP="004C6771">
      <w:pPr>
        <w:pStyle w:val="Para1"/>
      </w:pPr>
      <w:r>
        <w:t>I will deal with the claim described in item f shortly.</w:t>
      </w:r>
    </w:p>
    <w:p w:rsidR="00451CD6" w:rsidRPr="003C592E" w:rsidRDefault="00451CD6" w:rsidP="00F433E1">
      <w:pPr>
        <w:pStyle w:val="Heading3"/>
      </w:pPr>
      <w:r>
        <w:t>The lease dispute – 18 September 2013</w:t>
      </w:r>
      <w:r w:rsidR="003C592E" w:rsidRPr="00C96EE5">
        <w:rPr>
          <w:rStyle w:val="FootnoteReference"/>
        </w:rPr>
        <w:footnoteReference w:id="60"/>
      </w:r>
    </w:p>
    <w:p w:rsidR="00451CD6" w:rsidRDefault="00DD509E" w:rsidP="00DD509E">
      <w:pPr>
        <w:pStyle w:val="Para1"/>
      </w:pPr>
      <w:r>
        <w:t>On 17 September 2013, Mr Djime signed a residential tenancy agreement in respect of premises in Sunshine with Mr Anthony Besanko and paid an amount of $1,200</w:t>
      </w:r>
      <w:r w:rsidR="005D59FA">
        <w:t xml:space="preserve"> for which he was given a receipt</w:t>
      </w:r>
      <w:r>
        <w:t>.</w:t>
      </w:r>
      <w:r>
        <w:rPr>
          <w:rStyle w:val="FootnoteReference"/>
        </w:rPr>
        <w:footnoteReference w:id="61"/>
      </w:r>
      <w:r>
        <w:t xml:space="preserve">  He moved his belongings in and then went out to do some shopping.  When he returned that evening, he found his key did not work and he could not open the door.  </w:t>
      </w:r>
      <w:r w:rsidR="00E53B11">
        <w:t>Mr Dj</w:t>
      </w:r>
      <w:r w:rsidR="00F660A5">
        <w:t>ime spent the night at a friend’</w:t>
      </w:r>
      <w:r w:rsidR="00E53B11">
        <w:t>s house.</w:t>
      </w:r>
    </w:p>
    <w:p w:rsidR="00DD509E" w:rsidRDefault="00DD509E" w:rsidP="00DD509E">
      <w:pPr>
        <w:pStyle w:val="Para1"/>
      </w:pPr>
      <w:r>
        <w:t>On 18 September 2013, Mr Djim</w:t>
      </w:r>
      <w:r w:rsidR="005D59FA">
        <w:t xml:space="preserve">e, accompanied by Mr Ibrahim </w:t>
      </w:r>
      <w:r w:rsidR="00E53B11">
        <w:t>Dienkha</w:t>
      </w:r>
      <w:r>
        <w:t xml:space="preserve">, </w:t>
      </w:r>
      <w:r w:rsidR="00C96EE5">
        <w:t xml:space="preserve">went to </w:t>
      </w:r>
      <w:r>
        <w:t>the Sunshine premises and tried to enter again.  As he could not use his key to get in, he called a locksmith to attend.  In the meantime</w:t>
      </w:r>
      <w:r w:rsidR="00006E61">
        <w:t>,</w:t>
      </w:r>
      <w:r>
        <w:t xml:space="preserve"> Mr Gilberto </w:t>
      </w:r>
      <w:r w:rsidR="00E53B11">
        <w:t>Besanko</w:t>
      </w:r>
      <w:r>
        <w:t xml:space="preserve"> (Mr A Besanko’s younger brother) arrived and started making racist remarks to Mr Djime including saying he should go back to Africa and that he was not wanted in </w:t>
      </w:r>
      <w:smartTag w:uri="urn:schemas-microsoft-com:office:smarttags" w:element="country-region">
        <w:smartTag w:uri="urn:schemas-microsoft-com:office:smarttags" w:element="place">
          <w:r>
            <w:t>Australia</w:t>
          </w:r>
        </w:smartTag>
      </w:smartTag>
      <w:r>
        <w:t>.</w:t>
      </w:r>
      <w:r w:rsidR="00110DC6">
        <w:rPr>
          <w:rStyle w:val="FootnoteReference"/>
        </w:rPr>
        <w:footnoteReference w:id="62"/>
      </w:r>
    </w:p>
    <w:p w:rsidR="00C96EE5" w:rsidRDefault="00110DC6" w:rsidP="00C96EE5">
      <w:pPr>
        <w:pStyle w:val="Para1"/>
      </w:pPr>
      <w:r>
        <w:t>T</w:t>
      </w:r>
      <w:r w:rsidR="00C96EE5">
        <w:t xml:space="preserve">he locksmith, Mr Mark Baker, arrived and, according to his police statement, decided not to change the locks because of the dispute between Mr Djime and Mr G Besanko.  </w:t>
      </w:r>
      <w:r>
        <w:t xml:space="preserve">Mr Baker </w:t>
      </w:r>
      <w:r w:rsidR="00C96EE5">
        <w:t>suggested they call the police.</w:t>
      </w:r>
      <w:r w:rsidR="00C96EE5">
        <w:rPr>
          <w:rStyle w:val="FootnoteReference"/>
        </w:rPr>
        <w:footnoteReference w:id="63"/>
      </w:r>
    </w:p>
    <w:p w:rsidR="003C592E" w:rsidRDefault="003C592E" w:rsidP="00DD509E">
      <w:pPr>
        <w:pStyle w:val="Para1"/>
      </w:pPr>
      <w:r>
        <w:t xml:space="preserve">Mr Djime called the police to come and assist. </w:t>
      </w:r>
      <w:r w:rsidR="00844590">
        <w:t xml:space="preserve"> Call records presented to the t</w:t>
      </w:r>
      <w:r>
        <w:t xml:space="preserve">ribunal show that, at about the same time, Mr A Besanko also called the police to attend.  Sergeant Kearnes and Constable </w:t>
      </w:r>
      <w:r w:rsidR="008F0A53">
        <w:t xml:space="preserve">Robertson </w:t>
      </w:r>
      <w:r>
        <w:t xml:space="preserve">attended.  </w:t>
      </w:r>
      <w:r w:rsidR="00006E61">
        <w:t xml:space="preserve">Mr Djime says that he showed them the lease documents and receipt for payment and explained he was entitled to enter the premises.  They went to speak to Mr G Besanko.  </w:t>
      </w:r>
      <w:r>
        <w:t xml:space="preserve">Mr Djime gave evidence that </w:t>
      </w:r>
      <w:r w:rsidR="00240E56">
        <w:t xml:space="preserve">he heard </w:t>
      </w:r>
      <w:r>
        <w:t>Sergeant Kearnes sa</w:t>
      </w:r>
      <w:r w:rsidR="00240E56">
        <w:t>y</w:t>
      </w:r>
      <w:r>
        <w:t xml:space="preserve"> to Mr G Besanko </w:t>
      </w:r>
      <w:r>
        <w:rPr>
          <w:i/>
        </w:rPr>
        <w:t xml:space="preserve">‘If you don’t want Africans in your house then don’t say there is a lease’ </w:t>
      </w:r>
      <w:r>
        <w:t xml:space="preserve">and </w:t>
      </w:r>
      <w:r w:rsidR="00110DC6">
        <w:rPr>
          <w:i/>
        </w:rPr>
        <w:t>‘Africans are not good</w:t>
      </w:r>
      <w:r>
        <w:rPr>
          <w:i/>
        </w:rPr>
        <w:t>’</w:t>
      </w:r>
      <w:r>
        <w:t>.</w:t>
      </w:r>
      <w:r w:rsidR="00110DC6">
        <w:rPr>
          <w:rStyle w:val="FootnoteReference"/>
        </w:rPr>
        <w:footnoteReference w:id="64"/>
      </w:r>
    </w:p>
    <w:p w:rsidR="00A03E10" w:rsidRDefault="00931075" w:rsidP="00DD509E">
      <w:pPr>
        <w:pStyle w:val="Para1"/>
      </w:pPr>
      <w:r>
        <w:t xml:space="preserve">Mr Djime tendered a </w:t>
      </w:r>
      <w:r w:rsidR="00A03E10">
        <w:t xml:space="preserve">written statement </w:t>
      </w:r>
      <w:r>
        <w:t>made to police by Ms Nicole Papalia on 3 October 201</w:t>
      </w:r>
      <w:r w:rsidR="00F660A5">
        <w:t>4</w:t>
      </w:r>
      <w:r>
        <w:t>.</w:t>
      </w:r>
      <w:r>
        <w:rPr>
          <w:rStyle w:val="FootnoteReference"/>
        </w:rPr>
        <w:footnoteReference w:id="65"/>
      </w:r>
      <w:r>
        <w:t xml:space="preserve">  In that statement she says </w:t>
      </w:r>
      <w:r w:rsidR="00A03E10">
        <w:t xml:space="preserve">that she was working in the </w:t>
      </w:r>
      <w:r w:rsidR="00C96EE5">
        <w:t xml:space="preserve">butcher </w:t>
      </w:r>
      <w:r w:rsidR="00A03E10">
        <w:t xml:space="preserve">shop downstairs from the premises.  </w:t>
      </w:r>
      <w:r w:rsidR="00C96EE5">
        <w:t xml:space="preserve">Her father owned the whole building and rented the upstairs area to Mr A Besanko.  She stated that Mr A Besanko was free to sub-let rooms.  </w:t>
      </w:r>
      <w:r w:rsidR="00A03E10">
        <w:t xml:space="preserve">The police were talking to her trying to find out what was happening when the locksmith yelled out because Mr Djime had gone upstairs. </w:t>
      </w:r>
    </w:p>
    <w:p w:rsidR="003C592E" w:rsidRDefault="003C592E" w:rsidP="00DD509E">
      <w:pPr>
        <w:pStyle w:val="Para1"/>
      </w:pPr>
      <w:r>
        <w:t xml:space="preserve">Mr Djime </w:t>
      </w:r>
      <w:r w:rsidR="00A03E10">
        <w:t xml:space="preserve">says he </w:t>
      </w:r>
      <w:r>
        <w:t>walked past Mr G Besanko</w:t>
      </w:r>
      <w:r w:rsidR="00A03E10">
        <w:t xml:space="preserve"> who put his hands on him.  Mr Djime removed Mr Besanko’s hands</w:t>
      </w:r>
      <w:r>
        <w:t>, enter</w:t>
      </w:r>
      <w:r w:rsidR="00A03E10">
        <w:t>ed</w:t>
      </w:r>
      <w:r>
        <w:t xml:space="preserve"> the downstairs door of the premises, and then </w:t>
      </w:r>
      <w:r w:rsidR="00A03E10">
        <w:t xml:space="preserve">went </w:t>
      </w:r>
      <w:r>
        <w:t xml:space="preserve">upstairs.  </w:t>
      </w:r>
      <w:r w:rsidR="00110DC6">
        <w:t xml:space="preserve">He conceded in evidence that, when he moved Mr G Besanko’s hands, Mr Besanko </w:t>
      </w:r>
      <w:r w:rsidR="00110DC6">
        <w:rPr>
          <w:i/>
        </w:rPr>
        <w:t>‘slipped</w:t>
      </w:r>
      <w:r w:rsidR="00110DC6" w:rsidRPr="00110DC6">
        <w:rPr>
          <w:i/>
        </w:rPr>
        <w:t xml:space="preserve"> a little’</w:t>
      </w:r>
      <w:r w:rsidR="00110DC6">
        <w:t>.</w:t>
      </w:r>
      <w:r w:rsidR="00C96EE5">
        <w:rPr>
          <w:rStyle w:val="FootnoteReference"/>
        </w:rPr>
        <w:footnoteReference w:id="66"/>
      </w:r>
      <w:r w:rsidR="00C96EE5">
        <w:t xml:space="preserve">  He says </w:t>
      </w:r>
      <w:r w:rsidR="00A03E10">
        <w:t xml:space="preserve">he went upstairs followed by Sergeant Kearnes but in evidence said that Constable Robertson followed him first and Sergeant Kearnes came after.  He said that Sergeant Kearnes asked him to leave and, in response Mr Djime sat on the sofa.  </w:t>
      </w:r>
      <w:r w:rsidR="004C4621">
        <w:t xml:space="preserve">Mr Djime said that Sergeant Kearnes took out gas spray.  He realised that Sergeant </w:t>
      </w:r>
      <w:r w:rsidR="00C96EE5">
        <w:t xml:space="preserve">Kearnes </w:t>
      </w:r>
      <w:r w:rsidR="004C4621">
        <w:t>was going to be violent and so h</w:t>
      </w:r>
      <w:r w:rsidR="00A03E10">
        <w:t>e v</w:t>
      </w:r>
      <w:r w:rsidR="004C4621">
        <w:t xml:space="preserve">oluntarily got up from the sofa, put his hands behind him and said words to the effect that, if Sergeant Kearnes wanted to arrest him, he could.  Mr Djime says that he was </w:t>
      </w:r>
      <w:r w:rsidR="00A03E10">
        <w:t xml:space="preserve">handcuffed and then beaten by </w:t>
      </w:r>
      <w:r w:rsidR="00E53B11">
        <w:t>Sergeant</w:t>
      </w:r>
      <w:r w:rsidR="00A03E10">
        <w:t xml:space="preserve"> Kearnes</w:t>
      </w:r>
      <w:r w:rsidR="004C4621">
        <w:t>.  He says that he was smashed to the floor, kicked and punched on the back.  Sergeant Kearnes was said to have stepped on Mr Djime and punched him 12 times.  Mr Djime says that he was told he was under arrest for assaulting police.  He was taken downstairs.  Mr Djime was told that</w:t>
      </w:r>
      <w:r w:rsidR="00C96EE5">
        <w:t>, if he promised</w:t>
      </w:r>
      <w:r w:rsidR="004C4621">
        <w:t xml:space="preserve"> not to come back to the house, he would be released.  Mr Djime said he had been treated </w:t>
      </w:r>
      <w:r w:rsidR="00931075" w:rsidRPr="00931075">
        <w:rPr>
          <w:i/>
        </w:rPr>
        <w:t>‘</w:t>
      </w:r>
      <w:r w:rsidR="004C4621" w:rsidRPr="00931075">
        <w:rPr>
          <w:i/>
        </w:rPr>
        <w:t>like a dog</w:t>
      </w:r>
      <w:r w:rsidR="00931075" w:rsidRPr="00931075">
        <w:rPr>
          <w:i/>
        </w:rPr>
        <w:t>’</w:t>
      </w:r>
      <w:r w:rsidR="004C4621">
        <w:t>.</w:t>
      </w:r>
      <w:r w:rsidR="00C96EE5">
        <w:rPr>
          <w:rStyle w:val="FootnoteReference"/>
        </w:rPr>
        <w:footnoteReference w:id="67"/>
      </w:r>
    </w:p>
    <w:p w:rsidR="00DA6959" w:rsidRDefault="00DA6959" w:rsidP="00DD509E">
      <w:pPr>
        <w:pStyle w:val="Para1"/>
      </w:pPr>
      <w:r>
        <w:t>Mr Djime left the premises</w:t>
      </w:r>
      <w:r w:rsidR="00931075">
        <w:t>,</w:t>
      </w:r>
      <w:r>
        <w:t xml:space="preserve"> apparently unable to retrieve his belongings.  He said he had lost a childhood photograph of his grandfather.</w:t>
      </w:r>
      <w:r w:rsidR="00110DC6">
        <w:rPr>
          <w:rStyle w:val="FootnoteReference"/>
        </w:rPr>
        <w:footnoteReference w:id="68"/>
      </w:r>
    </w:p>
    <w:p w:rsidR="003A4D25" w:rsidRDefault="00DA6959" w:rsidP="00DD509E">
      <w:pPr>
        <w:pStyle w:val="Para1"/>
      </w:pPr>
      <w:r>
        <w:t>Mr Djime called Mr Di</w:t>
      </w:r>
      <w:r w:rsidR="006D4A68">
        <w:t>e</w:t>
      </w:r>
      <w:r>
        <w:t>nk</w:t>
      </w:r>
      <w:r w:rsidR="005D59FA">
        <w:t>h</w:t>
      </w:r>
      <w:r>
        <w:t xml:space="preserve">a to give evidence about the incident.  </w:t>
      </w:r>
      <w:r w:rsidR="00752C0A">
        <w:t>Mr Di</w:t>
      </w:r>
      <w:r w:rsidR="006D4A68">
        <w:t>e</w:t>
      </w:r>
      <w:r w:rsidR="00752C0A">
        <w:t xml:space="preserve">nkha said in </w:t>
      </w:r>
      <w:r w:rsidR="006D4A68">
        <w:t>a statutory declarat</w:t>
      </w:r>
      <w:r w:rsidR="00844590">
        <w:t>ion and in evidence before the t</w:t>
      </w:r>
      <w:r w:rsidR="006D4A68">
        <w:t xml:space="preserve">ribunal </w:t>
      </w:r>
      <w:r w:rsidR="00752C0A">
        <w:t>that he had seen Mr Djime being assaulted by a police officer.</w:t>
      </w:r>
      <w:r w:rsidR="00752C0A">
        <w:rPr>
          <w:rStyle w:val="FootnoteReference"/>
        </w:rPr>
        <w:footnoteReference w:id="69"/>
      </w:r>
      <w:r w:rsidR="00752C0A">
        <w:t xml:space="preserve">  Mr Djime also relied on a </w:t>
      </w:r>
      <w:r w:rsidR="003A4D25">
        <w:t xml:space="preserve">statutory declaration </w:t>
      </w:r>
      <w:r w:rsidR="00752C0A">
        <w:t xml:space="preserve">made by </w:t>
      </w:r>
      <w:r>
        <w:t>another friend, Mr Samuel Elliott</w:t>
      </w:r>
      <w:r w:rsidR="00752C0A">
        <w:t>.</w:t>
      </w:r>
      <w:r w:rsidR="003A4D25">
        <w:rPr>
          <w:rStyle w:val="FootnoteReference"/>
        </w:rPr>
        <w:footnoteReference w:id="70"/>
      </w:r>
      <w:r w:rsidR="00752C0A">
        <w:t xml:space="preserve">  That </w:t>
      </w:r>
      <w:r w:rsidR="003A4D25">
        <w:t>statutory declaration</w:t>
      </w:r>
      <w:r w:rsidR="00752C0A">
        <w:t xml:space="preserve"> says that</w:t>
      </w:r>
      <w:r w:rsidR="006D4A68">
        <w:t xml:space="preserve"> Mr Elliott saw Mr Djime being handcuffed and punched by a police officer</w:t>
      </w:r>
      <w:r>
        <w:t>.</w:t>
      </w:r>
      <w:r w:rsidR="006D4A68">
        <w:t xml:space="preserve">  He says a police officer asked him if he had seen Mr Djime hit a police officer.  He replied no.</w:t>
      </w:r>
      <w:r>
        <w:t xml:space="preserve">  </w:t>
      </w:r>
      <w:r w:rsidR="003A4D25">
        <w:t>Mr Elliott was not called to give evidence as Mr Djime has lost contact with him.</w:t>
      </w:r>
      <w:r w:rsidR="00C805B4">
        <w:t xml:space="preserve">  However, a page from a police notebook was tendered which showed that a note to that effect had been made and signed by Mr Elliott.</w:t>
      </w:r>
      <w:r w:rsidR="00C805B4">
        <w:rPr>
          <w:rStyle w:val="FootnoteReference"/>
        </w:rPr>
        <w:footnoteReference w:id="71"/>
      </w:r>
    </w:p>
    <w:p w:rsidR="00DA6959" w:rsidRDefault="00752C0A" w:rsidP="00DD509E">
      <w:pPr>
        <w:pStyle w:val="Para1"/>
      </w:pPr>
      <w:r>
        <w:t xml:space="preserve">In a letter written to clarify his signed </w:t>
      </w:r>
      <w:r w:rsidR="00DA6959">
        <w:t>statement</w:t>
      </w:r>
      <w:r>
        <w:t>, Mr Baker said that no one went upstairs after Mr D</w:t>
      </w:r>
      <w:r w:rsidR="006D4A68">
        <w:t>jime and that his friends</w:t>
      </w:r>
      <w:r w:rsidR="00C96EE5">
        <w:t>,</w:t>
      </w:r>
      <w:r w:rsidR="006D4A68">
        <w:t xml:space="preserve"> Mr Die</w:t>
      </w:r>
      <w:r>
        <w:t>nkha and Mr Elliott</w:t>
      </w:r>
      <w:r w:rsidR="00C96EE5">
        <w:t>,</w:t>
      </w:r>
      <w:r>
        <w:t xml:space="preserve"> stayed downstairs and so could not have seen what was happening upstairs.</w:t>
      </w:r>
      <w:r w:rsidR="00DA6959">
        <w:t xml:space="preserve">  Mr Djime said that </w:t>
      </w:r>
      <w:r w:rsidR="00C96EE5">
        <w:t>letter</w:t>
      </w:r>
      <w:r w:rsidR="00DA6959">
        <w:t>, which was unsigned, was false.</w:t>
      </w:r>
      <w:r w:rsidR="00DA6959">
        <w:rPr>
          <w:rStyle w:val="FootnoteReference"/>
        </w:rPr>
        <w:footnoteReference w:id="72"/>
      </w:r>
      <w:r w:rsidR="00DA6959">
        <w:t xml:space="preserve">  </w:t>
      </w:r>
    </w:p>
    <w:p w:rsidR="00DA6959" w:rsidRDefault="00DA6959" w:rsidP="00DA6959">
      <w:pPr>
        <w:pStyle w:val="Para1"/>
      </w:pPr>
      <w:r>
        <w:t>Mr Djime said, as a consequence of the alleged assault by Sergeant Kearnes, he suffered injury to his eye and a broken finger.</w:t>
      </w:r>
      <w:r w:rsidR="000362E9">
        <w:t xml:space="preserve">  Further, he has suffered homelessness since being evicted.</w:t>
      </w:r>
    </w:p>
    <w:p w:rsidR="002A2D75" w:rsidRDefault="002A2D75" w:rsidP="00DA6959">
      <w:pPr>
        <w:pStyle w:val="Para1"/>
      </w:pPr>
      <w:r>
        <w:t>Mr Djime says that, when Sergeant Kearnes hit him, the police officer was assisting Mr G Besanko to evict him and so was in breach of section 105 of the EO Act.</w:t>
      </w:r>
    </w:p>
    <w:p w:rsidR="006F2C6F" w:rsidRDefault="00DA6959" w:rsidP="00DA6959">
      <w:pPr>
        <w:pStyle w:val="Para1"/>
      </w:pPr>
      <w:r>
        <w:t xml:space="preserve">Leaving aside the allegations of criminal assault, Mr Djime </w:t>
      </w:r>
      <w:r w:rsidR="006F2C6F">
        <w:t>says that he was discriminated against on the basis of his race as part of the systemic discrimination of Africans by Victoria</w:t>
      </w:r>
      <w:r w:rsidR="00931075">
        <w:t xml:space="preserve"> </w:t>
      </w:r>
      <w:r w:rsidR="00F660A5">
        <w:t xml:space="preserve">Police </w:t>
      </w:r>
      <w:r w:rsidR="00931075">
        <w:t>and</w:t>
      </w:r>
      <w:r w:rsidR="00B423D3">
        <w:t>,</w:t>
      </w:r>
      <w:r w:rsidR="00931075">
        <w:t xml:space="preserve"> in particular</w:t>
      </w:r>
      <w:r w:rsidR="00B423D3">
        <w:t>,</w:t>
      </w:r>
      <w:r w:rsidR="00931075">
        <w:t xml:space="preserve"> </w:t>
      </w:r>
      <w:r w:rsidR="00C805B4">
        <w:t xml:space="preserve">he claims </w:t>
      </w:r>
      <w:r w:rsidR="00931075">
        <w:t xml:space="preserve">as follows: </w:t>
      </w:r>
    </w:p>
    <w:p w:rsidR="006F2C6F" w:rsidRDefault="00B423D3" w:rsidP="006F2C6F">
      <w:pPr>
        <w:pStyle w:val="Para4"/>
      </w:pPr>
      <w:r>
        <w:t xml:space="preserve">A claim of discrimination arising from the comments said to have been made to Mr G Besanko by Sergeant Kearnes as set out in paragraph </w:t>
      </w:r>
      <w:r w:rsidR="008972C3">
        <w:t>114</w:t>
      </w:r>
      <w:r>
        <w:t xml:space="preserve"> on 18 September 2013</w:t>
      </w:r>
      <w:r w:rsidR="006F2C6F">
        <w:t>;</w:t>
      </w:r>
    </w:p>
    <w:p w:rsidR="006F2C6F" w:rsidRDefault="00B423D3" w:rsidP="006F2C6F">
      <w:pPr>
        <w:pStyle w:val="Para4"/>
      </w:pPr>
      <w:r>
        <w:t>A claim of discrimination arising from Sergeant Kearnes’ request on 18 September 2013 that Mr Djime, rather than Mr G Besanko, leave the premises</w:t>
      </w:r>
      <w:r w:rsidR="006F2C6F">
        <w:t>;</w:t>
      </w:r>
    </w:p>
    <w:p w:rsidR="006F2C6F" w:rsidRDefault="00B423D3" w:rsidP="006F2C6F">
      <w:pPr>
        <w:pStyle w:val="Para4"/>
      </w:pPr>
      <w:r>
        <w:t>A claim of discrimination arising from Sergeant Kearnes taking out gas spray while inside the premises on 18 September 2013</w:t>
      </w:r>
      <w:r w:rsidR="006F2C6F">
        <w:t>;</w:t>
      </w:r>
    </w:p>
    <w:p w:rsidR="00DD509E" w:rsidRDefault="00B423D3" w:rsidP="006F2C6F">
      <w:pPr>
        <w:pStyle w:val="Para4"/>
      </w:pPr>
      <w:r>
        <w:t>A claim of discrimination arising from Sergeant Kearnes allegedly assaulting Mr Djime inside the premises on 18 September 2013</w:t>
      </w:r>
      <w:r w:rsidR="006F2C6F">
        <w:t>;</w:t>
      </w:r>
    </w:p>
    <w:p w:rsidR="006F2C6F" w:rsidRDefault="00B423D3" w:rsidP="006F2C6F">
      <w:pPr>
        <w:pStyle w:val="Para4"/>
      </w:pPr>
      <w:r>
        <w:t xml:space="preserve">A claim of discrimination arising from Sergeant Kearnes allegedly evicting </w:t>
      </w:r>
      <w:r w:rsidR="00770216">
        <w:t>Mr</w:t>
      </w:r>
      <w:r>
        <w:t xml:space="preserve"> Djime from the premises on 18 September 2013</w:t>
      </w:r>
      <w:r w:rsidR="006F2C6F">
        <w:t>;</w:t>
      </w:r>
      <w:r w:rsidR="000362E9">
        <w:t xml:space="preserve"> and</w:t>
      </w:r>
    </w:p>
    <w:p w:rsidR="000362E9" w:rsidRDefault="00B423D3" w:rsidP="006F2C6F">
      <w:pPr>
        <w:pStyle w:val="Para4"/>
      </w:pPr>
      <w:r>
        <w:t>A claim of discrimination arising from the failure, on 18 September 2013, to ask Mr Dienkha about what had occurred and rather asking Mr Elliott, who is white</w:t>
      </w:r>
      <w:r w:rsidR="000362E9">
        <w:t>.</w:t>
      </w:r>
    </w:p>
    <w:p w:rsidR="00931075" w:rsidRDefault="00931075" w:rsidP="00931075">
      <w:pPr>
        <w:pStyle w:val="Para1"/>
      </w:pPr>
      <w:r>
        <w:t xml:space="preserve">Mr Djime also </w:t>
      </w:r>
      <w:r w:rsidR="00B423D3">
        <w:t>makes</w:t>
      </w:r>
      <w:r>
        <w:t>:</w:t>
      </w:r>
    </w:p>
    <w:p w:rsidR="00931075" w:rsidRDefault="00B423D3" w:rsidP="00931075">
      <w:pPr>
        <w:pStyle w:val="Para4"/>
      </w:pPr>
      <w:r>
        <w:t>A claim that, on 18 September 2013, Sergeant Kearnes was assisting or authorising discrimination by Mr G Besanko when Sergeant Kearnes allegedly evicted Mr Djime</w:t>
      </w:r>
      <w:r w:rsidR="00931075">
        <w:t xml:space="preserve">. </w:t>
      </w:r>
    </w:p>
    <w:p w:rsidR="00931075" w:rsidRDefault="00931075" w:rsidP="00931075">
      <w:pPr>
        <w:pStyle w:val="Para4"/>
        <w:numPr>
          <w:ilvl w:val="0"/>
          <w:numId w:val="0"/>
        </w:numPr>
        <w:rPr>
          <w:i/>
        </w:rPr>
      </w:pPr>
      <w:r>
        <w:rPr>
          <w:i/>
        </w:rPr>
        <w:t>Service?</w:t>
      </w:r>
    </w:p>
    <w:p w:rsidR="00931075" w:rsidRDefault="00931075" w:rsidP="00931075">
      <w:pPr>
        <w:pStyle w:val="Para1"/>
      </w:pPr>
      <w:r>
        <w:t>There is no dispute that both Mr Djime and Mr A Besanko called for the police to attend the premises and that, when they first attended, the police officers were speaking with the people present to understand what was occurring.  That is all conduct consistent with the provision of a service to Mr Djime and others.</w:t>
      </w:r>
    </w:p>
    <w:p w:rsidR="00931075" w:rsidRDefault="00C805B4" w:rsidP="00931075">
      <w:pPr>
        <w:pStyle w:val="Para1"/>
      </w:pPr>
      <w:r>
        <w:t xml:space="preserve">While </w:t>
      </w:r>
      <w:r w:rsidR="00931075">
        <w:t>Mr Djime d</w:t>
      </w:r>
      <w:r w:rsidR="00B70F4E">
        <w:t xml:space="preserve">enied in evidence </w:t>
      </w:r>
      <w:r w:rsidR="00931075">
        <w:t>that he pushed past Mr G Besanko to enter the premises</w:t>
      </w:r>
      <w:r>
        <w:t>, he also conceded that Mr Besanko slipped a little</w:t>
      </w:r>
      <w:r w:rsidR="00931075">
        <w:t xml:space="preserve">.  He says that he was simply entering the premises he had rented. </w:t>
      </w:r>
      <w:r w:rsidR="00EE110E">
        <w:t xml:space="preserve"> Ms Papalia’s statement says that</w:t>
      </w:r>
      <w:r w:rsidR="00931075">
        <w:t xml:space="preserve">, at the time Mr Djime entered the premises, the police were still speaking to her, trying to get to the bottom of the situation. </w:t>
      </w:r>
    </w:p>
    <w:p w:rsidR="00931075" w:rsidRDefault="00931075" w:rsidP="00931075">
      <w:pPr>
        <w:pStyle w:val="Para1"/>
      </w:pPr>
      <w:r>
        <w:t>Taking Mr Djime’s evidence at its highest</w:t>
      </w:r>
      <w:r w:rsidR="00C805B4">
        <w:t xml:space="preserve"> and for the purposes of this application</w:t>
      </w:r>
      <w:r>
        <w:t xml:space="preserve">, I will assume he walked into and up the stairs of the premises without pushing Mr G Besanko. </w:t>
      </w:r>
      <w:r w:rsidR="007D6548">
        <w:t xml:space="preserve"> On Mr Djime’s evidence, Sergea</w:t>
      </w:r>
      <w:r>
        <w:t>nt Kearnes followed him up the stairs and asked him to leave.  Mr Djime sat on the sofa and said he wanted to stay.  Sergeant Kearnes produced the spray.  Mr Djime’s evidence was that he stood offering his hands for handcuffing and this was done.  Then, Sergeant Kearnes commenced assaulting him and evicted him from the premises.</w:t>
      </w:r>
      <w:r>
        <w:rPr>
          <w:rStyle w:val="FootnoteReference"/>
        </w:rPr>
        <w:footnoteReference w:id="73"/>
      </w:r>
      <w:r>
        <w:t xml:space="preserve">  </w:t>
      </w:r>
    </w:p>
    <w:p w:rsidR="00931075" w:rsidRDefault="00931075" w:rsidP="00931075">
      <w:pPr>
        <w:pStyle w:val="Para1"/>
      </w:pPr>
      <w:r>
        <w:t xml:space="preserve">The </w:t>
      </w:r>
      <w:r w:rsidR="009011AA">
        <w:t>c</w:t>
      </w:r>
      <w:r>
        <w:t>ommission submitted that it might be open to conclude on the evidence that all events up until Mr Djime was arrested might constitute a service.  Reference is made to the evidence of Ms Papalia set out above.  It is suggested that, when the</w:t>
      </w:r>
      <w:r w:rsidR="00F660A5">
        <w:t>y</w:t>
      </w:r>
      <w:r>
        <w:t xml:space="preserve"> entered the premises, the police were still trying to resolve the dispute.</w:t>
      </w:r>
      <w:r>
        <w:rPr>
          <w:rStyle w:val="FootnoteReference"/>
        </w:rPr>
        <w:footnoteReference w:id="74"/>
      </w:r>
    </w:p>
    <w:p w:rsidR="00931075" w:rsidRDefault="00931075" w:rsidP="00931075">
      <w:pPr>
        <w:pStyle w:val="Para1"/>
      </w:pPr>
      <w:r>
        <w:t xml:space="preserve">I accept that on the evidence heard so far, it </w:t>
      </w:r>
      <w:r w:rsidR="00EE110E">
        <w:t>would be</w:t>
      </w:r>
      <w:r>
        <w:t xml:space="preserve"> open to characterise the police engagement with all parties as a service </w:t>
      </w:r>
      <w:r w:rsidR="00EE110E">
        <w:t xml:space="preserve">under the EO Act </w:t>
      </w:r>
      <w:r>
        <w:t xml:space="preserve">up to and including around the time Mr Djime was followed into the premises by the officers.  There is no question, though, that on Mr Djime’s evidence, after he sat on the sofa he was told to leave, he was threatened with spray and </w:t>
      </w:r>
      <w:r w:rsidR="00EE110E">
        <w:t xml:space="preserve">he </w:t>
      </w:r>
      <w:r>
        <w:t>then stood with his hands behind his back willing to be handcuffed.  Those actions are consistent with Mr Djime being aware that he was being asked to leave the premises.  Certainly once the spray was produced, he was aware that the police were not then assisting him</w:t>
      </w:r>
      <w:r w:rsidR="00EE110E">
        <w:t xml:space="preserve"> or trying to establish what his rights were</w:t>
      </w:r>
      <w:r>
        <w:t>.  It is apparent that the police wished him to leave the premises and, if necessary, action</w:t>
      </w:r>
      <w:r w:rsidR="00B70F4E" w:rsidRPr="00B70F4E">
        <w:t xml:space="preserve"> </w:t>
      </w:r>
      <w:r w:rsidR="00B70F4E">
        <w:t>would be taken</w:t>
      </w:r>
      <w:r>
        <w:t xml:space="preserve"> to ensure that occurred.  </w:t>
      </w:r>
    </w:p>
    <w:p w:rsidR="00EE110E" w:rsidRDefault="00931075" w:rsidP="00931075">
      <w:pPr>
        <w:pStyle w:val="Para1"/>
      </w:pPr>
      <w:r>
        <w:t xml:space="preserve">While I accept that the dealings between the police and Mr Djime up until he was asked to leave the premises might amount to a service and ought to be the subject of a full hearing, the events that follow that point in time cannot be characterised as falling within the meaning of a service under the EO Act.  </w:t>
      </w:r>
      <w:r w:rsidR="00EE110E">
        <w:t>While up to that point in time it might be said that the police were trying to restore the peace and status quo by having Mr Djime leave the premises so the matter could be discussed outside, once the spray was produced and Mr Djime perceived he was to be restrained and possibly arrested, he could not be said to have been receiving a service.</w:t>
      </w:r>
    </w:p>
    <w:p w:rsidR="007D6548" w:rsidRPr="007D6548" w:rsidRDefault="007D6548" w:rsidP="007D6548">
      <w:pPr>
        <w:pStyle w:val="Para1"/>
      </w:pPr>
      <w:r w:rsidRPr="007D6548">
        <w:t xml:space="preserve">Mr Djime complains that the police made enquiries as to what was happening of Mr Elliott rather than Mr </w:t>
      </w:r>
      <w:r w:rsidR="00E53B11" w:rsidRPr="007D6548">
        <w:t>Dienkha</w:t>
      </w:r>
      <w:r w:rsidRPr="007D6548">
        <w:t xml:space="preserve"> on the basis that they elected to ask someone who is white rather than someone who is black.  Mr Dienkha has not brought his own claim about that matter and Mr Djime cannot bring it for him on a representative basis or as a general claim of racial discrimination by police. </w:t>
      </w:r>
    </w:p>
    <w:p w:rsidR="007D6548" w:rsidRDefault="007D6548" w:rsidP="007D6548">
      <w:pPr>
        <w:pStyle w:val="Para1"/>
      </w:pPr>
      <w:r w:rsidRPr="007D6548">
        <w:t xml:space="preserve">As noted earlier, section 105 of the EO Act allows a claim of a breach of the prohibitions on discrimination and sexual harassment to be brought against the person said to have committed the breach or against a person said to </w:t>
      </w:r>
      <w:r>
        <w:t>have authorised or assisted in the breach.  As I understand it, Mr Djime says that Sergeant Kearnes assisted Mr G Besanko by evicting him and that Mr G Besanko wished to have Mr Djime removed because of his race.</w:t>
      </w:r>
    </w:p>
    <w:p w:rsidR="007D6548" w:rsidRDefault="007D6548" w:rsidP="007D6548">
      <w:pPr>
        <w:pStyle w:val="Para1"/>
      </w:pPr>
      <w:r>
        <w:t>I will assume that Mr Djime’s position is that Mr G Besanko was acting on behalf of his brother, the other party to the lease and the person who was potentially providing accommodation services to Mr Djime</w:t>
      </w:r>
      <w:r w:rsidR="00C805B4">
        <w:t>.  S</w:t>
      </w:r>
      <w:r w:rsidR="00A15AD0">
        <w:t xml:space="preserve">ection 53 </w:t>
      </w:r>
      <w:r w:rsidR="00C805B4">
        <w:t xml:space="preserve">of the EO Act </w:t>
      </w:r>
      <w:r w:rsidR="00A15AD0">
        <w:t>prohibits discrimination in providing accommodation</w:t>
      </w:r>
      <w:r>
        <w:t>.</w:t>
      </w:r>
    </w:p>
    <w:p w:rsidR="007D6548" w:rsidRPr="007D6548" w:rsidRDefault="007D6548" w:rsidP="007D6548">
      <w:pPr>
        <w:pStyle w:val="Para1"/>
      </w:pPr>
      <w:r>
        <w:t xml:space="preserve">The evidence which may support a finding of discrimination </w:t>
      </w:r>
      <w:r w:rsidR="00A15AD0">
        <w:t>is Mr Djime’s description of what was said by Mr G Besanko and the comments said to have been made by Sergeant Kearnes and set out in item g above.  The respondents say that the claim has not been properly particularised.</w:t>
      </w:r>
    </w:p>
    <w:p w:rsidR="00931075" w:rsidRPr="007D6548" w:rsidRDefault="007D6548" w:rsidP="007D6548">
      <w:pPr>
        <w:pStyle w:val="Para1"/>
        <w:numPr>
          <w:ilvl w:val="0"/>
          <w:numId w:val="0"/>
        </w:numPr>
        <w:rPr>
          <w:i/>
        </w:rPr>
      </w:pPr>
      <w:r>
        <w:rPr>
          <w:i/>
        </w:rPr>
        <w:t>Decision</w:t>
      </w:r>
    </w:p>
    <w:p w:rsidR="00931075" w:rsidRDefault="007D6548" w:rsidP="00931075">
      <w:pPr>
        <w:pStyle w:val="Para1"/>
      </w:pPr>
      <w:r>
        <w:t xml:space="preserve">Claims g and h as set out above will proceed to a full hearing.  </w:t>
      </w:r>
      <w:r w:rsidR="00770216">
        <w:t>However, the claims described by me in items i, j and k will be dismissed under section 75(1)(a) of the VCAT Act as</w:t>
      </w:r>
      <w:r w:rsidR="00844590">
        <w:t xml:space="preserve"> misconceived because the t</w:t>
      </w:r>
      <w:r w:rsidR="00770216">
        <w:t>ribunal has no power to consider them under the EO Act.</w:t>
      </w:r>
    </w:p>
    <w:p w:rsidR="007D6548" w:rsidRDefault="00B70F4E" w:rsidP="00931075">
      <w:pPr>
        <w:pStyle w:val="Para1"/>
      </w:pPr>
      <w:r>
        <w:t>Claim l</w:t>
      </w:r>
      <w:r w:rsidR="007D6548">
        <w:t xml:space="preserve"> will be dismissed as that is not a matter </w:t>
      </w:r>
      <w:r w:rsidR="003A0987">
        <w:t>about which Mr Djime can bring a claim</w:t>
      </w:r>
      <w:r w:rsidR="007D6548">
        <w:t>.</w:t>
      </w:r>
      <w:r w:rsidR="00C805B4">
        <w:t xml:space="preserve">  To that extent it is misconceived under section 75(1)(a) of the VCAT Act.</w:t>
      </w:r>
    </w:p>
    <w:p w:rsidR="00A15AD0" w:rsidRDefault="00A15AD0" w:rsidP="00931075">
      <w:pPr>
        <w:pStyle w:val="Para1"/>
      </w:pPr>
      <w:r>
        <w:t>Having regard to the nature of the task under section 75 of the VCAT Act and</w:t>
      </w:r>
      <w:r w:rsidR="00F660A5">
        <w:t xml:space="preserve"> the fact that Mr Djime is self-</w:t>
      </w:r>
      <w:r>
        <w:t>represented, I will allow the claim set out in item m to proceed to hearing.</w:t>
      </w:r>
    </w:p>
    <w:p w:rsidR="000362E9" w:rsidRPr="003C592E" w:rsidRDefault="000362E9" w:rsidP="004F04EC">
      <w:pPr>
        <w:pStyle w:val="Heading3"/>
      </w:pPr>
      <w:r>
        <w:t>The lease dispute – the complaint</w:t>
      </w:r>
      <w:r w:rsidRPr="00B70F4E">
        <w:rPr>
          <w:rStyle w:val="FootnoteReference"/>
        </w:rPr>
        <w:footnoteReference w:id="75"/>
      </w:r>
    </w:p>
    <w:p w:rsidR="0020201E" w:rsidRPr="0020201E" w:rsidRDefault="0020201E" w:rsidP="0020201E">
      <w:pPr>
        <w:pStyle w:val="Para1"/>
        <w:numPr>
          <w:ilvl w:val="0"/>
          <w:numId w:val="0"/>
        </w:numPr>
        <w:rPr>
          <w:i/>
        </w:rPr>
      </w:pPr>
      <w:r>
        <w:rPr>
          <w:i/>
        </w:rPr>
        <w:t>Allegations</w:t>
      </w:r>
    </w:p>
    <w:p w:rsidR="000362E9" w:rsidRDefault="000362E9" w:rsidP="000362E9">
      <w:pPr>
        <w:pStyle w:val="Para1"/>
      </w:pPr>
      <w:r>
        <w:t xml:space="preserve">Mr Djime </w:t>
      </w:r>
      <w:r w:rsidR="004F04EC">
        <w:t>says that</w:t>
      </w:r>
      <w:r w:rsidR="00B70F4E">
        <w:t>,</w:t>
      </w:r>
      <w:r w:rsidR="004F04EC">
        <w:t xml:space="preserve"> later on 18 September 2013</w:t>
      </w:r>
      <w:r>
        <w:t xml:space="preserve">, he went to the Flinders Street Police Station and made a complaint about </w:t>
      </w:r>
      <w:r w:rsidR="00A37F11">
        <w:t xml:space="preserve">the behaviour of </w:t>
      </w:r>
      <w:r>
        <w:t xml:space="preserve">Sergeant Kearnes to Sergeant Drake.  </w:t>
      </w:r>
      <w:r w:rsidR="00C805B4">
        <w:t xml:space="preserve">In his particulars of claim, Mr Djime says that Sergeant Drake said that he was a </w:t>
      </w:r>
      <w:r w:rsidR="00C805B4">
        <w:rPr>
          <w:i/>
        </w:rPr>
        <w:t xml:space="preserve">‘nonsense’ </w:t>
      </w:r>
      <w:r w:rsidR="00C805B4">
        <w:t>after M</w:t>
      </w:r>
      <w:r>
        <w:t xml:space="preserve">r Djime </w:t>
      </w:r>
      <w:r w:rsidR="00C805B4">
        <w:t>has repeated three times the events at the premises.</w:t>
      </w:r>
      <w:r w:rsidR="00C805B4">
        <w:rPr>
          <w:rStyle w:val="FootnoteReference"/>
        </w:rPr>
        <w:footnoteReference w:id="76"/>
      </w:r>
      <w:r w:rsidR="00C805B4">
        <w:t xml:space="preserve">  W</w:t>
      </w:r>
      <w:r>
        <w:t xml:space="preserve">hen Mr Djime told Sergeant Drake that he had two Masters degrees, Sergeant Drake was nice after that.  He gave evidence that Sergeant Drake </w:t>
      </w:r>
      <w:r w:rsidR="00CB167F">
        <w:t xml:space="preserve">arranged for him to be examined by </w:t>
      </w:r>
      <w:r>
        <w:t xml:space="preserve">a </w:t>
      </w:r>
      <w:r w:rsidR="00C805B4">
        <w:t xml:space="preserve">police </w:t>
      </w:r>
      <w:r>
        <w:t xml:space="preserve">doctor.  </w:t>
      </w:r>
      <w:r w:rsidR="001D550C">
        <w:t xml:space="preserve">His evidence was that Sergeant </w:t>
      </w:r>
      <w:r w:rsidR="00B70F4E">
        <w:t>Drake</w:t>
      </w:r>
      <w:r w:rsidR="001D550C">
        <w:t xml:space="preserve"> said that he knew Mr Djime was not feeling well and that he would take him for treatment.</w:t>
      </w:r>
      <w:r w:rsidR="001D550C">
        <w:rPr>
          <w:rStyle w:val="FootnoteReference"/>
        </w:rPr>
        <w:footnoteReference w:id="77"/>
      </w:r>
    </w:p>
    <w:p w:rsidR="00C8252D" w:rsidRDefault="00CB167F" w:rsidP="000362E9">
      <w:pPr>
        <w:pStyle w:val="Para1"/>
      </w:pPr>
      <w:r>
        <w:t>Mr Djime produced a statement he made on 18 September 2013 before Sergeant Drake.</w:t>
      </w:r>
      <w:r>
        <w:rPr>
          <w:rStyle w:val="FootnoteReference"/>
        </w:rPr>
        <w:footnoteReference w:id="78"/>
      </w:r>
      <w:r>
        <w:t xml:space="preserve">  While that statement recounts much of what Mr Djime says occurred at the premises, no mention is ma</w:t>
      </w:r>
      <w:r w:rsidR="00C8252D">
        <w:t>de of any racist comments by Se</w:t>
      </w:r>
      <w:r>
        <w:t>rgea</w:t>
      </w:r>
      <w:r w:rsidR="001D550C">
        <w:t>n</w:t>
      </w:r>
      <w:r>
        <w:t>t Kearnes and no suggestion is made that the alleged assault by him was motivated by race</w:t>
      </w:r>
      <w:r w:rsidR="00C8252D">
        <w:t xml:space="preserve"> or Mr Djime’s physical features</w:t>
      </w:r>
      <w:r>
        <w:t xml:space="preserve">.  The final line of the statement says that Mr Djime’s main complaint is the unnecessary violence caused to him.  </w:t>
      </w:r>
    </w:p>
    <w:p w:rsidR="00CB167F" w:rsidRDefault="00CB167F" w:rsidP="000362E9">
      <w:pPr>
        <w:pStyle w:val="Para1"/>
      </w:pPr>
      <w:r>
        <w:t xml:space="preserve">When giving evidence about his interaction with Sergeant Drake, Mr Djime referred to systemic problems with Victoria Police and how they treat people from </w:t>
      </w:r>
      <w:smartTag w:uri="urn:schemas-microsoft-com:office:smarttags" w:element="place">
        <w:r>
          <w:t>Africa</w:t>
        </w:r>
      </w:smartTag>
      <w:r>
        <w:t>.  Those comments appeared to be directed at Sergeant Drake’s initial comments rather than indicating that a complaint of discrimination had been made about the interactions with Sergeant Kearnes.</w:t>
      </w:r>
      <w:r>
        <w:rPr>
          <w:rStyle w:val="FootnoteReference"/>
        </w:rPr>
        <w:footnoteReference w:id="79"/>
      </w:r>
      <w:r>
        <w:t xml:space="preserve">   </w:t>
      </w:r>
    </w:p>
    <w:p w:rsidR="003B616B" w:rsidRDefault="000362E9" w:rsidP="000362E9">
      <w:pPr>
        <w:pStyle w:val="Para1"/>
      </w:pPr>
      <w:r>
        <w:t>Mr Djime says that he only received one letter about his complaint but that he had been spied upon, had been subjected to invasi</w:t>
      </w:r>
      <w:r w:rsidR="002C4A37">
        <w:t>o</w:t>
      </w:r>
      <w:r>
        <w:t xml:space="preserve">ns of his privacy, trespass, false accusations and perjuries by police officers.  </w:t>
      </w:r>
      <w:r w:rsidR="002C4A37">
        <w:t xml:space="preserve">Mr Djime says that </w:t>
      </w:r>
      <w:r w:rsidR="00B70F4E">
        <w:t xml:space="preserve">a </w:t>
      </w:r>
      <w:r w:rsidR="00A37F11">
        <w:t xml:space="preserve">Sergeant </w:t>
      </w:r>
      <w:r w:rsidR="002C4A37">
        <w:t>B</w:t>
      </w:r>
      <w:r w:rsidR="00B70F4E">
        <w:t>arry</w:t>
      </w:r>
      <w:r w:rsidR="002C4A37">
        <w:t xml:space="preserve"> Jenks investigated the complaint and abused him.</w:t>
      </w:r>
      <w:r w:rsidR="005029CF">
        <w:rPr>
          <w:rStyle w:val="FootnoteReference"/>
        </w:rPr>
        <w:footnoteReference w:id="80"/>
      </w:r>
      <w:r w:rsidR="002C4A37">
        <w:t xml:space="preserve">  </w:t>
      </w:r>
      <w:r w:rsidR="00B70F4E">
        <w:t xml:space="preserve">It was not clear to me whether there is any Barry Jenks who is a member of the police but have assumed so for the purposes of these reasons.  </w:t>
      </w:r>
      <w:r w:rsidR="00A37F11">
        <w:t xml:space="preserve">Sergeant </w:t>
      </w:r>
      <w:r w:rsidR="002C4A37">
        <w:t>Jenks told him that Sergeant Kearnes had reported that he only hit Mr Djime because he wanted to finish his day.</w:t>
      </w:r>
      <w:r w:rsidR="00E4458C">
        <w:t xml:space="preserve">  Mr Djime says that the police have been negligent about its investigation of this matter.</w:t>
      </w:r>
    </w:p>
    <w:p w:rsidR="00E4458C" w:rsidRDefault="00E4458C" w:rsidP="000362E9">
      <w:pPr>
        <w:pStyle w:val="Para1"/>
      </w:pPr>
      <w:r>
        <w:t xml:space="preserve">Further, he says that the charges laid in respect of the Footscray station incident followed from his complaint to Sergeant Drake and amount to victimisation by </w:t>
      </w:r>
      <w:r w:rsidR="005029CF">
        <w:t xml:space="preserve">Senior </w:t>
      </w:r>
      <w:r>
        <w:t>Constables Wilson and van der Sluis</w:t>
      </w:r>
      <w:r w:rsidR="005029CF">
        <w:t xml:space="preserve"> (see item f</w:t>
      </w:r>
      <w:r w:rsidR="004F04EC">
        <w:t xml:space="preserve"> above)</w:t>
      </w:r>
      <w:r>
        <w:t>.</w:t>
      </w:r>
      <w:r w:rsidR="00150AC0">
        <w:t xml:space="preserve">  He notes that he received notice of th</w:t>
      </w:r>
      <w:r w:rsidR="005029CF">
        <w:t>os</w:t>
      </w:r>
      <w:r w:rsidR="00150AC0">
        <w:t>e two charges two days after making the complaint.</w:t>
      </w:r>
    </w:p>
    <w:p w:rsidR="00150AC0" w:rsidRDefault="00150AC0" w:rsidP="000362E9">
      <w:pPr>
        <w:pStyle w:val="Para1"/>
      </w:pPr>
      <w:r>
        <w:t>The following allegations arise in respect of the complaint:</w:t>
      </w:r>
    </w:p>
    <w:p w:rsidR="00150AC0" w:rsidRDefault="00B423D3" w:rsidP="00150AC0">
      <w:pPr>
        <w:pStyle w:val="Para4"/>
      </w:pPr>
      <w:r>
        <w:t xml:space="preserve">A claim of victimisation in respect of the charges laid in the context of the lease dispute </w:t>
      </w:r>
      <w:r w:rsidR="003A4D25">
        <w:t>(discussed below)</w:t>
      </w:r>
      <w:r w:rsidR="00150AC0">
        <w:t xml:space="preserve">; </w:t>
      </w:r>
    </w:p>
    <w:p w:rsidR="00150AC0" w:rsidRDefault="00B423D3" w:rsidP="00150AC0">
      <w:pPr>
        <w:pStyle w:val="Para4"/>
      </w:pPr>
      <w:r>
        <w:t>A claim of discrimination in respect of comments</w:t>
      </w:r>
      <w:r w:rsidR="005029CF">
        <w:t xml:space="preserve"> allegedly </w:t>
      </w:r>
      <w:r>
        <w:t>made by Sergeant Drake to Mr Djime when he made the complaint on 18 September 2013; and</w:t>
      </w:r>
    </w:p>
    <w:p w:rsidR="00B423D3" w:rsidRDefault="00B423D3" w:rsidP="00150AC0">
      <w:pPr>
        <w:pStyle w:val="Para4"/>
      </w:pPr>
      <w:r>
        <w:t>A claim of discrimination arising from an alleged failure to investigate properly the complaint about Sergeant Kearnes’ conduct on 18 September 2013.</w:t>
      </w:r>
    </w:p>
    <w:p w:rsidR="004F04EC" w:rsidRDefault="004F04EC" w:rsidP="004F04EC">
      <w:pPr>
        <w:pStyle w:val="Para4"/>
        <w:numPr>
          <w:ilvl w:val="0"/>
          <w:numId w:val="0"/>
        </w:numPr>
      </w:pPr>
      <w:r w:rsidRPr="004F04EC">
        <w:rPr>
          <w:i/>
        </w:rPr>
        <w:t>Service</w:t>
      </w:r>
      <w:r>
        <w:rPr>
          <w:i/>
        </w:rPr>
        <w:t xml:space="preserve"> or </w:t>
      </w:r>
      <w:r w:rsidR="00E34ECB">
        <w:rPr>
          <w:i/>
        </w:rPr>
        <w:t>lacking in substance</w:t>
      </w:r>
      <w:r w:rsidR="00DB386A">
        <w:rPr>
          <w:i/>
        </w:rPr>
        <w:t xml:space="preserve"> or an abuse of process</w:t>
      </w:r>
      <w:r w:rsidRPr="004F04EC">
        <w:rPr>
          <w:i/>
        </w:rPr>
        <w:t>?</w:t>
      </w:r>
      <w:r>
        <w:rPr>
          <w:i/>
        </w:rPr>
        <w:t xml:space="preserve"> </w:t>
      </w:r>
    </w:p>
    <w:p w:rsidR="004F04EC" w:rsidRDefault="004F04EC" w:rsidP="004F04EC">
      <w:pPr>
        <w:pStyle w:val="Para1"/>
      </w:pPr>
      <w:r>
        <w:t>The respondents concede that</w:t>
      </w:r>
      <w:r w:rsidR="00B70F4E">
        <w:t>,</w:t>
      </w:r>
      <w:r>
        <w:t xml:space="preserve"> when Sergeant Drake took the complaint and when it was investigated by police, a service was being provided to Mr Djime.</w:t>
      </w:r>
      <w:r w:rsidR="00E34ECB">
        <w:rPr>
          <w:rStyle w:val="FootnoteReference"/>
        </w:rPr>
        <w:footnoteReference w:id="81"/>
      </w:r>
      <w:r>
        <w:t xml:space="preserve">  </w:t>
      </w:r>
    </w:p>
    <w:p w:rsidR="00E34ECB" w:rsidRDefault="00E34ECB" w:rsidP="004F04EC">
      <w:pPr>
        <w:pStyle w:val="Para1"/>
      </w:pPr>
      <w:r>
        <w:t xml:space="preserve">The respondents say that Mr Djime has presented no evidence that he was treated unfavourably such that he can demonstrate that he was discriminated against.  As set out earlier, discrimination occurs when a person is treated unfavourably because of an attribute.  While Mr Djime says that initially Sergeant Drake said he was a nonsense or making no sense, he then listened and was nice to Mr Djime on being told about his qualifications. </w:t>
      </w:r>
      <w:r w:rsidR="00A37F11">
        <w:t xml:space="preserve"> The respondents say that Mr Djime does not say Sergeant Drake refused to take the complaint or that he did not progress the complaint – it was given to </w:t>
      </w:r>
      <w:r w:rsidR="00B70F4E">
        <w:t>a police officer</w:t>
      </w:r>
      <w:r w:rsidR="00A37F11">
        <w:t xml:space="preserve"> to investigate.  </w:t>
      </w:r>
    </w:p>
    <w:p w:rsidR="00A37F11" w:rsidRDefault="00A37F11" w:rsidP="004F04EC">
      <w:pPr>
        <w:pStyle w:val="Para1"/>
      </w:pPr>
      <w:r>
        <w:t>As to the allegations of spying and other</w:t>
      </w:r>
      <w:r w:rsidR="00B70F4E">
        <w:t xml:space="preserve"> conduct set out in paragraph </w:t>
      </w:r>
      <w:r w:rsidR="008972C3">
        <w:t>140</w:t>
      </w:r>
      <w:r w:rsidR="00B70F4E">
        <w:t xml:space="preserve"> </w:t>
      </w:r>
      <w:r>
        <w:t xml:space="preserve">above, the respondents say that Mr Djime has produced no evidence of any spying or any of the other conduct described.  Mr Djime gave evidence that he received a letter about the investigation and it would seem that Sergeant Jenks had spoken to Sergeant Kearnes about what happened because he passed on the comment about Mr Djime having been hit because Sergeant Kearnes wanted to finish his day. </w:t>
      </w:r>
    </w:p>
    <w:p w:rsidR="00A37F11" w:rsidRDefault="00A37F11" w:rsidP="004F04EC">
      <w:pPr>
        <w:pStyle w:val="Para1"/>
      </w:pPr>
      <w:r>
        <w:t xml:space="preserve">The respondents say that there is no evidence on which I could conclude there was discrimination or on which I could rely to draw an inference </w:t>
      </w:r>
      <w:r w:rsidR="00CB167F">
        <w:t>of discrimination and so the claim</w:t>
      </w:r>
      <w:r>
        <w:t xml:space="preserve"> ought to be dismissed as lacking in substance.</w:t>
      </w:r>
    </w:p>
    <w:p w:rsidR="00042DC9" w:rsidRDefault="001D550C" w:rsidP="004F04EC">
      <w:pPr>
        <w:pStyle w:val="Para1"/>
      </w:pPr>
      <w:r>
        <w:t xml:space="preserve">As I understand it, Mr Djime asks that an inference be drawn that, when Sergeant Drake said that </w:t>
      </w:r>
      <w:r w:rsidR="005029CF">
        <w:t>he</w:t>
      </w:r>
      <w:r>
        <w:t xml:space="preserve"> was speaking nonsense or </w:t>
      </w:r>
      <w:r w:rsidR="005029CF">
        <w:t xml:space="preserve">was a nonsense or </w:t>
      </w:r>
      <w:r>
        <w:t xml:space="preserve">similar words, that the comment arose because of Mr Djime’s race or physical features.  Although Mr Djime raises broad concerns about systemic racism within Victoria Police, he has </w:t>
      </w:r>
      <w:r w:rsidR="00DB386A">
        <w:t xml:space="preserve">not asserted or provided </w:t>
      </w:r>
      <w:r w:rsidR="00042DC9">
        <w:t xml:space="preserve">direct </w:t>
      </w:r>
      <w:r>
        <w:t xml:space="preserve">evidence to indicate that, assuming the comment was made, Sergeant Drake made it because of his race or physical features.  It could have been that Sergeant Drake thought Mr Djime’s description of events sounded outlandish or was difficult to follow without context.  Sergeant </w:t>
      </w:r>
      <w:r w:rsidR="00240E56">
        <w:t xml:space="preserve">Drake’s </w:t>
      </w:r>
      <w:r>
        <w:t xml:space="preserve">comment that he </w:t>
      </w:r>
      <w:r w:rsidR="00240E56">
        <w:t>r</w:t>
      </w:r>
      <w:r>
        <w:t>ealised Mr Djime did not feel well and that h</w:t>
      </w:r>
      <w:r w:rsidR="005029CF">
        <w:t>e would take him for treatment c</w:t>
      </w:r>
      <w:r>
        <w:t xml:space="preserve">ould support a conclusion that he thought Mr Djime’s </w:t>
      </w:r>
      <w:r w:rsidR="00B70F4E">
        <w:t xml:space="preserve">alleged </w:t>
      </w:r>
      <w:r>
        <w:t xml:space="preserve">injuries were making it difficult for him to explain what had happened.  </w:t>
      </w:r>
      <w:r w:rsidR="00DB386A">
        <w:t>Alternatively, it may be that Mr Djime’s accent was the cause of the comments</w:t>
      </w:r>
      <w:r w:rsidR="00042DC9">
        <w:t xml:space="preserve">.  That could be unfavourable treatment.  </w:t>
      </w:r>
      <w:r w:rsidR="00DB386A">
        <w:t xml:space="preserve">While there </w:t>
      </w:r>
      <w:r>
        <w:t xml:space="preserve">is nothing specific in the evidence Mr Djime gave which points to or </w:t>
      </w:r>
      <w:r w:rsidR="00B70F4E">
        <w:t xml:space="preserve">is </w:t>
      </w:r>
      <w:r>
        <w:t>suggestive of his race or physical features being a matter in Sergeant Drake’s mind</w:t>
      </w:r>
      <w:r w:rsidR="00DB386A">
        <w:t xml:space="preserve">, I have decided to allow </w:t>
      </w:r>
      <w:r w:rsidR="00042DC9">
        <w:t xml:space="preserve">item </w:t>
      </w:r>
      <w:r w:rsidR="00675203">
        <w:t>o</w:t>
      </w:r>
      <w:r w:rsidR="00042DC9">
        <w:t xml:space="preserve"> </w:t>
      </w:r>
      <w:r w:rsidR="00DB386A">
        <w:t xml:space="preserve">to proceed to hearing to give the applicant the opportunity for it to be fully heard.  </w:t>
      </w:r>
    </w:p>
    <w:p w:rsidR="001D550C" w:rsidRDefault="00042DC9" w:rsidP="004F04EC">
      <w:pPr>
        <w:pStyle w:val="Para1"/>
      </w:pPr>
      <w:r>
        <w:t xml:space="preserve">Where there is nothing before me to show that the investigation of the complaint was somehow inadequate or that some step was taken or not taken which might be regarded as </w:t>
      </w:r>
      <w:r w:rsidR="00675203">
        <w:t>unfavourable</w:t>
      </w:r>
      <w:r w:rsidR="00C572CE">
        <w:t>,</w:t>
      </w:r>
      <w:r w:rsidR="00675203">
        <w:t xml:space="preserve"> it is difficult to see any basis for the alleged discrimination claim to proceed.  Other than the comment attributed to Sergeant Kearnes about hitting Mr Djime to finish his day, there is no other evidence about any claimed inadequacies in the investigation.  </w:t>
      </w:r>
      <w:r w:rsidR="00C572CE">
        <w:t>I</w:t>
      </w:r>
      <w:r w:rsidR="00675203">
        <w:t xml:space="preserve">tem </w:t>
      </w:r>
      <w:r w:rsidR="00C572CE">
        <w:t>p</w:t>
      </w:r>
      <w:r w:rsidR="00675203">
        <w:t xml:space="preserve"> will be dismissed.</w:t>
      </w:r>
    </w:p>
    <w:p w:rsidR="0020201E" w:rsidRDefault="0020201E" w:rsidP="004F04EC">
      <w:pPr>
        <w:pStyle w:val="Para1"/>
      </w:pPr>
      <w:r>
        <w:t xml:space="preserve">I will return now to the allegation that the laying of the charges in respect of the Footscray train station events was an act of victimisation in response to the complaint being made to Sergeant Drake (item f above).  </w:t>
      </w:r>
      <w:r w:rsidR="00C8252D">
        <w:t xml:space="preserve">The respondents contend that the evidence before me about the complaint made to Sergeant Drake does not establish that a complaint within section 104(1) of the EO Act was made and so the respondents say that there is no basis for the claim of victimisation to be considered.  They further note that there is </w:t>
      </w:r>
      <w:r>
        <w:t xml:space="preserve">nothing in the evidence to suggest that there was ever any discussion or communication between Sergeant Drake and </w:t>
      </w:r>
      <w:r w:rsidR="005029CF">
        <w:t xml:space="preserve">either of Senior </w:t>
      </w:r>
      <w:r>
        <w:t xml:space="preserve">Constable Wilson or </w:t>
      </w:r>
      <w:r w:rsidR="005029CF">
        <w:t xml:space="preserve">Senior Constable </w:t>
      </w:r>
      <w:r>
        <w:t xml:space="preserve">van der Sluis.  </w:t>
      </w:r>
    </w:p>
    <w:p w:rsidR="008106D8" w:rsidRDefault="001D550C" w:rsidP="004F04EC">
      <w:pPr>
        <w:pStyle w:val="Para1"/>
      </w:pPr>
      <w:r>
        <w:t xml:space="preserve">Having reviewed the evidence given, the statement made </w:t>
      </w:r>
      <w:r w:rsidR="0033195F">
        <w:t xml:space="preserve">by Mr Djime </w:t>
      </w:r>
      <w:r>
        <w:t xml:space="preserve">on 18 September 2013 and the particulars of claim, I am not satisfied that Mr Djime has established that he made a complaint of a breach of the EO Act when he spoke with Sergeant </w:t>
      </w:r>
      <w:r w:rsidR="005F75A6">
        <w:t>Drake</w:t>
      </w:r>
      <w:r>
        <w:t xml:space="preserve">.  </w:t>
      </w:r>
      <w:r w:rsidR="008106D8">
        <w:t>Towards the end of the hearing in response to a clarifying question from me, Mr Djime said he had complained to Sergeant Drake that he had been discriminated against.</w:t>
      </w:r>
      <w:r w:rsidR="008106D8">
        <w:rPr>
          <w:rStyle w:val="FootnoteReference"/>
        </w:rPr>
        <w:footnoteReference w:id="82"/>
      </w:r>
      <w:r w:rsidR="008106D8">
        <w:t xml:space="preserve">  I do not accept that is correct where no such complaint is set out in the particulars of claim or in the statement Mr Djime made </w:t>
      </w:r>
      <w:r w:rsidR="00045342">
        <w:t>at the time he made the complaint</w:t>
      </w:r>
      <w:r w:rsidR="008106D8">
        <w:t>.</w:t>
      </w:r>
    </w:p>
    <w:p w:rsidR="001D550C" w:rsidRDefault="001D550C" w:rsidP="004F04EC">
      <w:pPr>
        <w:pStyle w:val="Para1"/>
      </w:pPr>
      <w:r>
        <w:t xml:space="preserve">Even if </w:t>
      </w:r>
      <w:r w:rsidR="008106D8">
        <w:t xml:space="preserve">Mr Djime </w:t>
      </w:r>
      <w:r>
        <w:t>had</w:t>
      </w:r>
      <w:r w:rsidR="008106D8">
        <w:t xml:space="preserve"> made a complaint within section 104 of the EO Act</w:t>
      </w:r>
      <w:r>
        <w:t>, there is no evidence before me to sh</w:t>
      </w:r>
      <w:r w:rsidR="00D218EF">
        <w:t xml:space="preserve">ow </w:t>
      </w:r>
      <w:r w:rsidR="005F75A6">
        <w:t xml:space="preserve">or suggest </w:t>
      </w:r>
      <w:r w:rsidR="00D218EF">
        <w:t>that there were communicatio</w:t>
      </w:r>
      <w:r>
        <w:t>n</w:t>
      </w:r>
      <w:r w:rsidR="00D218EF">
        <w:t>s</w:t>
      </w:r>
      <w:r>
        <w:t xml:space="preserve"> between Sergeant </w:t>
      </w:r>
      <w:r w:rsidR="005F75A6">
        <w:t xml:space="preserve">Drake </w:t>
      </w:r>
      <w:r>
        <w:t xml:space="preserve">and </w:t>
      </w:r>
      <w:r w:rsidR="005F75A6">
        <w:t xml:space="preserve">Senior </w:t>
      </w:r>
      <w:r w:rsidR="00D218EF">
        <w:t xml:space="preserve">Constable Wilson or </w:t>
      </w:r>
      <w:r w:rsidR="005F75A6">
        <w:t xml:space="preserve">Senior Constable </w:t>
      </w:r>
      <w:r w:rsidR="00D218EF">
        <w:t>van der Sluis ab</w:t>
      </w:r>
      <w:r w:rsidR="0033195F">
        <w:t>o</w:t>
      </w:r>
      <w:r w:rsidR="00D218EF">
        <w:t>ut the complaint</w:t>
      </w:r>
      <w:r w:rsidR="005029CF">
        <w:t xml:space="preserve">.  There is no evidence of </w:t>
      </w:r>
      <w:r w:rsidR="00D218EF">
        <w:t xml:space="preserve">a </w:t>
      </w:r>
      <w:r w:rsidR="005F75A6">
        <w:t xml:space="preserve">consequent </w:t>
      </w:r>
      <w:r w:rsidR="00D218EF">
        <w:t xml:space="preserve">connection </w:t>
      </w:r>
      <w:r w:rsidR="005F75A6">
        <w:t>with</w:t>
      </w:r>
      <w:r w:rsidR="00B70F4E">
        <w:t xml:space="preserve"> </w:t>
      </w:r>
      <w:r w:rsidR="00D218EF">
        <w:t xml:space="preserve">the infringement notices issued </w:t>
      </w:r>
      <w:r w:rsidR="005F75A6">
        <w:t xml:space="preserve">on 15 May 2013 and the charge and summons material being sent to Mr Djime on 20 September 2013 </w:t>
      </w:r>
      <w:r w:rsidR="00D218EF">
        <w:t xml:space="preserve">in respect of the Footscray station incident.  </w:t>
      </w:r>
      <w:r>
        <w:t>While I acknowledge it would be difficult for Mr Djime to produce evidence</w:t>
      </w:r>
      <w:r w:rsidR="00D218EF">
        <w:t xml:space="preserve"> of that kind</w:t>
      </w:r>
      <w:r>
        <w:t xml:space="preserve">, there is nothing </w:t>
      </w:r>
      <w:r w:rsidR="005F75A6">
        <w:t xml:space="preserve">before me </w:t>
      </w:r>
      <w:r>
        <w:t xml:space="preserve">which I could consider relying on to draw </w:t>
      </w:r>
      <w:r w:rsidR="00D218EF">
        <w:t xml:space="preserve">the necessary </w:t>
      </w:r>
      <w:r>
        <w:t xml:space="preserve">inference.  </w:t>
      </w:r>
      <w:r w:rsidR="005F75A6">
        <w:t xml:space="preserve">This is particularly so when it is recalled that the charges were brought because Mr Djime elected to have them heard rather than because of the exercise of some discretion by Senior Constable Wilson or Senior Constable van der Sluis.  </w:t>
      </w:r>
      <w:r>
        <w:t>The claim is lacking in substance.</w:t>
      </w:r>
    </w:p>
    <w:p w:rsidR="002F4E97" w:rsidRDefault="0033195F" w:rsidP="002F4E97">
      <w:pPr>
        <w:pStyle w:val="Para1"/>
      </w:pPr>
      <w:r>
        <w:t xml:space="preserve">In addition, where the charges have been considered by the court, it is not open to the </w:t>
      </w:r>
      <w:r w:rsidR="00844590">
        <w:t>t</w:t>
      </w:r>
      <w:r>
        <w:t>ribunal to consider again the circumstances surrounding them as that would amount to</w:t>
      </w:r>
      <w:r w:rsidR="00B70F4E">
        <w:t>,</w:t>
      </w:r>
      <w:r>
        <w:t xml:space="preserve"> </w:t>
      </w:r>
      <w:r w:rsidR="00B70F4E">
        <w:t xml:space="preserve">amongst other things, </w:t>
      </w:r>
      <w:r>
        <w:t xml:space="preserve">the </w:t>
      </w:r>
      <w:r w:rsidR="00844590">
        <w:t>t</w:t>
      </w:r>
      <w:r w:rsidR="005F75A6">
        <w:t>ribunal revisiting,</w:t>
      </w:r>
      <w:r>
        <w:t xml:space="preserve"> the decision of the court.  </w:t>
      </w:r>
      <w:r w:rsidR="002F4E97">
        <w:t xml:space="preserve">Even though the factual findings required for the criminal charges to be proven and a finding of victimisation to be made out might be different and so strictly issue estoppel would not be established, inconsistency in findings remains a real possibility.  </w:t>
      </w:r>
    </w:p>
    <w:p w:rsidR="002F4E97" w:rsidRDefault="002F4E97" w:rsidP="002F4E97">
      <w:pPr>
        <w:pStyle w:val="Para1"/>
      </w:pPr>
      <w:r>
        <w:t>That is because, in order to consider the victimisation claim, the tribunal would have to determine whether the charges were laid because of the complaint to Sergeant Drake or because there was a foundation for them arising from what Mr Djime said and did.  If that were proved, such a finding would be inconsistent with the fact that one of the charges was proven on the criminal standard, that is, beyond reasonable doubt.  By making the victimisation claim, Mr Djime asks the tribunal to make a finding that the charges were a construct or fabrication as a result of hi</w:t>
      </w:r>
      <w:r w:rsidR="005029CF">
        <w:t>s</w:t>
      </w:r>
      <w:r>
        <w:t xml:space="preserve"> complaint to Sergeant Drake.  Where a court has found one of the charges proven, a finding of that kind by the tribunal would be inconsistent with that already made by the court.  Embarking on a hearing which may result in that end would be an abuse of process as it would undermine the court’s decision.</w:t>
      </w:r>
    </w:p>
    <w:p w:rsidR="0020201E" w:rsidRDefault="0020201E" w:rsidP="0020201E">
      <w:pPr>
        <w:pStyle w:val="Para1"/>
        <w:numPr>
          <w:ilvl w:val="0"/>
          <w:numId w:val="0"/>
        </w:numPr>
      </w:pPr>
      <w:r>
        <w:rPr>
          <w:i/>
        </w:rPr>
        <w:t xml:space="preserve">Decision </w:t>
      </w:r>
    </w:p>
    <w:p w:rsidR="005029CF" w:rsidRDefault="002F4E97" w:rsidP="0020201E">
      <w:pPr>
        <w:pStyle w:val="Para1"/>
      </w:pPr>
      <w:r>
        <w:t>The claim</w:t>
      </w:r>
      <w:r w:rsidR="00D218EF">
        <w:t xml:space="preserve"> described by me in item f </w:t>
      </w:r>
      <w:r>
        <w:t xml:space="preserve">will be dismissed under section 75(1)(a) and (b) of the VCAT Act as it is lacking in substance and an abuse of process.  </w:t>
      </w:r>
    </w:p>
    <w:p w:rsidR="005029CF" w:rsidRDefault="002F4E97" w:rsidP="0020201E">
      <w:pPr>
        <w:pStyle w:val="Para1"/>
      </w:pPr>
      <w:r>
        <w:t xml:space="preserve">The claim described by me in item </w:t>
      </w:r>
      <w:r w:rsidR="00C572CE">
        <w:t>p</w:t>
      </w:r>
      <w:r w:rsidR="00D218EF">
        <w:t xml:space="preserve"> will be dismissed under section 75</w:t>
      </w:r>
      <w:r w:rsidR="00B70F4E">
        <w:t>(1)</w:t>
      </w:r>
      <w:r w:rsidR="00D218EF">
        <w:t xml:space="preserve">(a) of the VCAT Act as </w:t>
      </w:r>
      <w:r w:rsidR="00C9392E">
        <w:t>it</w:t>
      </w:r>
      <w:r>
        <w:t xml:space="preserve"> is </w:t>
      </w:r>
      <w:r w:rsidR="00D218EF">
        <w:t>lacking in substance</w:t>
      </w:r>
      <w:r w:rsidR="00E030B2">
        <w:t xml:space="preserve">.  </w:t>
      </w:r>
    </w:p>
    <w:p w:rsidR="00C8252D" w:rsidRDefault="00C572CE" w:rsidP="0020201E">
      <w:pPr>
        <w:pStyle w:val="Para1"/>
      </w:pPr>
      <w:r>
        <w:t xml:space="preserve">Item </w:t>
      </w:r>
      <w:r w:rsidR="00E030B2">
        <w:t>o will proceed to hearing</w:t>
      </w:r>
      <w:r w:rsidR="00D218EF">
        <w:t xml:space="preserve">.  </w:t>
      </w:r>
    </w:p>
    <w:p w:rsidR="00D218EF" w:rsidRDefault="00D218EF" w:rsidP="0020201E">
      <w:pPr>
        <w:pStyle w:val="Para1"/>
      </w:pPr>
      <w:r>
        <w:t>I will discuss the claim in item n below.</w:t>
      </w:r>
    </w:p>
    <w:p w:rsidR="00150AC0" w:rsidRPr="003C592E" w:rsidRDefault="00150AC0" w:rsidP="0020201E">
      <w:pPr>
        <w:pStyle w:val="Heading3"/>
      </w:pPr>
      <w:r>
        <w:t>The lease dispute – charges</w:t>
      </w:r>
      <w:r w:rsidRPr="00B12AEB">
        <w:rPr>
          <w:rStyle w:val="FootnoteReference"/>
        </w:rPr>
        <w:footnoteReference w:id="83"/>
      </w:r>
    </w:p>
    <w:p w:rsidR="0020201E" w:rsidRPr="0020201E" w:rsidRDefault="0020201E" w:rsidP="0020201E">
      <w:pPr>
        <w:pStyle w:val="Para1"/>
        <w:numPr>
          <w:ilvl w:val="0"/>
          <w:numId w:val="0"/>
        </w:numPr>
        <w:rPr>
          <w:i/>
        </w:rPr>
      </w:pPr>
      <w:r w:rsidRPr="0020201E">
        <w:rPr>
          <w:i/>
        </w:rPr>
        <w:t>Allegations</w:t>
      </w:r>
    </w:p>
    <w:p w:rsidR="00150AC0" w:rsidRDefault="00DE6CE2" w:rsidP="00150AC0">
      <w:pPr>
        <w:pStyle w:val="Para1"/>
      </w:pPr>
      <w:r>
        <w:t>Mr Djime was charged with assaulting Sergeant Kearnes</w:t>
      </w:r>
      <w:r w:rsidR="00656A19">
        <w:t>, assaulting Mr G Besanko and resisting police</w:t>
      </w:r>
      <w:r>
        <w:t xml:space="preserve"> on 18 September 2013 at the Sunshine premises.  A charge sheet and summons dated 20 November 2013, shows that the informant was Constable Matthew Le.</w:t>
      </w:r>
      <w:r>
        <w:rPr>
          <w:rStyle w:val="FootnoteReference"/>
        </w:rPr>
        <w:footnoteReference w:id="84"/>
      </w:r>
      <w:r>
        <w:t xml:space="preserve">  The charge sheet shows that the matter was listed to be heard on 22 January 2014.  </w:t>
      </w:r>
      <w:r w:rsidR="00656A19">
        <w:t>An extract of court orders</w:t>
      </w:r>
      <w:r>
        <w:t xml:space="preserve"> showed that the charges </w:t>
      </w:r>
      <w:r w:rsidR="00656A19">
        <w:t xml:space="preserve">of assaulting Mr G Besanko and resisting police </w:t>
      </w:r>
      <w:r>
        <w:t>were found proven by the Sunshine Magistrates’ Court on 5 March 2015</w:t>
      </w:r>
      <w:r w:rsidR="00656A19">
        <w:t xml:space="preserve"> but the charge of assaulting Sergeant Kearnes was dismissed</w:t>
      </w:r>
      <w:r>
        <w:t xml:space="preserve">.  </w:t>
      </w:r>
      <w:r w:rsidR="00656A19">
        <w:t>I was informed that Mr Djime has appealed the positive findings made.</w:t>
      </w:r>
    </w:p>
    <w:p w:rsidR="00DE6CE2" w:rsidRDefault="00DE6CE2" w:rsidP="00150AC0">
      <w:pPr>
        <w:pStyle w:val="Para1"/>
      </w:pPr>
      <w:r>
        <w:t>Mr Djime complains that</w:t>
      </w:r>
      <w:r w:rsidR="00656A19">
        <w:t>, after the charges were laid,</w:t>
      </w:r>
      <w:r>
        <w:t xml:space="preserve"> Constable Le attended his then home in Footscray numerous times and that Constable Le went into the house, asked his house mates where he was, looked through a window into the house and read </w:t>
      </w:r>
      <w:r w:rsidR="005029CF">
        <w:t xml:space="preserve">his </w:t>
      </w:r>
      <w:r>
        <w:t>mail.</w:t>
      </w:r>
      <w:r w:rsidR="00656A19">
        <w:t xml:space="preserve">  Mr Djime says that the consequence of Constable Le attending his home and making enquiries about him is that he has been forced to move out </w:t>
      </w:r>
      <w:r w:rsidR="00D433AA">
        <w:t xml:space="preserve">because his house mates thought he was a criminal </w:t>
      </w:r>
      <w:r w:rsidR="00656A19">
        <w:t xml:space="preserve">and </w:t>
      </w:r>
      <w:r w:rsidR="00D433AA">
        <w:t>so he beca</w:t>
      </w:r>
      <w:r w:rsidR="00656A19">
        <w:t xml:space="preserve">me homeless.  He says that the charges are fake and, relying on letters about adjournments in the proceedings, </w:t>
      </w:r>
      <w:r w:rsidR="005029CF">
        <w:t xml:space="preserve">says </w:t>
      </w:r>
      <w:r w:rsidR="00656A19">
        <w:t>that Victoria Police ha</w:t>
      </w:r>
      <w:r w:rsidR="00B70F4E">
        <w:t>s</w:t>
      </w:r>
      <w:r w:rsidR="00656A19">
        <w:t xml:space="preserve"> been trying to delay the case because they know it is fake.</w:t>
      </w:r>
    </w:p>
    <w:p w:rsidR="005029CF" w:rsidRDefault="005029CF" w:rsidP="00150AC0">
      <w:pPr>
        <w:pStyle w:val="Para1"/>
      </w:pPr>
      <w:r>
        <w:t>Mr Djime produced copies of letters delivered to his home and copies of cards left by Constable Le showing that he had visited his home.</w:t>
      </w:r>
      <w:r>
        <w:rPr>
          <w:rStyle w:val="FootnoteReference"/>
        </w:rPr>
        <w:footnoteReference w:id="85"/>
      </w:r>
      <w:r>
        <w:t xml:space="preserve">  He also tendered a statutory declaration made by Mr John Tavuti which supports Mr Djime’s claims that Constable Le attended the house a number of times and it includes allegations that Constable Le searched the house without a warrant</w:t>
      </w:r>
      <w:r w:rsidR="00CD7438">
        <w:t>.</w:t>
      </w:r>
      <w:r w:rsidR="00CD7438">
        <w:rPr>
          <w:rStyle w:val="FootnoteReference"/>
        </w:rPr>
        <w:footnoteReference w:id="86"/>
      </w:r>
      <w:r w:rsidR="00CD7438">
        <w:t xml:space="preserve">  Mr Tavuti did not appear at the hearing to give evidence.</w:t>
      </w:r>
    </w:p>
    <w:p w:rsidR="00656A19" w:rsidRDefault="00656A19" w:rsidP="00150AC0">
      <w:pPr>
        <w:pStyle w:val="Para1"/>
      </w:pPr>
      <w:r>
        <w:t xml:space="preserve">Mr Djime makes allegations of collusion between Victoria Police and the Besanko brothers </w:t>
      </w:r>
      <w:r w:rsidR="0001703E">
        <w:t xml:space="preserve">and corruption. </w:t>
      </w:r>
      <w:r w:rsidR="00F660A5">
        <w:t xml:space="preserve"> Those allegations name former C</w:t>
      </w:r>
      <w:r w:rsidR="0001703E">
        <w:t>hief Commissioner Ken Lay and other senior police.  As mentioned earlier, I told Mr Djime that allegations of that kind, for which there was no evidence, would not be considered.</w:t>
      </w:r>
    </w:p>
    <w:p w:rsidR="0001703E" w:rsidRDefault="0001703E" w:rsidP="00150AC0">
      <w:pPr>
        <w:pStyle w:val="Para1"/>
      </w:pPr>
      <w:r>
        <w:t>Mr Djime says that Constable Le perjured himself, has made false accusations as informant, ha</w:t>
      </w:r>
      <w:r w:rsidR="00B70F4E">
        <w:t>s</w:t>
      </w:r>
      <w:r>
        <w:t xml:space="preserve"> invaded his privacy and persecuted him.</w:t>
      </w:r>
      <w:r w:rsidR="00D433AA">
        <w:t xml:space="preserve">  As I understand it, Mr Djime relates these matters to the complaint about Sergeant Kearnes.</w:t>
      </w:r>
      <w:r w:rsidR="00D433AA">
        <w:rPr>
          <w:rStyle w:val="FootnoteReference"/>
        </w:rPr>
        <w:footnoteReference w:id="87"/>
      </w:r>
    </w:p>
    <w:p w:rsidR="00D433AA" w:rsidRDefault="00D433AA" w:rsidP="00150AC0">
      <w:pPr>
        <w:pStyle w:val="Para1"/>
      </w:pPr>
      <w:r>
        <w:t xml:space="preserve">The following allegations arise in respect of the charges arising from the lease dispute: </w:t>
      </w:r>
    </w:p>
    <w:p w:rsidR="00D433AA" w:rsidRDefault="00C572CE" w:rsidP="00D433AA">
      <w:pPr>
        <w:pStyle w:val="Para4"/>
      </w:pPr>
      <w:r>
        <w:t>A claim of victimisation by Constable Le attending Mr Djime’s home and making enquiries about his whereabouts in the context of the lease dispute charges and prosecution</w:t>
      </w:r>
      <w:r w:rsidR="00D433AA">
        <w:t>; and</w:t>
      </w:r>
    </w:p>
    <w:p w:rsidR="00D433AA" w:rsidRDefault="00C572CE" w:rsidP="00D433AA">
      <w:pPr>
        <w:pStyle w:val="Para4"/>
      </w:pPr>
      <w:r>
        <w:t>A claim of discrimination arising from the lease dispute charges and the management of the hearing of those charges including the involvement of Constable Le</w:t>
      </w:r>
      <w:r w:rsidR="00D433AA">
        <w:t>.</w:t>
      </w:r>
    </w:p>
    <w:p w:rsidR="00D218EF" w:rsidRDefault="00DD4A29" w:rsidP="00D218EF">
      <w:pPr>
        <w:pStyle w:val="Para4"/>
        <w:numPr>
          <w:ilvl w:val="0"/>
          <w:numId w:val="0"/>
        </w:numPr>
      </w:pPr>
      <w:r>
        <w:rPr>
          <w:i/>
        </w:rPr>
        <w:br w:type="page"/>
      </w:r>
      <w:r w:rsidR="00D218EF" w:rsidRPr="004F04EC">
        <w:rPr>
          <w:i/>
        </w:rPr>
        <w:t>Service</w:t>
      </w:r>
      <w:r w:rsidR="00D218EF">
        <w:rPr>
          <w:i/>
        </w:rPr>
        <w:t xml:space="preserve"> or lacking in substance</w:t>
      </w:r>
      <w:r w:rsidR="0092461A">
        <w:rPr>
          <w:i/>
        </w:rPr>
        <w:t xml:space="preserve"> or an abuse of process</w:t>
      </w:r>
      <w:r w:rsidR="00D218EF" w:rsidRPr="004F04EC">
        <w:rPr>
          <w:i/>
        </w:rPr>
        <w:t>?</w:t>
      </w:r>
      <w:r w:rsidR="00D218EF">
        <w:rPr>
          <w:i/>
        </w:rPr>
        <w:t xml:space="preserve"> </w:t>
      </w:r>
    </w:p>
    <w:p w:rsidR="00D22556" w:rsidRDefault="00D22556" w:rsidP="00D218EF">
      <w:pPr>
        <w:pStyle w:val="Para1"/>
      </w:pPr>
      <w:r>
        <w:t>The respondents say that, when Constable Le charged Mr Djime with assaulting police, resisting police and common assault he was exercising his statutory functions and duties and no</w:t>
      </w:r>
      <w:r w:rsidR="00F660A5">
        <w:t>t</w:t>
      </w:r>
      <w:r>
        <w:t xml:space="preserve"> providing a service under the EO Act.  Accordingly, </w:t>
      </w:r>
      <w:r w:rsidR="00B70F4E">
        <w:t xml:space="preserve">they say that </w:t>
      </w:r>
      <w:r>
        <w:t>the claim of discrimination cannot proceed.  The same contention is made in respect of Constable Le’s attendances at Mr Djime’s home when he was attempting to serve a summons and communicate with Mr Djime about the hearing of the charges.</w:t>
      </w:r>
    </w:p>
    <w:p w:rsidR="00D22556" w:rsidRDefault="00D22556" w:rsidP="00D218EF">
      <w:pPr>
        <w:pStyle w:val="Para1"/>
      </w:pPr>
      <w:r>
        <w:t>For the same reasons as set out earlier in respect of the charges arising from the Footscray station incident, I am satisfied that</w:t>
      </w:r>
      <w:r w:rsidR="00B70F4E">
        <w:t>,</w:t>
      </w:r>
      <w:r>
        <w:t xml:space="preserve"> when Constable Le and Victoria Police more generally decided to lay the charges and prosecute them and took steps in that process, including</w:t>
      </w:r>
      <w:r w:rsidR="00CD7438">
        <w:t xml:space="preserve"> </w:t>
      </w:r>
      <w:r>
        <w:t xml:space="preserve">the service of </w:t>
      </w:r>
      <w:r w:rsidR="00CD7438">
        <w:t>summons and attempting to contact Mr Djime about the up</w:t>
      </w:r>
      <w:r w:rsidR="00F660A5">
        <w:t>-</w:t>
      </w:r>
      <w:r w:rsidR="00CD7438">
        <w:t xml:space="preserve">coming hearing in person and by telephone, </w:t>
      </w:r>
      <w:r>
        <w:t xml:space="preserve">no service under the EO Act was being provided. </w:t>
      </w:r>
      <w:r w:rsidR="00CD7438">
        <w:t xml:space="preserve"> As a consequence</w:t>
      </w:r>
      <w:r w:rsidR="00F660A5">
        <w:t>,</w:t>
      </w:r>
      <w:r w:rsidR="00CD7438">
        <w:t xml:space="preserve"> the claims regarding searches without a warrant cannot be considered here.</w:t>
      </w:r>
    </w:p>
    <w:p w:rsidR="002D2E88" w:rsidRDefault="0092461A" w:rsidP="00D218EF">
      <w:pPr>
        <w:pStyle w:val="Para1"/>
      </w:pPr>
      <w:r>
        <w:t xml:space="preserve">The respondents also say that, even if the discrimination complaint about the laying of charges could proceed, that would potentially undermine the findings made in the Magistrates’ Court as it would call into question the decision that the relevant charges were proven.  The respondents say that would be an abuse of process.  I am satisfied that is correct.  </w:t>
      </w:r>
    </w:p>
    <w:p w:rsidR="00BC4C75" w:rsidRDefault="00B12AEB" w:rsidP="00D218EF">
      <w:pPr>
        <w:pStyle w:val="Para1"/>
      </w:pPr>
      <w:r>
        <w:t xml:space="preserve">As discussed above in the context of the Footscray station incident, even if issue estoppel does not arise, </w:t>
      </w:r>
      <w:r w:rsidR="0092461A">
        <w:t>inconsisten</w:t>
      </w:r>
      <w:r>
        <w:t xml:space="preserve">t </w:t>
      </w:r>
      <w:r w:rsidR="0092461A">
        <w:t xml:space="preserve">findings </w:t>
      </w:r>
      <w:r>
        <w:t xml:space="preserve">may be made. </w:t>
      </w:r>
    </w:p>
    <w:p w:rsidR="009A6891" w:rsidRDefault="0092461A" w:rsidP="00D218EF">
      <w:pPr>
        <w:pStyle w:val="Para1"/>
      </w:pPr>
      <w:r>
        <w:t xml:space="preserve">The discrimination claim would require </w:t>
      </w:r>
      <w:r w:rsidR="00844590">
        <w:t>the t</w:t>
      </w:r>
      <w:r w:rsidR="009A6891">
        <w:t xml:space="preserve">ribunal </w:t>
      </w:r>
      <w:r>
        <w:t xml:space="preserve">to </w:t>
      </w:r>
      <w:r w:rsidR="009A6891">
        <w:t xml:space="preserve">consider whether a substantial reason for the charges being laid and pursued was not because of the manner in which Mr Djime had behaved, but because of his race or physical features.  </w:t>
      </w:r>
      <w:r>
        <w:t xml:space="preserve">If that were proved, </w:t>
      </w:r>
      <w:r w:rsidR="002D2E88">
        <w:t xml:space="preserve">such </w:t>
      </w:r>
      <w:r>
        <w:t xml:space="preserve">a finding would be inconsistent with the fact that at least two of the three charges were proven on the criminal standard, </w:t>
      </w:r>
      <w:r w:rsidR="002D2E88">
        <w:t xml:space="preserve">that is, </w:t>
      </w:r>
      <w:r>
        <w:t xml:space="preserve">beyond reasonable doubt.  </w:t>
      </w:r>
      <w:r w:rsidR="00B403AA">
        <w:t xml:space="preserve">By making the discrimination claim, Mr Djime asks the </w:t>
      </w:r>
      <w:r w:rsidR="00844590">
        <w:t>t</w:t>
      </w:r>
      <w:r w:rsidR="00BC4C75">
        <w:t>ribunal to make a finding that the charges were a construct</w:t>
      </w:r>
      <w:r w:rsidR="00B403AA">
        <w:t xml:space="preserve"> or fabrication</w:t>
      </w:r>
      <w:r w:rsidR="00BC4C75">
        <w:t xml:space="preserve"> as a result of discrimination </w:t>
      </w:r>
      <w:r w:rsidR="00B403AA">
        <w:t xml:space="preserve">on the basis of his race or physical features </w:t>
      </w:r>
      <w:r w:rsidR="00BC4C75">
        <w:t xml:space="preserve">and so unjustifiable.  </w:t>
      </w:r>
      <w:r w:rsidR="00B12AEB">
        <w:t>As discussed earlier, e</w:t>
      </w:r>
      <w:r w:rsidR="00BC4C75">
        <w:t>mbarking on a hearing which may result in that</w:t>
      </w:r>
      <w:r w:rsidR="00B403AA">
        <w:t xml:space="preserve"> end would be an abuse of process as it would </w:t>
      </w:r>
      <w:r w:rsidR="002D2E88">
        <w:t>undermine the court’s decision</w:t>
      </w:r>
      <w:r w:rsidR="00B403AA">
        <w:t xml:space="preserve">. </w:t>
      </w:r>
    </w:p>
    <w:p w:rsidR="001165D4" w:rsidRDefault="001165D4" w:rsidP="00D218EF">
      <w:pPr>
        <w:pStyle w:val="Para1"/>
      </w:pPr>
      <w:r>
        <w:t>In order for Mr Djime to claim Constable Le was victimising him when he attended his home and tried to make contact with him, it is necessary to identify a complaint made under section 104(1) of the EO Act.  For the same reasons as set out above, I am not satisfied that, when Mr Djime made a complaint about the conduct of Sergeant Kearnes to Sergeant Drake, he made a complaint which falls within that provision.  Further, even if he did, there is no evidence which could support a finding or the drawing of an inference that the complaint was communicated to Constable Le and was the cause of the charges being laid.</w:t>
      </w:r>
      <w:r w:rsidR="00D22556">
        <w:t xml:space="preserve">  I note that in his statement made on 18 September 2013, </w:t>
      </w:r>
      <w:r w:rsidR="0033195F">
        <w:t xml:space="preserve">Mr Djime </w:t>
      </w:r>
      <w:r w:rsidR="00D22556">
        <w:t>says that he was told he was being arrested for assaulting police and so it cannot be said that the charge was later invented</w:t>
      </w:r>
      <w:r w:rsidR="0033195F">
        <w:t xml:space="preserve"> in response to the complaint</w:t>
      </w:r>
      <w:r w:rsidR="00D22556">
        <w:t xml:space="preserve">. </w:t>
      </w:r>
    </w:p>
    <w:p w:rsidR="00D218EF" w:rsidRDefault="00D0609A" w:rsidP="00D218EF">
      <w:pPr>
        <w:pStyle w:val="Para1"/>
      </w:pPr>
      <w:r>
        <w:t>As discussed above</w:t>
      </w:r>
      <w:r w:rsidR="002D2E88">
        <w:t xml:space="preserve"> in the context of the discrimination claim</w:t>
      </w:r>
      <w:r>
        <w:t xml:space="preserve">, where charges </w:t>
      </w:r>
      <w:r w:rsidR="002D2E88">
        <w:t xml:space="preserve">have been </w:t>
      </w:r>
      <w:r>
        <w:t xml:space="preserve">found proven and, as I understand it, </w:t>
      </w:r>
      <w:r w:rsidR="002D2E88">
        <w:t xml:space="preserve">one arising from the lease dispute </w:t>
      </w:r>
      <w:r w:rsidR="0055782C">
        <w:t xml:space="preserve">is </w:t>
      </w:r>
      <w:r w:rsidR="002D2E88">
        <w:t xml:space="preserve">still before the </w:t>
      </w:r>
      <w:r>
        <w:t xml:space="preserve">courts, it would be an abuse of process for this </w:t>
      </w:r>
      <w:r w:rsidR="00844590">
        <w:t>t</w:t>
      </w:r>
      <w:r>
        <w:t>ribunal to look behind the police decision making and processes to determine whether those actions amount to victimisation under the EO Act</w:t>
      </w:r>
      <w:r w:rsidR="00CD7438">
        <w:t xml:space="preserve"> (item n)</w:t>
      </w:r>
      <w:r>
        <w:t>.</w:t>
      </w:r>
    </w:p>
    <w:p w:rsidR="00D0609A" w:rsidRDefault="00D0609A" w:rsidP="00D0609A">
      <w:pPr>
        <w:pStyle w:val="Para1"/>
        <w:numPr>
          <w:ilvl w:val="0"/>
          <w:numId w:val="0"/>
        </w:numPr>
      </w:pPr>
      <w:r>
        <w:rPr>
          <w:i/>
        </w:rPr>
        <w:t xml:space="preserve">Decision </w:t>
      </w:r>
    </w:p>
    <w:p w:rsidR="00CD7438" w:rsidRDefault="00B12AEB" w:rsidP="00D0609A">
      <w:pPr>
        <w:pStyle w:val="Para1"/>
      </w:pPr>
      <w:r>
        <w:t>The claim described by me in item</w:t>
      </w:r>
      <w:r w:rsidR="00D0609A">
        <w:t xml:space="preserve"> n</w:t>
      </w:r>
      <w:r>
        <w:t xml:space="preserve"> will be dismissed under sections 75(1)(a) and (b) of the VCAT Act as it is lacking in substance and an abuse of process.  </w:t>
      </w:r>
    </w:p>
    <w:p w:rsidR="00CD7438" w:rsidRDefault="00B12AEB" w:rsidP="00D0609A">
      <w:pPr>
        <w:pStyle w:val="Para1"/>
      </w:pPr>
      <w:r>
        <w:t>The claim</w:t>
      </w:r>
      <w:r w:rsidR="0055782C">
        <w:t xml:space="preserve"> </w:t>
      </w:r>
      <w:r>
        <w:t>described by me in item</w:t>
      </w:r>
      <w:r w:rsidR="004779FE">
        <w:t xml:space="preserve"> </w:t>
      </w:r>
      <w:r w:rsidR="0055782C">
        <w:t xml:space="preserve">q </w:t>
      </w:r>
      <w:r w:rsidR="00D0609A">
        <w:t>will be dismissed under section</w:t>
      </w:r>
      <w:r w:rsidR="0055782C">
        <w:t>s</w:t>
      </w:r>
      <w:r w:rsidR="00D0609A">
        <w:t xml:space="preserve"> 75</w:t>
      </w:r>
      <w:r w:rsidR="00B70F4E">
        <w:t>(1)</w:t>
      </w:r>
      <w:r w:rsidR="00D0609A">
        <w:t xml:space="preserve">(a) </w:t>
      </w:r>
      <w:r w:rsidR="0055782C">
        <w:t xml:space="preserve">and (b) </w:t>
      </w:r>
      <w:r w:rsidR="00D0609A">
        <w:t xml:space="preserve">of the VCAT Act as </w:t>
      </w:r>
      <w:r w:rsidR="004779FE">
        <w:t xml:space="preserve">it is </w:t>
      </w:r>
      <w:r w:rsidR="00D0609A">
        <w:t>lacking in substance</w:t>
      </w:r>
      <w:r w:rsidR="0055782C">
        <w:t xml:space="preserve"> and an abuse of process.</w:t>
      </w:r>
      <w:r w:rsidR="00D0609A">
        <w:t xml:space="preserve">  </w:t>
      </w:r>
    </w:p>
    <w:p w:rsidR="00D0609A" w:rsidRDefault="0055782C" w:rsidP="00D0609A">
      <w:pPr>
        <w:pStyle w:val="Para1"/>
      </w:pPr>
      <w:r>
        <w:t xml:space="preserve">The claim described by me in item r will be dismissed under sections 75(1)(a) and (b) of the VCAT Act as </w:t>
      </w:r>
      <w:r w:rsidR="004779FE">
        <w:t xml:space="preserve">it is misconceived as the tribunal has no power to consider it </w:t>
      </w:r>
      <w:r w:rsidR="00CD7438">
        <w:t xml:space="preserve">under the EO Act </w:t>
      </w:r>
      <w:r w:rsidR="004779FE">
        <w:t xml:space="preserve">and it is also </w:t>
      </w:r>
      <w:r w:rsidR="00DC180A">
        <w:t>an abuse of process.</w:t>
      </w:r>
      <w:r>
        <w:t xml:space="preserve">  </w:t>
      </w:r>
    </w:p>
    <w:p w:rsidR="00D0609A" w:rsidRDefault="00D0609A" w:rsidP="00D0609A">
      <w:pPr>
        <w:pStyle w:val="Heading3"/>
      </w:pPr>
      <w:r>
        <w:t xml:space="preserve">General complaints of systemic racism </w:t>
      </w:r>
    </w:p>
    <w:p w:rsidR="0025306E" w:rsidRDefault="00D0609A" w:rsidP="00D0609A">
      <w:pPr>
        <w:pStyle w:val="Para1"/>
      </w:pPr>
      <w:r>
        <w:t xml:space="preserve">As noted earlier, Mr Djime made a number of complaints about systemic racial discrimination against people from </w:t>
      </w:r>
      <w:smartTag w:uri="urn:schemas-microsoft-com:office:smarttags" w:element="place">
        <w:r>
          <w:t>Africa</w:t>
        </w:r>
      </w:smartTag>
      <w:r>
        <w:t xml:space="preserve">.  </w:t>
      </w:r>
      <w:r w:rsidR="007321E4">
        <w:t xml:space="preserve">He made similar comments regarding racial vilification. </w:t>
      </w:r>
      <w:r>
        <w:t xml:space="preserve">He filed with the </w:t>
      </w:r>
      <w:r w:rsidR="00844590">
        <w:t>t</w:t>
      </w:r>
      <w:r>
        <w:t xml:space="preserve">ribunal a copy of particulars in a proceeding in the Federal Court of Australia which concerned claims of racial profiling by Victoria Police against young men in the Kensington area of </w:t>
      </w:r>
      <w:smartTag w:uri="urn:schemas-microsoft-com:office:smarttags" w:element="City">
        <w:smartTag w:uri="urn:schemas-microsoft-com:office:smarttags" w:element="place">
          <w:r>
            <w:t>Melbourne</w:t>
          </w:r>
        </w:smartTag>
      </w:smartTag>
      <w:r>
        <w:t>.</w:t>
      </w:r>
      <w:r w:rsidR="0025306E">
        <w:rPr>
          <w:rStyle w:val="FootnoteReference"/>
        </w:rPr>
        <w:footnoteReference w:id="88"/>
      </w:r>
      <w:r>
        <w:t xml:space="preserve">  </w:t>
      </w:r>
      <w:r w:rsidR="0025306E">
        <w:t>Mr Djime filed a copy of a commission report into the experiences of Australian-Sudanese young people.</w:t>
      </w:r>
      <w:r w:rsidR="0025306E">
        <w:rPr>
          <w:rStyle w:val="FootnoteReference"/>
        </w:rPr>
        <w:footnoteReference w:id="89"/>
      </w:r>
      <w:r w:rsidR="0025306E">
        <w:t xml:space="preserve">  </w:t>
      </w:r>
    </w:p>
    <w:p w:rsidR="00D0609A" w:rsidRDefault="0025306E" w:rsidP="00D0609A">
      <w:pPr>
        <w:pStyle w:val="Para1"/>
      </w:pPr>
      <w:r>
        <w:t xml:space="preserve">Mr Djime </w:t>
      </w:r>
      <w:r w:rsidR="00D0609A">
        <w:t>also relied on the events described above and a series of individual incidents which I understand he says demonstrates that systemic racism.</w:t>
      </w:r>
    </w:p>
    <w:p w:rsidR="00D0609A" w:rsidRDefault="00D0609A" w:rsidP="00D0609A">
      <w:pPr>
        <w:pStyle w:val="Para1"/>
      </w:pPr>
      <w:r>
        <w:t>I understand collectively these events</w:t>
      </w:r>
      <w:r w:rsidR="0025306E">
        <w:t xml:space="preserve"> which involve Mr Djime</w:t>
      </w:r>
      <w:r>
        <w:t xml:space="preserve"> give rise to:</w:t>
      </w:r>
    </w:p>
    <w:p w:rsidR="00D0609A" w:rsidRDefault="00C572CE" w:rsidP="00D0609A">
      <w:pPr>
        <w:pStyle w:val="Para4"/>
      </w:pPr>
      <w:r>
        <w:t>A claim of discrimination arising from all of the matters raised by Mr Djime in this proceeding in respect of Victoria Police’s dealings with him</w:t>
      </w:r>
      <w:r w:rsidR="00D0609A">
        <w:t>.</w:t>
      </w:r>
    </w:p>
    <w:p w:rsidR="00D0609A" w:rsidRDefault="00D0609A" w:rsidP="00D0609A">
      <w:pPr>
        <w:pStyle w:val="Para1"/>
      </w:pPr>
      <w:r>
        <w:t>I will first address the individual incidents and then return to this general allegation.</w:t>
      </w:r>
    </w:p>
    <w:p w:rsidR="00D433AA" w:rsidRPr="00D433AA" w:rsidRDefault="00D433AA" w:rsidP="00D433AA">
      <w:pPr>
        <w:pStyle w:val="Para1"/>
        <w:numPr>
          <w:ilvl w:val="0"/>
          <w:numId w:val="0"/>
        </w:numPr>
        <w:rPr>
          <w:u w:val="single"/>
        </w:rPr>
      </w:pPr>
      <w:smartTag w:uri="urn:schemas-microsoft-com:office:smarttags" w:element="City">
        <w:smartTag w:uri="urn:schemas-microsoft-com:office:smarttags" w:element="place">
          <w:r w:rsidRPr="00D433AA">
            <w:rPr>
              <w:u w:val="single"/>
            </w:rPr>
            <w:t>Timbuktu</w:t>
          </w:r>
        </w:smartTag>
      </w:smartTag>
      <w:r w:rsidRPr="00D433AA">
        <w:rPr>
          <w:u w:val="single"/>
        </w:rPr>
        <w:t xml:space="preserve"> store in 2008</w:t>
      </w:r>
      <w:r w:rsidR="005E0119" w:rsidRPr="00DC180A">
        <w:rPr>
          <w:rStyle w:val="FootnoteReference"/>
        </w:rPr>
        <w:footnoteReference w:id="90"/>
      </w:r>
    </w:p>
    <w:p w:rsidR="005633E9" w:rsidRPr="005633E9" w:rsidRDefault="005633E9" w:rsidP="005633E9">
      <w:pPr>
        <w:pStyle w:val="Para1"/>
        <w:numPr>
          <w:ilvl w:val="0"/>
          <w:numId w:val="0"/>
        </w:numPr>
        <w:rPr>
          <w:i/>
        </w:rPr>
      </w:pPr>
      <w:r>
        <w:rPr>
          <w:i/>
        </w:rPr>
        <w:t>Allegation</w:t>
      </w:r>
    </w:p>
    <w:p w:rsidR="005E0119" w:rsidRDefault="00D433AA" w:rsidP="00D433AA">
      <w:pPr>
        <w:pStyle w:val="Para1"/>
      </w:pPr>
      <w:r>
        <w:t xml:space="preserve">Mr Djime operated a convenience store in </w:t>
      </w:r>
      <w:smartTag w:uri="urn:schemas-microsoft-com:office:smarttags" w:element="address">
        <w:smartTag w:uri="urn:schemas-microsoft-com:office:smarttags" w:element="Street">
          <w:r>
            <w:t>Smith Street</w:t>
          </w:r>
        </w:smartTag>
      </w:smartTag>
      <w:r w:rsidR="003A0987">
        <w:t>, Collingwood in 2008.  He complain</w:t>
      </w:r>
      <w:r>
        <w:t>s that there were unlawful searches and weekly inspections by police.  He said that they were probably in</w:t>
      </w:r>
      <w:r w:rsidR="005E0119">
        <w:t>stigated by a neighbouring shop.  He was asked by a police officer whether he was</w:t>
      </w:r>
      <w:r>
        <w:t xml:space="preserve"> selling drugs</w:t>
      </w:r>
      <w:r w:rsidR="005E0119">
        <w:t xml:space="preserve"> in order to be able to afford to pay the rent</w:t>
      </w:r>
      <w:r>
        <w:t>.</w:t>
      </w:r>
      <w:r w:rsidR="00A738CD">
        <w:t xml:space="preserve">  In evidence</w:t>
      </w:r>
      <w:r w:rsidR="005E0119">
        <w:t>,</w:t>
      </w:r>
      <w:r w:rsidR="00A738CD">
        <w:t xml:space="preserve"> Mr Djime said he was harassed and that the police came without a warrant.</w:t>
      </w:r>
      <w:r w:rsidR="005E0119">
        <w:t xml:space="preserve"> </w:t>
      </w:r>
      <w:r w:rsidR="00B61A55">
        <w:t xml:space="preserve">Mr Djime says that his landlady got annoyed with him and his business was ruined.  </w:t>
      </w:r>
      <w:r w:rsidR="005E0119">
        <w:t>These events appear to suggest:</w:t>
      </w:r>
    </w:p>
    <w:p w:rsidR="005E0119" w:rsidRDefault="00C572CE" w:rsidP="005E0119">
      <w:pPr>
        <w:pStyle w:val="Para4"/>
      </w:pPr>
      <w:r>
        <w:t>A claim of discrimination arising from police officers searching Mr Djime’s Collingwood store in 2008</w:t>
      </w:r>
      <w:r w:rsidR="005E0119">
        <w:t>.</w:t>
      </w:r>
    </w:p>
    <w:p w:rsidR="005633E9" w:rsidRDefault="005633E9" w:rsidP="005633E9">
      <w:pPr>
        <w:pStyle w:val="Para4"/>
        <w:numPr>
          <w:ilvl w:val="0"/>
          <w:numId w:val="0"/>
        </w:numPr>
      </w:pPr>
      <w:r>
        <w:rPr>
          <w:i/>
        </w:rPr>
        <w:t xml:space="preserve">Decision </w:t>
      </w:r>
    </w:p>
    <w:p w:rsidR="005633E9" w:rsidRPr="005633E9" w:rsidRDefault="00B3158C" w:rsidP="005633E9">
      <w:pPr>
        <w:pStyle w:val="Para1"/>
      </w:pPr>
      <w:r>
        <w:t>This claim will be dismissed for t</w:t>
      </w:r>
      <w:r w:rsidR="001562AC">
        <w:t xml:space="preserve">hree </w:t>
      </w:r>
      <w:r>
        <w:t xml:space="preserve">reasons.  Firstly, </w:t>
      </w:r>
      <w:r w:rsidR="001562AC">
        <w:t>if the police were undertaking searches</w:t>
      </w:r>
      <w:r w:rsidR="00D42C96">
        <w:t>,</w:t>
      </w:r>
      <w:r w:rsidR="00CD7438">
        <w:t xml:space="preserve"> whether or not </w:t>
      </w:r>
      <w:r w:rsidR="001562AC">
        <w:t xml:space="preserve">under the power of a search warrant, it is more probable than not that they were doing so in the course of investigating a possible offence and so no service was being provided under the EO Act.  Second, </w:t>
      </w:r>
      <w:r w:rsidR="003A0987">
        <w:t>the</w:t>
      </w:r>
      <w:r w:rsidR="001562AC">
        <w:t xml:space="preserve">re is no </w:t>
      </w:r>
      <w:r w:rsidR="003A0987">
        <w:t xml:space="preserve">factual basis </w:t>
      </w:r>
      <w:r w:rsidR="001562AC">
        <w:t xml:space="preserve">before me </w:t>
      </w:r>
      <w:r w:rsidR="003A0987">
        <w:t>to conclude that the search</w:t>
      </w:r>
      <w:r w:rsidR="00CD7438">
        <w:t>es</w:t>
      </w:r>
      <w:r w:rsidR="003A0987">
        <w:t xml:space="preserve"> mentioned or other conduct of police officers occurred because of Mr Djime’s race or physical features, as opposed to reason</w:t>
      </w:r>
      <w:r>
        <w:t xml:space="preserve">s associated with law enforcement.  </w:t>
      </w:r>
      <w:r w:rsidR="001562AC">
        <w:t>Third</w:t>
      </w:r>
      <w:r w:rsidR="00DC180A">
        <w:t xml:space="preserve">, it is now around seven </w:t>
      </w:r>
      <w:r>
        <w:t xml:space="preserve">years since the events complained of occurred.  The delay in raising these matters and the likely absence of any useful evidence about them, mean that the pursuit of the claim is unwarranted.  The claim is </w:t>
      </w:r>
      <w:r w:rsidR="00CD7438">
        <w:t xml:space="preserve">misconceived and is </w:t>
      </w:r>
      <w:r>
        <w:t xml:space="preserve">lacking in substance and will be dismissed under section 75(1)(a) of the VCAT Act. </w:t>
      </w:r>
    </w:p>
    <w:p w:rsidR="005E0119" w:rsidRDefault="005E0119" w:rsidP="005E0119">
      <w:pPr>
        <w:pStyle w:val="Para4"/>
        <w:numPr>
          <w:ilvl w:val="0"/>
          <w:numId w:val="0"/>
        </w:numPr>
        <w:rPr>
          <w:u w:val="single"/>
        </w:rPr>
      </w:pPr>
      <w:r>
        <w:rPr>
          <w:u w:val="single"/>
        </w:rPr>
        <w:t>Sergeant de Schwartz</w:t>
      </w:r>
      <w:r w:rsidRPr="00DC180A">
        <w:rPr>
          <w:rStyle w:val="FootnoteReference"/>
        </w:rPr>
        <w:footnoteReference w:id="91"/>
      </w:r>
    </w:p>
    <w:p w:rsidR="005633E9" w:rsidRPr="005633E9" w:rsidRDefault="005633E9" w:rsidP="005633E9">
      <w:pPr>
        <w:pStyle w:val="Para1"/>
        <w:numPr>
          <w:ilvl w:val="0"/>
          <w:numId w:val="0"/>
        </w:numPr>
        <w:rPr>
          <w:i/>
        </w:rPr>
      </w:pPr>
      <w:r>
        <w:rPr>
          <w:i/>
        </w:rPr>
        <w:t xml:space="preserve">Allegation </w:t>
      </w:r>
    </w:p>
    <w:p w:rsidR="005E0119" w:rsidRDefault="00B61A55" w:rsidP="005E0119">
      <w:pPr>
        <w:pStyle w:val="Para1"/>
      </w:pPr>
      <w:r>
        <w:t xml:space="preserve">Mr Djime made a complaint to Sergeant de Schwartz about theft from his store in March 2009.  He said he saw a white girl and her boyfriend stealing cigarettes and called in the police.  He complains that Sergeant de Schwartz took the side of the two white people.  When Mr Djime asked for them to be required to pay, he says Sergeant de </w:t>
      </w:r>
      <w:r w:rsidR="00E53B11">
        <w:t>Schwartz</w:t>
      </w:r>
      <w:r>
        <w:t xml:space="preserve"> said he was trying to </w:t>
      </w:r>
      <w:r>
        <w:rPr>
          <w:i/>
        </w:rPr>
        <w:t xml:space="preserve">‘rip off’ </w:t>
      </w:r>
      <w:r>
        <w:t xml:space="preserve">the two whites.  </w:t>
      </w:r>
    </w:p>
    <w:p w:rsidR="00B61A55" w:rsidRDefault="00C572CE" w:rsidP="00B61A55">
      <w:pPr>
        <w:pStyle w:val="Para4"/>
      </w:pPr>
      <w:r>
        <w:t xml:space="preserve">A claim of discrimination in respect of Mr Djime’s treatment as compared to that of two white customers in his Collinwood store in or around </w:t>
      </w:r>
      <w:r w:rsidR="00C9392E">
        <w:t>March 2009</w:t>
      </w:r>
      <w:r w:rsidR="0003504E">
        <w:t>.</w:t>
      </w:r>
    </w:p>
    <w:p w:rsidR="005633E9" w:rsidRPr="005633E9" w:rsidRDefault="005633E9" w:rsidP="005633E9">
      <w:pPr>
        <w:pStyle w:val="Para4"/>
        <w:numPr>
          <w:ilvl w:val="0"/>
          <w:numId w:val="0"/>
        </w:numPr>
        <w:rPr>
          <w:i/>
        </w:rPr>
      </w:pPr>
      <w:r w:rsidRPr="005633E9">
        <w:rPr>
          <w:i/>
        </w:rPr>
        <w:t>Decision</w:t>
      </w:r>
    </w:p>
    <w:p w:rsidR="005633E9" w:rsidRDefault="00B3158C" w:rsidP="005633E9">
      <w:pPr>
        <w:pStyle w:val="Para1"/>
      </w:pPr>
      <w:r>
        <w:t>For the same reasons</w:t>
      </w:r>
      <w:r w:rsidR="00844590">
        <w:t xml:space="preserve"> as set out in respect of item t</w:t>
      </w:r>
      <w:r>
        <w:t>, this claim will be dismissed due to the absence of evidence setting out a factual basis for it and the length of time which has elapsed since the events occurred.</w:t>
      </w:r>
      <w:r w:rsidR="00CD7438">
        <w:t xml:space="preserve">  It is lacking in substance and will be dismissed under section 75(1)(a) of the VCAT Act.</w:t>
      </w:r>
    </w:p>
    <w:p w:rsidR="005633E9" w:rsidRDefault="00B61A55" w:rsidP="00B61A55">
      <w:pPr>
        <w:pStyle w:val="Para1"/>
        <w:numPr>
          <w:ilvl w:val="0"/>
          <w:numId w:val="0"/>
        </w:numPr>
        <w:rPr>
          <w:u w:val="single"/>
        </w:rPr>
      </w:pPr>
      <w:r>
        <w:rPr>
          <w:u w:val="single"/>
        </w:rPr>
        <w:t>Sergeant Lappin</w:t>
      </w:r>
      <w:r w:rsidR="00507600" w:rsidRPr="00DC180A">
        <w:rPr>
          <w:rStyle w:val="FootnoteReference"/>
        </w:rPr>
        <w:footnoteReference w:id="92"/>
      </w:r>
    </w:p>
    <w:p w:rsidR="005633E9" w:rsidRPr="005633E9" w:rsidRDefault="005633E9" w:rsidP="00B61A55">
      <w:pPr>
        <w:pStyle w:val="Para1"/>
        <w:numPr>
          <w:ilvl w:val="0"/>
          <w:numId w:val="0"/>
        </w:numPr>
        <w:rPr>
          <w:i/>
        </w:rPr>
      </w:pPr>
      <w:r w:rsidRPr="005633E9">
        <w:rPr>
          <w:i/>
        </w:rPr>
        <w:t>Allegation</w:t>
      </w:r>
    </w:p>
    <w:p w:rsidR="00507600" w:rsidRDefault="00B61A55" w:rsidP="00B61A55">
      <w:pPr>
        <w:pStyle w:val="Para1"/>
      </w:pPr>
      <w:r>
        <w:t>Mr Djime set up a film company ca</w:t>
      </w:r>
      <w:r w:rsidR="00496252">
        <w:t xml:space="preserve">lled Timbuktu Pictures.  He made </w:t>
      </w:r>
      <w:r>
        <w:t xml:space="preserve">enquiries with the City of </w:t>
      </w:r>
      <w:smartTag w:uri="urn:schemas-microsoft-com:office:smarttags" w:element="City">
        <w:smartTag w:uri="urn:schemas-microsoft-com:office:smarttags" w:element="place">
          <w:r>
            <w:t>Melbourne</w:t>
          </w:r>
        </w:smartTag>
      </w:smartTag>
      <w:r>
        <w:t xml:space="preserve"> about permits for filming.  He says he was informed that he did not need a permit as his activities were low impact, consisting of solo dancing, distributing flyers to the public and sometimes interviewing members of the public about their knowledge of </w:t>
      </w:r>
      <w:r w:rsidR="00507600">
        <w:t xml:space="preserve">art and music including blues and jazz.  These matters are of interest to Mr Djime as they come from his home country, </w:t>
      </w:r>
      <w:smartTag w:uri="urn:schemas-microsoft-com:office:smarttags" w:element="country-region">
        <w:smartTag w:uri="urn:schemas-microsoft-com:office:smarttags" w:element="place">
          <w:r w:rsidR="00507600">
            <w:t>Mali</w:t>
          </w:r>
        </w:smartTag>
      </w:smartTag>
      <w:r w:rsidR="00507600">
        <w:t>.</w:t>
      </w:r>
    </w:p>
    <w:p w:rsidR="00B61A55" w:rsidRDefault="004D3BFA" w:rsidP="00B61A55">
      <w:pPr>
        <w:pStyle w:val="Para1"/>
      </w:pPr>
      <w:r>
        <w:t xml:space="preserve">Mr Djime complains that, on an unknown date, </w:t>
      </w:r>
      <w:r w:rsidR="00507600">
        <w:t xml:space="preserve">he </w:t>
      </w:r>
      <w:r w:rsidR="00B61A55">
        <w:t xml:space="preserve">was </w:t>
      </w:r>
      <w:r w:rsidR="00FE1961">
        <w:t xml:space="preserve">being filmed </w:t>
      </w:r>
      <w:r w:rsidR="00B61A55">
        <w:t xml:space="preserve">dancing in </w:t>
      </w:r>
      <w:r w:rsidR="00507600">
        <w:t xml:space="preserve">Collins Street and that two police officers, including Sergeant Lappin approached him.  They told him to turn his music down even though it was already low.  They told him to stop dancing even though he explained he had permission to undertake the activity.  Mr Djime says that there were white young men dancing nearby and they were not told to turn their music down or stop.  </w:t>
      </w:r>
      <w:r w:rsidR="00FE1961">
        <w:t xml:space="preserve">Mr Djime said that group of young men did not have permission to busk and were collecting money from </w:t>
      </w:r>
      <w:r w:rsidR="00075CAA">
        <w:t>pedestrians</w:t>
      </w:r>
      <w:r w:rsidR="00FE1961">
        <w:t xml:space="preserve">.  He said that the police officers did nothing about what those men were doing, apparently because they were white. </w:t>
      </w:r>
    </w:p>
    <w:p w:rsidR="00FE1961" w:rsidRDefault="00507600" w:rsidP="00B61A55">
      <w:pPr>
        <w:pStyle w:val="Para1"/>
      </w:pPr>
      <w:r>
        <w:t xml:space="preserve">Mr Djime </w:t>
      </w:r>
      <w:r w:rsidR="00FE1961">
        <w:t xml:space="preserve">says that he </w:t>
      </w:r>
      <w:r>
        <w:t>had to stop filming.  He said that the police had interfered with his human rights including his freedom of expression.</w:t>
      </w:r>
      <w:r w:rsidR="008E4B2E">
        <w:t xml:space="preserve">  He also said that, by being humiliated in public and in front of the other dancers, he was racially vilified.</w:t>
      </w:r>
      <w:r w:rsidR="00FE1961">
        <w:t xml:space="preserve">  He said that the police officers would not listen to him.</w:t>
      </w:r>
    </w:p>
    <w:p w:rsidR="00507600" w:rsidRDefault="00FE1961" w:rsidP="00B61A55">
      <w:pPr>
        <w:pStyle w:val="Para1"/>
      </w:pPr>
      <w:r>
        <w:t xml:space="preserve">In his evidence, Mr Djime said that, because the police stopped him dancing, members of the public </w:t>
      </w:r>
      <w:r w:rsidR="00097A56">
        <w:rPr>
          <w:i/>
        </w:rPr>
        <w:t>‘know the feeling of the police’</w:t>
      </w:r>
      <w:r w:rsidR="00097A56">
        <w:t>.</w:t>
      </w:r>
      <w:r w:rsidR="00097A56">
        <w:rPr>
          <w:rStyle w:val="FootnoteReference"/>
        </w:rPr>
        <w:footnoteReference w:id="93"/>
      </w:r>
      <w:r>
        <w:t xml:space="preserve">  </w:t>
      </w:r>
      <w:r w:rsidR="00344A9A">
        <w:t>He also said that the police officers said they would come back later.</w:t>
      </w:r>
      <w:r w:rsidR="00344A9A">
        <w:rPr>
          <w:rStyle w:val="FootnoteReference"/>
        </w:rPr>
        <w:footnoteReference w:id="94"/>
      </w:r>
    </w:p>
    <w:p w:rsidR="00FE1961" w:rsidRDefault="00FE1961" w:rsidP="00B61A55">
      <w:pPr>
        <w:pStyle w:val="Para1"/>
      </w:pPr>
      <w:r>
        <w:t>Mr Djime filed a DVD of his interactions with Sergeant Lappin and emails with the Council about his activities.</w:t>
      </w:r>
      <w:r>
        <w:rPr>
          <w:rStyle w:val="FootnoteReference"/>
        </w:rPr>
        <w:footnoteReference w:id="95"/>
      </w:r>
    </w:p>
    <w:p w:rsidR="00507600" w:rsidRDefault="00507600" w:rsidP="00B61A55">
      <w:pPr>
        <w:pStyle w:val="Para1"/>
      </w:pPr>
      <w:r>
        <w:t>I understand these events give rise to:</w:t>
      </w:r>
    </w:p>
    <w:p w:rsidR="008E4B2E" w:rsidRDefault="00C572CE" w:rsidP="00507600">
      <w:pPr>
        <w:pStyle w:val="Para4"/>
      </w:pPr>
      <w:r>
        <w:t xml:space="preserve">A claim of discrimination arising from interaction with police when he was dancing in </w:t>
      </w:r>
      <w:smartTag w:uri="urn:schemas-microsoft-com:office:smarttags" w:element="address">
        <w:smartTag w:uri="urn:schemas-microsoft-com:office:smarttags" w:element="Street">
          <w:r>
            <w:t>Collins Street</w:t>
          </w:r>
        </w:smartTag>
      </w:smartTag>
      <w:r w:rsidR="00507600">
        <w:t xml:space="preserve">; </w:t>
      </w:r>
    </w:p>
    <w:p w:rsidR="00507600" w:rsidRDefault="00C572CE" w:rsidP="00507600">
      <w:pPr>
        <w:pStyle w:val="Para4"/>
      </w:pPr>
      <w:r>
        <w:t xml:space="preserve">A claim of breach of the Charter arising from interaction with police when he was dancing in </w:t>
      </w:r>
      <w:smartTag w:uri="urn:schemas-microsoft-com:office:smarttags" w:element="address">
        <w:smartTag w:uri="urn:schemas-microsoft-com:office:smarttags" w:element="Street">
          <w:r>
            <w:t>Collins Street</w:t>
          </w:r>
        </w:smartTag>
      </w:smartTag>
      <w:r w:rsidR="008E4B2E">
        <w:t>; and</w:t>
      </w:r>
    </w:p>
    <w:p w:rsidR="008E4B2E" w:rsidRDefault="00C572CE" w:rsidP="00507600">
      <w:pPr>
        <w:pStyle w:val="Para4"/>
      </w:pPr>
      <w:r>
        <w:t xml:space="preserve">A claim of racial vilification arising from interaction with police when he was dancing in </w:t>
      </w:r>
      <w:smartTag w:uri="urn:schemas-microsoft-com:office:smarttags" w:element="address">
        <w:smartTag w:uri="urn:schemas-microsoft-com:office:smarttags" w:element="Street">
          <w:r>
            <w:t>Collins Street</w:t>
          </w:r>
        </w:smartTag>
      </w:smartTag>
      <w:r w:rsidR="008E4B2E">
        <w:t>.</w:t>
      </w:r>
    </w:p>
    <w:p w:rsidR="005633E9" w:rsidRDefault="005633E9" w:rsidP="005633E9">
      <w:pPr>
        <w:pStyle w:val="Para4"/>
        <w:numPr>
          <w:ilvl w:val="0"/>
          <w:numId w:val="0"/>
        </w:numPr>
      </w:pPr>
      <w:r>
        <w:rPr>
          <w:i/>
        </w:rPr>
        <w:t xml:space="preserve">Decision </w:t>
      </w:r>
    </w:p>
    <w:p w:rsidR="009539D8" w:rsidRDefault="009539D8" w:rsidP="009539D8">
      <w:pPr>
        <w:pStyle w:val="Para1"/>
      </w:pPr>
      <w:r>
        <w:t xml:space="preserve">Mr Djime made no allegation that Sergeant Lappin or </w:t>
      </w:r>
      <w:r w:rsidR="00DC180A">
        <w:t xml:space="preserve">the </w:t>
      </w:r>
      <w:r>
        <w:t>other police officer made any comment or gesture or engaged in any conduct which referred to his race.  He appears to ask me to infer that the reason the police officers approached him was because of his race.</w:t>
      </w:r>
    </w:p>
    <w:p w:rsidR="009539D8" w:rsidRDefault="009539D8" w:rsidP="009539D8">
      <w:pPr>
        <w:pStyle w:val="Para1"/>
      </w:pPr>
      <w:r>
        <w:t>Watching the video, it appeared to me that someone else was filming and so observed all that happened before, during a</w:t>
      </w:r>
      <w:r w:rsidR="00CD7438">
        <w:t>nd after Mr Djime’s interaction</w:t>
      </w:r>
      <w:r>
        <w:t xml:space="preserve"> with the police officers.  That person was not called to give evidence.  In those circumstances, the evidence before me is that given by Mr Djime, the photographs and the video.</w:t>
      </w:r>
    </w:p>
    <w:p w:rsidR="005633E9" w:rsidRDefault="00B67CA6" w:rsidP="005633E9">
      <w:pPr>
        <w:pStyle w:val="Para1"/>
      </w:pPr>
      <w:r>
        <w:t>I carefully viewed and listened to the video recording</w:t>
      </w:r>
      <w:r w:rsidR="00C9392E">
        <w:t>s</w:t>
      </w:r>
      <w:r>
        <w:t xml:space="preserve">.  The sound quality was poor but I am satisfied that I was able to understand the </w:t>
      </w:r>
      <w:r w:rsidR="00CD7438">
        <w:t>relevant parts of the interaction</w:t>
      </w:r>
      <w:r>
        <w:t xml:space="preserve"> with police.</w:t>
      </w:r>
    </w:p>
    <w:p w:rsidR="00B67CA6" w:rsidRDefault="00B67CA6" w:rsidP="005633E9">
      <w:pPr>
        <w:pStyle w:val="Para1"/>
      </w:pPr>
      <w:r>
        <w:t xml:space="preserve">The video shows Mr Djime playing music mounted on a box and dancing at the Parliament end of </w:t>
      </w:r>
      <w:smartTag w:uri="urn:schemas-microsoft-com:office:smarttags" w:element="address">
        <w:smartTag w:uri="urn:schemas-microsoft-com:office:smarttags" w:element="Street">
          <w:r>
            <w:t>Collin</w:t>
          </w:r>
          <w:r w:rsidR="00DC180A">
            <w:t>s</w:t>
          </w:r>
          <w:r>
            <w:t xml:space="preserve"> Street</w:t>
          </w:r>
        </w:smartTag>
      </w:smartTag>
      <w:r>
        <w:t>.  From time to time, the camera scans Mr Djime, the street to either side and across the road.  There is no sign of other dancers in the vicinity.  At times</w:t>
      </w:r>
      <w:r w:rsidR="00CD7438">
        <w:t>,</w:t>
      </w:r>
      <w:r>
        <w:t xml:space="preserve"> Mr Djime strays into the centre of the footpath and at other times pedestrians move around him.  At times he talks to and interacts with pedestrians.  Two police officers approach Mr Djime and </w:t>
      </w:r>
      <w:r w:rsidR="008557DA">
        <w:t xml:space="preserve">one </w:t>
      </w:r>
      <w:r>
        <w:t>appear</w:t>
      </w:r>
      <w:r w:rsidR="008557DA">
        <w:t>s</w:t>
      </w:r>
      <w:r>
        <w:t xml:space="preserve"> to ask what he is doing.  </w:t>
      </w:r>
      <w:r w:rsidR="008557DA">
        <w:t xml:space="preserve">I will assume that officer is Sergeant </w:t>
      </w:r>
      <w:r w:rsidR="004779FE">
        <w:t xml:space="preserve">Lappin.  </w:t>
      </w:r>
      <w:r w:rsidR="00CD7438">
        <w:t xml:space="preserve">Mr Djime </w:t>
      </w:r>
      <w:r>
        <w:t xml:space="preserve">appears to explain he is working on a film.  He seems to explain that he has been told that he does not require a permit and will only be there for an hour (or perhaps two hours – the sound is unclear).  The police officer appears to say that he can do what he wants and asks if the music can be turned down.  Mr Djime agrees to do that.  The police officer then explains </w:t>
      </w:r>
      <w:r w:rsidR="003407B8">
        <w:t xml:space="preserve">by words and gestures </w:t>
      </w:r>
      <w:r>
        <w:t>that Mr Djime should keep out of the centre of the footpath and stay towards the road side</w:t>
      </w:r>
      <w:r w:rsidR="004779FE">
        <w:t xml:space="preserve"> of the path</w:t>
      </w:r>
      <w:r>
        <w:t xml:space="preserve">. </w:t>
      </w:r>
      <w:r w:rsidR="00C9392E">
        <w:t xml:space="preserve"> Sergeant Lappin said something to the effect that he would have a security guard at the adjacent building watch and call him if Mr Djime was again dancing in the middle of the footpath.  </w:t>
      </w:r>
      <w:r>
        <w:t xml:space="preserve">Mr Djime </w:t>
      </w:r>
      <w:r w:rsidR="00C9392E">
        <w:t>appears to agree</w:t>
      </w:r>
      <w:r>
        <w:t xml:space="preserve"> </w:t>
      </w:r>
      <w:r w:rsidR="00C9392E">
        <w:t xml:space="preserve">to confine his movement </w:t>
      </w:r>
      <w:r>
        <w:t xml:space="preserve">and expresses no </w:t>
      </w:r>
      <w:r w:rsidR="00C9392E">
        <w:t xml:space="preserve">visible or audible </w:t>
      </w:r>
      <w:r>
        <w:t xml:space="preserve">concern about what has been said.  The police officers walk away and, while the video stops shortly after, there is no sign he has been told to leave, </w:t>
      </w:r>
      <w:r w:rsidR="004779FE">
        <w:t xml:space="preserve">to pack up his belongings, to </w:t>
      </w:r>
      <w:r>
        <w:t xml:space="preserve">move on or </w:t>
      </w:r>
      <w:r w:rsidR="004779FE">
        <w:t xml:space="preserve">that he is </w:t>
      </w:r>
      <w:r>
        <w:t>otherwise stopped from continuing.</w:t>
      </w:r>
      <w:r w:rsidR="00C9392E">
        <w:t xml:space="preserve">  It was not clear to me if a second file was recorded before or after this interaction.  In any event, it simply shows Mr Djime dancing in the same way as before and the police do not appear in it.</w:t>
      </w:r>
    </w:p>
    <w:p w:rsidR="00A30E4B" w:rsidRDefault="00ED6CFC" w:rsidP="005633E9">
      <w:pPr>
        <w:pStyle w:val="Para1"/>
      </w:pPr>
      <w:r>
        <w:t xml:space="preserve">On the material before me, </w:t>
      </w:r>
      <w:r w:rsidR="00B67CA6">
        <w:t xml:space="preserve">there is no sign </w:t>
      </w:r>
      <w:r w:rsidR="00A30E4B">
        <w:t>o</w:t>
      </w:r>
      <w:r w:rsidR="00DC180A">
        <w:t>f the white men Mr Djime says were</w:t>
      </w:r>
      <w:r w:rsidR="00A30E4B">
        <w:t xml:space="preserve"> dancing nearby</w:t>
      </w:r>
      <w:r>
        <w:t xml:space="preserve"> and so</w:t>
      </w:r>
      <w:r w:rsidR="00A30E4B">
        <w:t>, there is no sign of any differential treatment of the kind claimed.  The police officers did not tell Mr Djime to move or stop him continuing other than to ask him to turn the music down and to confine himself to the side of the footpath.  As noted above, there was no sign of any objection from Mr Djime to those requests.  As far as I could tell from the video he was then free to continue to dance and engage with passersby.</w:t>
      </w:r>
    </w:p>
    <w:p w:rsidR="00337A48" w:rsidRDefault="00A30E4B" w:rsidP="005633E9">
      <w:pPr>
        <w:pStyle w:val="Para1"/>
      </w:pPr>
      <w:r>
        <w:t>On the basis of this material, I can see no basis for any claim of discrimination as there is no unfavourable treatment.  Even if the requests to turn down the music and move aside w</w:t>
      </w:r>
      <w:r w:rsidR="003407B8">
        <w:t>ere</w:t>
      </w:r>
      <w:r>
        <w:t xml:space="preserve"> unfavourable treatment, there is nothing to link those requests to Mr Djime’s race or physical features.  </w:t>
      </w:r>
    </w:p>
    <w:p w:rsidR="00A30E4B" w:rsidRDefault="00A30E4B" w:rsidP="005633E9">
      <w:pPr>
        <w:pStyle w:val="Para1"/>
      </w:pPr>
      <w:r>
        <w:t>Where Mr Djime made no objection at the time to being asked to turn down the music and move aside</w:t>
      </w:r>
      <w:r w:rsidR="00337A48">
        <w:t xml:space="preserve"> on the path but was not stopped from continuing to play music, dance in the street and engage with passersby</w:t>
      </w:r>
      <w:r>
        <w:t xml:space="preserve">, it is difficult to see any basis on which it could be said that </w:t>
      </w:r>
      <w:r w:rsidR="005F0B7C">
        <w:t xml:space="preserve">there was any breach of </w:t>
      </w:r>
      <w:r w:rsidR="00337A48">
        <w:t xml:space="preserve">Mr Djime’s </w:t>
      </w:r>
      <w:r w:rsidR="005F0B7C">
        <w:t xml:space="preserve">Charter rights </w:t>
      </w:r>
      <w:r w:rsidR="00337A48">
        <w:t xml:space="preserve">to freedom of expression and freedom of movement.  </w:t>
      </w:r>
      <w:r w:rsidR="00CA02B6">
        <w:t>In any event, as</w:t>
      </w:r>
      <w:r w:rsidR="00337A48">
        <w:t xml:space="preserve"> the discrimination claim cannot proceed, any claim arising from Mr Djime’s Charter right</w:t>
      </w:r>
      <w:r w:rsidR="00CA02B6">
        <w:t xml:space="preserve">s </w:t>
      </w:r>
      <w:r w:rsidR="00337A48">
        <w:t>also cannot proceed.</w:t>
      </w:r>
      <w:r w:rsidR="00CA02B6">
        <w:rPr>
          <w:rStyle w:val="FootnoteReference"/>
        </w:rPr>
        <w:footnoteReference w:id="96"/>
      </w:r>
      <w:r w:rsidR="00337A48">
        <w:t xml:space="preserve"> </w:t>
      </w:r>
    </w:p>
    <w:p w:rsidR="005F0B7C" w:rsidRDefault="00A30E4B" w:rsidP="005633E9">
      <w:pPr>
        <w:pStyle w:val="Para1"/>
      </w:pPr>
      <w:r>
        <w:t xml:space="preserve">On the above summary, I am unable to identify any </w:t>
      </w:r>
      <w:r w:rsidR="005F0B7C">
        <w:t>conduct which could, under the RRT Act, amount to inciting hatred, serious contempt for or revulsion or</w:t>
      </w:r>
      <w:r w:rsidR="00337A48">
        <w:t xml:space="preserve"> severe ridicule of Mr Djime</w:t>
      </w:r>
      <w:r w:rsidR="00DA5538">
        <w:t xml:space="preserve"> due to his race</w:t>
      </w:r>
      <w:r w:rsidR="00337A48">
        <w:t>.  Firstly, the evidence did not show any conduct by Sergeant Lappin which showed any hatred, serious contempt, revulsion or severe ridicule of Mr Djime</w:t>
      </w:r>
      <w:r w:rsidR="00DA5538">
        <w:t xml:space="preserve"> at all not to mention because of his race.  </w:t>
      </w:r>
      <w:r w:rsidR="00337A48">
        <w:t>Second, there was no evidence that anyone overheard what was being said or reacted to it in any way.</w:t>
      </w:r>
      <w:r w:rsidR="00DA5538">
        <w:t xml:space="preserve">  While I imagine that, in the usual way, passersby might have noticed the police talking to Mr Djime and wondered why and whether he had done something wrong, the video did not show any raised voices or agitation </w:t>
      </w:r>
      <w:r w:rsidR="003407B8">
        <w:t xml:space="preserve">or engagement of any kind </w:t>
      </w:r>
      <w:r w:rsidR="00DA5538">
        <w:t xml:space="preserve">on anyone’s part.  There was no conduct which suggested </w:t>
      </w:r>
      <w:r w:rsidR="003407B8">
        <w:t xml:space="preserve">Mr Djime </w:t>
      </w:r>
      <w:r w:rsidR="00DA5538">
        <w:t>was to be apprehended or had committed any offence.  Given that Mr Djime was allowed to continue, with the modifications mentioned, a passerby who was interested and paying attention may have concluded that everything was in fact in order with no adverse assessment of Mr Djime.</w:t>
      </w:r>
      <w:r w:rsidR="003407B8">
        <w:t xml:space="preserve">  Mr Djime does not claim that there was any subsequent comment or action by anyone who observed what had taken place. </w:t>
      </w:r>
    </w:p>
    <w:p w:rsidR="00B67CA6" w:rsidRPr="005633E9" w:rsidRDefault="00DA5538" w:rsidP="005633E9">
      <w:pPr>
        <w:pStyle w:val="Para1"/>
      </w:pPr>
      <w:r>
        <w:t>On the evidence produced by Mr Djime, t</w:t>
      </w:r>
      <w:r w:rsidR="005F0B7C">
        <w:t xml:space="preserve">he claims of discrimination, breach of Charter and of racial vilification under the RRT Act </w:t>
      </w:r>
      <w:r w:rsidR="006E31F3">
        <w:t>(items v</w:t>
      </w:r>
      <w:r w:rsidR="00243DF4">
        <w:t>, w</w:t>
      </w:r>
      <w:r w:rsidR="006E31F3">
        <w:t xml:space="preserve"> and </w:t>
      </w:r>
      <w:r w:rsidR="00243DF4">
        <w:t>x</w:t>
      </w:r>
      <w:r w:rsidR="006E31F3">
        <w:t xml:space="preserve">) </w:t>
      </w:r>
      <w:r w:rsidR="005F0B7C">
        <w:t xml:space="preserve">are all lacking in substance and will be dismissed under section 75(1)(a) of the VCAT Act. </w:t>
      </w:r>
    </w:p>
    <w:p w:rsidR="00507600" w:rsidRDefault="00853C66" w:rsidP="00507600">
      <w:pPr>
        <w:pStyle w:val="Para4"/>
        <w:numPr>
          <w:ilvl w:val="0"/>
          <w:numId w:val="0"/>
        </w:numPr>
        <w:rPr>
          <w:u w:val="single"/>
        </w:rPr>
      </w:pPr>
      <w:r>
        <w:rPr>
          <w:u w:val="single"/>
        </w:rPr>
        <w:t>Events at nightclubs</w:t>
      </w:r>
      <w:r w:rsidRPr="00DC180A">
        <w:rPr>
          <w:rStyle w:val="FootnoteReference"/>
        </w:rPr>
        <w:footnoteReference w:id="97"/>
      </w:r>
    </w:p>
    <w:p w:rsidR="005633E9" w:rsidRPr="005633E9" w:rsidRDefault="005633E9" w:rsidP="005633E9">
      <w:pPr>
        <w:pStyle w:val="Para1"/>
        <w:numPr>
          <w:ilvl w:val="0"/>
          <w:numId w:val="0"/>
        </w:numPr>
        <w:rPr>
          <w:i/>
        </w:rPr>
      </w:pPr>
      <w:r>
        <w:rPr>
          <w:i/>
        </w:rPr>
        <w:t>Allegation</w:t>
      </w:r>
    </w:p>
    <w:p w:rsidR="00853C66" w:rsidRDefault="00853C66" w:rsidP="00853C66">
      <w:pPr>
        <w:pStyle w:val="Para1"/>
      </w:pPr>
      <w:r>
        <w:t>Mr Djime says that, on 8 September 2012, police officers spoke to him and three women and a</w:t>
      </w:r>
      <w:r w:rsidR="003407B8">
        <w:t>nother</w:t>
      </w:r>
      <w:r>
        <w:t xml:space="preserve"> man outside a nightclub in the city.  They initially asked him to leave but then spoke to everyone present.  No further evidence was given about this event.</w:t>
      </w:r>
    </w:p>
    <w:p w:rsidR="00853C66" w:rsidRDefault="00853C66" w:rsidP="00853C66">
      <w:pPr>
        <w:pStyle w:val="Para1"/>
      </w:pPr>
      <w:r>
        <w:t>On an unknown date, Mr Djime was at the P</w:t>
      </w:r>
      <w:r w:rsidR="00DC180A">
        <w:t xml:space="preserve">J O’Brien’s nightclub.  He complains about the conduct of </w:t>
      </w:r>
      <w:r>
        <w:t xml:space="preserve">an off-duty police officer named </w:t>
      </w:r>
      <w:r w:rsidRPr="00853C66">
        <w:rPr>
          <w:i/>
        </w:rPr>
        <w:t>‘Emily’</w:t>
      </w:r>
      <w:r>
        <w:t xml:space="preserve"> from Werribee police station.  He says that she approached him and used her position as a police officer to get close to him.  He says that she did so saying that he had a </w:t>
      </w:r>
      <w:r>
        <w:rPr>
          <w:i/>
        </w:rPr>
        <w:t>‘big black cock and we love big black cock here’</w:t>
      </w:r>
      <w:r w:rsidR="00DC180A">
        <w:t xml:space="preserve">. </w:t>
      </w:r>
      <w:r>
        <w:t xml:space="preserve"> </w:t>
      </w:r>
      <w:r w:rsidR="00405179">
        <w:t xml:space="preserve">Mr Djime objected to the remark and after doing so she told him to leave the premises.  </w:t>
      </w:r>
      <w:r>
        <w:t xml:space="preserve">No further evidence was given about this event and </w:t>
      </w:r>
      <w:r w:rsidRPr="00853C66">
        <w:rPr>
          <w:i/>
        </w:rPr>
        <w:t>‘Emily’</w:t>
      </w:r>
      <w:r>
        <w:t xml:space="preserve"> has not been further identified.</w:t>
      </w:r>
    </w:p>
    <w:p w:rsidR="00853C66" w:rsidRDefault="00853C66" w:rsidP="00853C66">
      <w:pPr>
        <w:pStyle w:val="Para1"/>
      </w:pPr>
      <w:r>
        <w:t>I understand these events give rise to:</w:t>
      </w:r>
    </w:p>
    <w:p w:rsidR="00853C66" w:rsidRDefault="00C572CE" w:rsidP="00853C66">
      <w:pPr>
        <w:pStyle w:val="Para4"/>
      </w:pPr>
      <w:r>
        <w:t>A claim of discrimination arising from a request to leave the area around a nightclub on 8 September 2012</w:t>
      </w:r>
      <w:r w:rsidR="00853C66">
        <w:t>; and</w:t>
      </w:r>
    </w:p>
    <w:p w:rsidR="00853C66" w:rsidRDefault="00C572CE" w:rsidP="00853C66">
      <w:pPr>
        <w:pStyle w:val="Para4"/>
      </w:pPr>
      <w:r>
        <w:t xml:space="preserve">A claim of sexual harassment by </w:t>
      </w:r>
      <w:r>
        <w:rPr>
          <w:i/>
        </w:rPr>
        <w:t>‘Emily’</w:t>
      </w:r>
      <w:r>
        <w:t xml:space="preserve"> at PJ O’Brien’s nightclub</w:t>
      </w:r>
      <w:r w:rsidR="00853C66">
        <w:t>.</w:t>
      </w:r>
    </w:p>
    <w:p w:rsidR="005633E9" w:rsidRDefault="005633E9" w:rsidP="005633E9">
      <w:pPr>
        <w:pStyle w:val="Para4"/>
        <w:numPr>
          <w:ilvl w:val="0"/>
          <w:numId w:val="0"/>
        </w:numPr>
      </w:pPr>
      <w:r>
        <w:rPr>
          <w:i/>
        </w:rPr>
        <w:t xml:space="preserve">Decision </w:t>
      </w:r>
    </w:p>
    <w:p w:rsidR="00D20FC9" w:rsidRDefault="0083427B" w:rsidP="005633E9">
      <w:pPr>
        <w:pStyle w:val="Para1"/>
      </w:pPr>
      <w:r>
        <w:t xml:space="preserve">There is nothing in the evidence before me to show that the discussion held in September 2012 with Mr Djime and four others was a service </w:t>
      </w:r>
      <w:r w:rsidR="00D20FC9">
        <w:t>under the EO Act</w:t>
      </w:r>
      <w:r>
        <w:t xml:space="preserve">.  </w:t>
      </w:r>
      <w:r w:rsidR="00D20FC9">
        <w:t xml:space="preserve">While it is alleged that Mr Djime was asked to leave, he then says that they were all asked to leave.  This appears more consistent with the police undertaking law enforcement activities including keeping the peace.  On Mr Djime’s evidence, the police seemed concerned with the peace and safety of people other than Mr Djime and the other people in his group as he and the others were asked to move on.  In these circumstances, a service was not being provided to Mr Djime.  </w:t>
      </w:r>
      <w:r>
        <w:t>Even if th</w:t>
      </w:r>
      <w:r w:rsidR="00D20FC9">
        <w:t>i</w:t>
      </w:r>
      <w:r>
        <w:t xml:space="preserve">s hurdle could be overcome, there is nothing in the circumstances which would allow for the drawing of an inference that, if there was a service, </w:t>
      </w:r>
      <w:r w:rsidR="00D20FC9">
        <w:t xml:space="preserve">the request to move on was made </w:t>
      </w:r>
      <w:r>
        <w:t xml:space="preserve">because of Mr Djime’s race or physical features. </w:t>
      </w:r>
    </w:p>
    <w:p w:rsidR="0083427B" w:rsidRDefault="0083427B" w:rsidP="005633E9">
      <w:pPr>
        <w:pStyle w:val="Para1"/>
      </w:pPr>
      <w:r>
        <w:t xml:space="preserve">The evidence before me does not allow me to conclude, even assuming she is a police officer, that </w:t>
      </w:r>
      <w:r>
        <w:rPr>
          <w:i/>
        </w:rPr>
        <w:t>‘Emily’</w:t>
      </w:r>
      <w:r>
        <w:t xml:space="preserve"> was providing a service</w:t>
      </w:r>
      <w:r w:rsidR="003407B8">
        <w:t xml:space="preserve"> under the EO Act</w:t>
      </w:r>
      <w:r>
        <w:t>.  That is because, on Mr Dj</w:t>
      </w:r>
      <w:r w:rsidR="003407B8">
        <w:t>ime’s own evidence, she was off-</w:t>
      </w:r>
      <w:r>
        <w:t xml:space="preserve">duty.  A claim of sexual harassment cannot be brought against a person such as a police officer when she is not working in that role and rather is acting in a private capacity.  </w:t>
      </w:r>
    </w:p>
    <w:p w:rsidR="0083427B" w:rsidRPr="005633E9" w:rsidRDefault="0083427B" w:rsidP="005633E9">
      <w:pPr>
        <w:pStyle w:val="Para1"/>
      </w:pPr>
      <w:r>
        <w:t xml:space="preserve">The claims in items </w:t>
      </w:r>
      <w:r w:rsidR="00243DF4">
        <w:t>y</w:t>
      </w:r>
      <w:r>
        <w:t xml:space="preserve"> and </w:t>
      </w:r>
      <w:r w:rsidR="00243DF4">
        <w:t>z</w:t>
      </w:r>
      <w:r>
        <w:t xml:space="preserve"> will be dismissed as lacking in substance under section 75(1)(a) of the VCAT Act.</w:t>
      </w:r>
    </w:p>
    <w:p w:rsidR="00853C66" w:rsidRDefault="00853C66" w:rsidP="00853C66">
      <w:pPr>
        <w:pStyle w:val="Para4"/>
        <w:numPr>
          <w:ilvl w:val="0"/>
          <w:numId w:val="0"/>
        </w:numPr>
        <w:rPr>
          <w:u w:val="single"/>
        </w:rPr>
      </w:pPr>
      <w:smartTag w:uri="urn:schemas-microsoft-com:office:smarttags" w:element="address">
        <w:smartTag w:uri="urn:schemas-microsoft-com:office:smarttags" w:element="Street">
          <w:r>
            <w:rPr>
              <w:u w:val="single"/>
            </w:rPr>
            <w:t>Sutton Street</w:t>
          </w:r>
        </w:smartTag>
      </w:smartTag>
      <w:r>
        <w:rPr>
          <w:u w:val="single"/>
        </w:rPr>
        <w:t>, Reservoir</w:t>
      </w:r>
      <w:r>
        <w:rPr>
          <w:rStyle w:val="FootnoteReference"/>
          <w:u w:val="single"/>
        </w:rPr>
        <w:footnoteReference w:id="98"/>
      </w:r>
    </w:p>
    <w:p w:rsidR="005633E9" w:rsidRPr="005633E9" w:rsidRDefault="005633E9" w:rsidP="005633E9">
      <w:pPr>
        <w:pStyle w:val="Para1"/>
        <w:numPr>
          <w:ilvl w:val="0"/>
          <w:numId w:val="0"/>
        </w:numPr>
        <w:rPr>
          <w:i/>
        </w:rPr>
      </w:pPr>
      <w:r>
        <w:rPr>
          <w:i/>
        </w:rPr>
        <w:t>Allegation</w:t>
      </w:r>
    </w:p>
    <w:p w:rsidR="00405179" w:rsidRDefault="00405179" w:rsidP="00405179">
      <w:pPr>
        <w:pStyle w:val="Para1"/>
      </w:pPr>
      <w:r>
        <w:t xml:space="preserve">In 2012, Mr Djime was living in a house in </w:t>
      </w:r>
      <w:smartTag w:uri="urn:schemas-microsoft-com:office:smarttags" w:element="address">
        <w:smartTag w:uri="urn:schemas-microsoft-com:office:smarttags" w:element="Street">
          <w:r>
            <w:t>Sutton Street</w:t>
          </w:r>
        </w:smartTag>
      </w:smartTag>
      <w:r>
        <w:t>, Reservoir.  One of his house</w:t>
      </w:r>
      <w:r w:rsidR="00DC180A">
        <w:t xml:space="preserve"> </w:t>
      </w:r>
      <w:r>
        <w:t xml:space="preserve">mates got drunk and called Mr Djime asking him to come home.  When he arrived and opened the door, the housemate punched Mr Djime.  Mr Djime called the police.  When they arrived they asked Mr Djime </w:t>
      </w:r>
      <w:r w:rsidR="00D20FC9">
        <w:t>to</w:t>
      </w:r>
      <w:r>
        <w:t xml:space="preserve"> leave for the night.  When Mr Djime objected saying he was a tenant at the house, they said he was getting agitated and would be arrested.  He left the house and spent the night in the cold.  Mr Djime says that Victoria Police always gives preferential treatment to white people when there are issues with Africans.</w:t>
      </w:r>
      <w:r w:rsidR="008E4B2E">
        <w:t xml:space="preserve">  He said </w:t>
      </w:r>
      <w:r w:rsidR="003407B8">
        <w:t xml:space="preserve">one of </w:t>
      </w:r>
      <w:r w:rsidR="008E4B2E">
        <w:t>the police officer</w:t>
      </w:r>
      <w:r w:rsidR="00DC180A">
        <w:t>s</w:t>
      </w:r>
      <w:r w:rsidR="008E4B2E">
        <w:t xml:space="preserve"> said </w:t>
      </w:r>
      <w:r w:rsidR="008E4B2E">
        <w:rPr>
          <w:i/>
        </w:rPr>
        <w:t>‘You people have come with nothings (sic) in the hands in the country, you do not own the house, so leave!!’</w:t>
      </w:r>
      <w:r w:rsidR="003407B8">
        <w:rPr>
          <w:rStyle w:val="FootnoteReference"/>
        </w:rPr>
        <w:footnoteReference w:id="99"/>
      </w:r>
    </w:p>
    <w:p w:rsidR="00405179" w:rsidRDefault="00405179" w:rsidP="00405179">
      <w:pPr>
        <w:pStyle w:val="Para1"/>
      </w:pPr>
      <w:r>
        <w:t>I understand these events give rise to:</w:t>
      </w:r>
    </w:p>
    <w:p w:rsidR="00405179" w:rsidRDefault="00C572CE" w:rsidP="00405179">
      <w:pPr>
        <w:pStyle w:val="Para4"/>
      </w:pPr>
      <w:r>
        <w:t xml:space="preserve">A claim of discrimination arising from the police’s request for Mr Djime to leave the </w:t>
      </w:r>
      <w:smartTag w:uri="urn:schemas-microsoft-com:office:smarttags" w:element="address">
        <w:smartTag w:uri="urn:schemas-microsoft-com:office:smarttags" w:element="Street">
          <w:r>
            <w:t>Sutton Street</w:t>
          </w:r>
        </w:smartTag>
      </w:smartTag>
      <w:r>
        <w:t xml:space="preserve"> premises</w:t>
      </w:r>
      <w:r w:rsidR="00405179">
        <w:t>.</w:t>
      </w:r>
    </w:p>
    <w:p w:rsidR="005633E9" w:rsidRPr="005633E9" w:rsidRDefault="005633E9" w:rsidP="005633E9">
      <w:pPr>
        <w:pStyle w:val="Para4"/>
        <w:numPr>
          <w:ilvl w:val="0"/>
          <w:numId w:val="0"/>
        </w:numPr>
        <w:rPr>
          <w:i/>
        </w:rPr>
      </w:pPr>
      <w:r>
        <w:rPr>
          <w:i/>
        </w:rPr>
        <w:t>Decision</w:t>
      </w:r>
    </w:p>
    <w:p w:rsidR="00381683" w:rsidRDefault="00D907B0" w:rsidP="006D6414">
      <w:pPr>
        <w:pStyle w:val="Para1"/>
      </w:pPr>
      <w:r>
        <w:t xml:space="preserve">I will assume for now that it is correct that Mr Djime called the police and so, at the time they arrived, a service was being provided to him.  </w:t>
      </w:r>
      <w:r w:rsidR="00D20FC9">
        <w:t xml:space="preserve">In order to allow this claim to proceed, I would need to be satisfied that, </w:t>
      </w:r>
      <w:r>
        <w:t>after the police arrived and commenced interacting with Mr Djime</w:t>
      </w:r>
      <w:r w:rsidR="00D20FC9">
        <w:t xml:space="preserve">, they </w:t>
      </w:r>
      <w:r>
        <w:t xml:space="preserve">continued to provide a </w:t>
      </w:r>
      <w:r w:rsidR="00D20FC9">
        <w:t>service to Mr Djime.</w:t>
      </w:r>
      <w:r>
        <w:t xml:space="preserve">  The fact that Mr Djime reports the police said he was becoming agitated suggests that the police considered him to be behaving inappropriately and that he was the target of their enquiry or investigation of the circumstances before them.  However, if Mr Djime is correct as to what was allegedly said, it might be the case that a claim of discrimination in respect of the request for him to leave can be made out.</w:t>
      </w:r>
    </w:p>
    <w:p w:rsidR="00D907B0" w:rsidRDefault="00D907B0" w:rsidP="006D6414">
      <w:pPr>
        <w:pStyle w:val="Para1"/>
      </w:pPr>
      <w:r>
        <w:t xml:space="preserve">Having regard to the nature of the discretion to be exercised under section 75 of the VCAT Act, I will allow the claim described in item </w:t>
      </w:r>
      <w:r w:rsidR="00C572CE">
        <w:t>aa</w:t>
      </w:r>
      <w:r>
        <w:t xml:space="preserve"> to proceed to hearing.</w:t>
      </w:r>
    </w:p>
    <w:p w:rsidR="006D6414" w:rsidRPr="006D6414" w:rsidRDefault="006D6414" w:rsidP="006D6414">
      <w:pPr>
        <w:pStyle w:val="Para1"/>
        <w:numPr>
          <w:ilvl w:val="0"/>
          <w:numId w:val="0"/>
        </w:numPr>
        <w:rPr>
          <w:u w:val="single"/>
        </w:rPr>
      </w:pPr>
      <w:r>
        <w:rPr>
          <w:u w:val="single"/>
        </w:rPr>
        <w:t>General allegation of racism</w:t>
      </w:r>
    </w:p>
    <w:p w:rsidR="006D6414" w:rsidRDefault="003A0987" w:rsidP="006D6414">
      <w:pPr>
        <w:pStyle w:val="Para1"/>
      </w:pPr>
      <w:r>
        <w:t>I am not satisfied that Mr Djime has presented a sufficient basis for his general complaint of discrimination to proceed.  While Mr Djime has pointed to individual events, I am not satisfied that the allegations of themselves justi</w:t>
      </w:r>
      <w:r w:rsidR="00DC180A">
        <w:t>fy consideration of such a wide-</w:t>
      </w:r>
      <w:r>
        <w:t>ranging claim.  It would require an inquisitorial process to be undertaken to decide whether some pattern has been established which proves that Victoria Police regularly discriminates against all people from Africa or all people with Mr Djime’s physical features.</w:t>
      </w:r>
      <w:r w:rsidR="00C572CE">
        <w:t xml:space="preserve"> </w:t>
      </w:r>
      <w:r w:rsidR="007321E4">
        <w:t xml:space="preserve"> The same comments made by made in respect of any generalised complaint of racial vilification against Mr Djime and other people from </w:t>
      </w:r>
      <w:smartTag w:uri="urn:schemas-microsoft-com:office:smarttags" w:element="place">
        <w:r w:rsidR="007321E4">
          <w:t>Africa</w:t>
        </w:r>
      </w:smartTag>
      <w:r w:rsidR="007321E4">
        <w:t xml:space="preserve">.  </w:t>
      </w:r>
      <w:r w:rsidR="00C572CE">
        <w:t>The claim described by me in item s will be dismissed under section 75(1)(a) of the VCAT Act as it is lacking in substance.</w:t>
      </w:r>
    </w:p>
    <w:p w:rsidR="003A0987" w:rsidRDefault="003A0987" w:rsidP="006D6414">
      <w:pPr>
        <w:pStyle w:val="Para1"/>
      </w:pPr>
      <w:r>
        <w:t>Having said that, I will be mindful of the overall concern</w:t>
      </w:r>
      <w:r w:rsidR="00337A48">
        <w:t>s</w:t>
      </w:r>
      <w:r>
        <w:t xml:space="preserve"> raised by Mr Djime when conducting the further hearing of the matters which remain open.</w:t>
      </w:r>
    </w:p>
    <w:p w:rsidR="00AF7475" w:rsidRPr="00D42C96" w:rsidRDefault="00AF7475" w:rsidP="00AF7475">
      <w:pPr>
        <w:pStyle w:val="Heading3"/>
      </w:pPr>
      <w:r>
        <w:t>Things done with statutory authority under section 75 of the EO Act</w:t>
      </w:r>
    </w:p>
    <w:p w:rsidR="00AF7475" w:rsidRDefault="00AF7475" w:rsidP="00AF7475">
      <w:pPr>
        <w:pStyle w:val="Para1"/>
      </w:pPr>
      <w:r>
        <w:t xml:space="preserve">The respondents made submissions that, in the context of certain events, even if services are provided to Mr Djime as alleged, they may rely on section 75 of the EO Act.  Section 75(1) says that a person may discriminate if the discrimination is necessary to comply with, or is authorised by, a provision of another Act or enactment.  Subsection (2) says that it is not necessary that the provision of the other Act or enactment to refer to discrimination, as long as it authorises or necessitates the relevant conduct that would otherwise constitute discrimination.  The respondents rely on section 9 of the Police Act set out earlier at paragraph </w:t>
      </w:r>
      <w:r w:rsidR="008972C3">
        <w:t>52</w:t>
      </w:r>
      <w:r>
        <w:t>.  The commission made submissions on this matter.</w:t>
      </w:r>
    </w:p>
    <w:p w:rsidR="00AF7475" w:rsidRDefault="00AF7475" w:rsidP="00AF7475">
      <w:pPr>
        <w:pStyle w:val="Para1"/>
      </w:pPr>
      <w:r>
        <w:t>The contention was put by the respondents in respect of the claims descri</w:t>
      </w:r>
      <w:r w:rsidR="00DC180A">
        <w:t>bed by me in items a, c, e, f, i</w:t>
      </w:r>
      <w:r>
        <w:t xml:space="preserve">, j, k, l, n, q and r.  As I have decided each of those claims </w:t>
      </w:r>
      <w:r w:rsidR="003407B8">
        <w:t xml:space="preserve">is </w:t>
      </w:r>
      <w:r>
        <w:t>to be dismissed for other reasons, it is not necessary for me to consider the respondents’ argument under section 75 of the EO Act.</w:t>
      </w:r>
    </w:p>
    <w:p w:rsidR="000B6280" w:rsidRDefault="000B6280" w:rsidP="000B6280">
      <w:pPr>
        <w:pStyle w:val="Heading3"/>
      </w:pPr>
      <w:r>
        <w:t xml:space="preserve">Matters to be dismissed </w:t>
      </w:r>
    </w:p>
    <w:p w:rsidR="000B6280" w:rsidRDefault="000B6280" w:rsidP="000B6280">
      <w:pPr>
        <w:pStyle w:val="Para1"/>
      </w:pPr>
      <w:r>
        <w:t>For the reasons set out above, I have decided that</w:t>
      </w:r>
      <w:r w:rsidR="00646D0D">
        <w:t xml:space="preserve">, under section 75(1) of the VCAT Act, </w:t>
      </w:r>
      <w:r>
        <w:t>the following claims are to be dismissed:</w:t>
      </w:r>
      <w:r w:rsidR="007573D7">
        <w:t xml:space="preserve"> </w:t>
      </w:r>
      <w:r w:rsidR="00646D0D">
        <w:t xml:space="preserve">items a, b, c, e, f, i, j, k, l, n, p, q, r, s, t, u, v, w, x, y and z. </w:t>
      </w:r>
    </w:p>
    <w:p w:rsidR="007573D7" w:rsidRDefault="007573D7" w:rsidP="007573D7">
      <w:pPr>
        <w:pStyle w:val="Heading3"/>
      </w:pPr>
      <w:r>
        <w:t>Matters to proceed to hearing</w:t>
      </w:r>
    </w:p>
    <w:p w:rsidR="007573D7" w:rsidRPr="007573D7" w:rsidRDefault="00646D0D" w:rsidP="007573D7">
      <w:pPr>
        <w:pStyle w:val="Para1"/>
      </w:pPr>
      <w:r>
        <w:t>The following claims will proceed to hearing: items d, g, h, m, o and aa.</w:t>
      </w:r>
    </w:p>
    <w:p w:rsidR="003A0987" w:rsidRDefault="00646D0D" w:rsidP="000B6280">
      <w:pPr>
        <w:pStyle w:val="Para1"/>
      </w:pPr>
      <w:r>
        <w:t>I will make orders for the proceeding to be listed for further heari</w:t>
      </w:r>
      <w:r w:rsidR="008972C3">
        <w:t>ng before me after 24 July 2015</w:t>
      </w:r>
      <w:r>
        <w:t>.  I have decided to allow three days for the further hearing but invite the parties to contact the tribunal if they consider that is insufficient time or if three days is considered to be excessive.  At least 14 days before the next hearing date, the respondents are to notify Mr Djime of any witness</w:t>
      </w:r>
      <w:r w:rsidR="00DC180A">
        <w:t>es required to attend the further hearing for cross-</w:t>
      </w:r>
      <w:r>
        <w:t xml:space="preserve">examination. </w:t>
      </w:r>
    </w:p>
    <w:p w:rsidR="000153ED" w:rsidRDefault="000153ED" w:rsidP="000153ED">
      <w:pPr>
        <w:pStyle w:val="Para1"/>
      </w:pPr>
      <w:r>
        <w:t xml:space="preserve">As discussed in these reasons, the law which applies to applications under section 75 of the VCAT Act, means that summary dismissal is treated with caution.  The fact that I have determined that certain claims are to proceed to hearing is not a prediction of the likely outcome following a full hearing of all evidence and submissions of law. </w:t>
      </w:r>
    </w:p>
    <w:p w:rsidR="000153ED" w:rsidRDefault="000153ED" w:rsidP="000153ED">
      <w:pPr>
        <w:pStyle w:val="Para1"/>
        <w:numPr>
          <w:ilvl w:val="0"/>
          <w:numId w:val="0"/>
        </w:numPr>
      </w:pPr>
    </w:p>
    <w:p w:rsidR="003A0987" w:rsidRDefault="003A0987" w:rsidP="003A0987">
      <w:pPr>
        <w:pStyle w:val="Para1"/>
        <w:numPr>
          <w:ilvl w:val="0"/>
          <w:numId w:val="0"/>
        </w:numPr>
      </w:pPr>
    </w:p>
    <w:p w:rsidR="003A0987" w:rsidRDefault="003A0987" w:rsidP="003A0987">
      <w:pPr>
        <w:pStyle w:val="Para1"/>
        <w:numPr>
          <w:ilvl w:val="0"/>
          <w:numId w:val="0"/>
        </w:numPr>
      </w:pPr>
    </w:p>
    <w:tbl>
      <w:tblPr>
        <w:tblW w:w="9621" w:type="dxa"/>
        <w:tblLayout w:type="fixed"/>
        <w:tblLook w:val="0000" w:firstRow="0" w:lastRow="0" w:firstColumn="0" w:lastColumn="0" w:noHBand="0" w:noVBand="0"/>
      </w:tblPr>
      <w:tblGrid>
        <w:gridCol w:w="3207"/>
        <w:gridCol w:w="3207"/>
        <w:gridCol w:w="3207"/>
      </w:tblGrid>
      <w:tr w:rsidR="00D877C9">
        <w:tblPrEx>
          <w:tblCellMar>
            <w:top w:w="0" w:type="dxa"/>
            <w:bottom w:w="0" w:type="dxa"/>
          </w:tblCellMar>
        </w:tblPrEx>
        <w:tc>
          <w:tcPr>
            <w:tcW w:w="3207" w:type="dxa"/>
          </w:tcPr>
          <w:p w:rsidR="00D877C9" w:rsidRDefault="002213A7">
            <w:r>
              <w:t>A Dea</w:t>
            </w:r>
          </w:p>
          <w:p w:rsidR="00D877C9" w:rsidRDefault="00D877C9">
            <w:pPr>
              <w:rPr>
                <w:b/>
              </w:rPr>
            </w:pPr>
            <w:r>
              <w:rPr>
                <w:b/>
              </w:rPr>
              <w:t>Member</w:t>
            </w:r>
          </w:p>
        </w:tc>
        <w:tc>
          <w:tcPr>
            <w:tcW w:w="3207" w:type="dxa"/>
          </w:tcPr>
          <w:p w:rsidR="00D877C9" w:rsidRDefault="00D877C9"/>
        </w:tc>
        <w:tc>
          <w:tcPr>
            <w:tcW w:w="3207" w:type="dxa"/>
          </w:tcPr>
          <w:p w:rsidR="00D877C9" w:rsidRDefault="00D877C9"/>
        </w:tc>
      </w:tr>
    </w:tbl>
    <w:p w:rsidR="00BF2FAE" w:rsidRDefault="00BF2FAE"/>
    <w:p w:rsidR="003407B8" w:rsidRPr="007144C0" w:rsidRDefault="003407B8" w:rsidP="003407B8">
      <w:pPr>
        <w:pStyle w:val="Heading1"/>
      </w:pPr>
      <w:r>
        <w:br w:type="page"/>
      </w:r>
      <w:r w:rsidRPr="007144C0">
        <w:t xml:space="preserve">Attachment A </w:t>
      </w:r>
    </w:p>
    <w:p w:rsidR="003407B8" w:rsidRDefault="003407B8" w:rsidP="003407B8"/>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860"/>
        <w:gridCol w:w="1440"/>
        <w:gridCol w:w="2520"/>
      </w:tblGrid>
      <w:tr w:rsidR="003407B8" w:rsidTr="0004030A">
        <w:tc>
          <w:tcPr>
            <w:tcW w:w="900" w:type="dxa"/>
          </w:tcPr>
          <w:p w:rsidR="003407B8" w:rsidRPr="0004030A" w:rsidRDefault="003407B8" w:rsidP="003407B8">
            <w:pPr>
              <w:rPr>
                <w:b/>
              </w:rPr>
            </w:pPr>
            <w:r w:rsidRPr="0004030A">
              <w:rPr>
                <w:b/>
              </w:rPr>
              <w:t xml:space="preserve">Item </w:t>
            </w:r>
          </w:p>
        </w:tc>
        <w:tc>
          <w:tcPr>
            <w:tcW w:w="4860" w:type="dxa"/>
          </w:tcPr>
          <w:p w:rsidR="003407B8" w:rsidRPr="0004030A" w:rsidRDefault="003407B8" w:rsidP="003407B8">
            <w:pPr>
              <w:rPr>
                <w:b/>
              </w:rPr>
            </w:pPr>
            <w:r w:rsidRPr="0004030A">
              <w:rPr>
                <w:b/>
              </w:rPr>
              <w:t xml:space="preserve">Description </w:t>
            </w:r>
          </w:p>
        </w:tc>
        <w:tc>
          <w:tcPr>
            <w:tcW w:w="1440" w:type="dxa"/>
          </w:tcPr>
          <w:p w:rsidR="003407B8" w:rsidRPr="0004030A" w:rsidRDefault="003407B8" w:rsidP="003407B8">
            <w:pPr>
              <w:rPr>
                <w:b/>
              </w:rPr>
            </w:pPr>
            <w:r w:rsidRPr="0004030A">
              <w:rPr>
                <w:b/>
              </w:rPr>
              <w:t>Outcome</w:t>
            </w:r>
          </w:p>
        </w:tc>
        <w:tc>
          <w:tcPr>
            <w:tcW w:w="2520" w:type="dxa"/>
          </w:tcPr>
          <w:p w:rsidR="003407B8" w:rsidRPr="0004030A" w:rsidRDefault="003407B8" w:rsidP="003407B8">
            <w:pPr>
              <w:rPr>
                <w:b/>
              </w:rPr>
            </w:pPr>
            <w:r w:rsidRPr="0004030A">
              <w:rPr>
                <w:b/>
              </w:rPr>
              <w:t>Reason</w:t>
            </w:r>
          </w:p>
        </w:tc>
      </w:tr>
      <w:tr w:rsidR="003407B8" w:rsidTr="0004030A">
        <w:tc>
          <w:tcPr>
            <w:tcW w:w="900" w:type="dxa"/>
          </w:tcPr>
          <w:p w:rsidR="003407B8" w:rsidRDefault="003407B8" w:rsidP="003407B8">
            <w:r>
              <w:t>a</w:t>
            </w:r>
          </w:p>
        </w:tc>
        <w:tc>
          <w:tcPr>
            <w:tcW w:w="4860" w:type="dxa"/>
          </w:tcPr>
          <w:p w:rsidR="003407B8" w:rsidRDefault="003407B8" w:rsidP="003407B8">
            <w:r>
              <w:t xml:space="preserve">A claim of sexual harassment arising from the alleged flirting and comments referred to in paragraphs </w:t>
            </w:r>
            <w:r w:rsidR="008972C3">
              <w:t>81</w:t>
            </w:r>
            <w:r>
              <w:t xml:space="preserve"> to </w:t>
            </w:r>
            <w:r w:rsidR="008972C3">
              <w:t>84</w:t>
            </w:r>
            <w:r>
              <w:t xml:space="preserve"> above and when </w:t>
            </w:r>
            <w:r w:rsidR="00785076">
              <w:t xml:space="preserve">Senior </w:t>
            </w:r>
            <w:r>
              <w:t>Constable van der Sluis stopped Mr Djime from boarding the train at Footscray station on 15 May 2013</w:t>
            </w:r>
          </w:p>
        </w:tc>
        <w:tc>
          <w:tcPr>
            <w:tcW w:w="1440" w:type="dxa"/>
          </w:tcPr>
          <w:p w:rsidR="003407B8" w:rsidRDefault="003407B8" w:rsidP="003407B8">
            <w:r>
              <w:t>Dismissed</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b</w:t>
            </w:r>
          </w:p>
        </w:tc>
        <w:tc>
          <w:tcPr>
            <w:tcW w:w="4860" w:type="dxa"/>
          </w:tcPr>
          <w:p w:rsidR="003407B8" w:rsidRDefault="003407B8" w:rsidP="003407B8">
            <w:r>
              <w:t>A claim of discrimination</w:t>
            </w:r>
            <w:r>
              <w:rPr>
                <w:rStyle w:val="FootnoteReference"/>
              </w:rPr>
              <w:footnoteReference w:id="100"/>
            </w:r>
            <w:r>
              <w:t xml:space="preserve"> arising from the charges laid in respect of events at Footscray station on 15 May 2013</w:t>
            </w:r>
          </w:p>
        </w:tc>
        <w:tc>
          <w:tcPr>
            <w:tcW w:w="1440" w:type="dxa"/>
          </w:tcPr>
          <w:p w:rsidR="003407B8" w:rsidRDefault="003407B8" w:rsidP="003407B8">
            <w:r>
              <w:t xml:space="preserve">Dismissed </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c</w:t>
            </w:r>
          </w:p>
        </w:tc>
        <w:tc>
          <w:tcPr>
            <w:tcW w:w="4860" w:type="dxa"/>
          </w:tcPr>
          <w:p w:rsidR="003407B8" w:rsidRDefault="003407B8" w:rsidP="003407B8">
            <w:r>
              <w:t>A claim of discrimination arising from Mr Djime’s removal from Footscray station and him being placed in a police van allegedly as a means to cover up the sexual harassment and because he had rejected the police officers’ advances on 15 May 2013</w:t>
            </w:r>
          </w:p>
        </w:tc>
        <w:tc>
          <w:tcPr>
            <w:tcW w:w="1440" w:type="dxa"/>
          </w:tcPr>
          <w:p w:rsidR="003407B8" w:rsidRDefault="003407B8" w:rsidP="003407B8">
            <w:r>
              <w:t xml:space="preserve">Dismissed </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d</w:t>
            </w:r>
          </w:p>
        </w:tc>
        <w:tc>
          <w:tcPr>
            <w:tcW w:w="4860" w:type="dxa"/>
          </w:tcPr>
          <w:p w:rsidR="003407B8" w:rsidRDefault="003407B8" w:rsidP="003407B8">
            <w:r>
              <w:t>A claim of discrimination arising from Mr Djime allegedly being left by police in the middle of nowhere on 15 May 2013</w:t>
            </w:r>
          </w:p>
        </w:tc>
        <w:tc>
          <w:tcPr>
            <w:tcW w:w="1440" w:type="dxa"/>
          </w:tcPr>
          <w:p w:rsidR="003407B8" w:rsidRDefault="003407B8" w:rsidP="003407B8">
            <w:r>
              <w:t>Proceed to hearing</w:t>
            </w:r>
          </w:p>
        </w:tc>
        <w:tc>
          <w:tcPr>
            <w:tcW w:w="2520" w:type="dxa"/>
          </w:tcPr>
          <w:p w:rsidR="003407B8" w:rsidRDefault="003407B8" w:rsidP="003407B8"/>
        </w:tc>
      </w:tr>
      <w:tr w:rsidR="003407B8" w:rsidTr="0004030A">
        <w:tc>
          <w:tcPr>
            <w:tcW w:w="900" w:type="dxa"/>
          </w:tcPr>
          <w:p w:rsidR="003407B8" w:rsidRDefault="003407B8" w:rsidP="003407B8">
            <w:r>
              <w:t>e</w:t>
            </w:r>
          </w:p>
        </w:tc>
        <w:tc>
          <w:tcPr>
            <w:tcW w:w="4860" w:type="dxa"/>
          </w:tcPr>
          <w:p w:rsidR="003407B8" w:rsidRDefault="003407B8" w:rsidP="003407B8">
            <w:r>
              <w:t>A claim of discrimination arising from the issuing of the two infringement notices, the laying of the charges and their prosecution in the context of the Footscray station incident</w:t>
            </w:r>
          </w:p>
        </w:tc>
        <w:tc>
          <w:tcPr>
            <w:tcW w:w="1440" w:type="dxa"/>
          </w:tcPr>
          <w:p w:rsidR="003407B8" w:rsidRDefault="003407B8" w:rsidP="003407B8">
            <w:r>
              <w:t>Dismissed</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f</w:t>
            </w:r>
          </w:p>
        </w:tc>
        <w:tc>
          <w:tcPr>
            <w:tcW w:w="4860" w:type="dxa"/>
          </w:tcPr>
          <w:p w:rsidR="003407B8" w:rsidRDefault="003407B8" w:rsidP="003407B8">
            <w:r>
              <w:t>A claim of victimisation arising from the laying of the charges and their prosecution in the context of the Footscray station incident</w:t>
            </w:r>
          </w:p>
        </w:tc>
        <w:tc>
          <w:tcPr>
            <w:tcW w:w="1440" w:type="dxa"/>
          </w:tcPr>
          <w:p w:rsidR="003407B8" w:rsidRDefault="003407B8" w:rsidP="003407B8">
            <w:r>
              <w:t>Dismissed</w:t>
            </w:r>
          </w:p>
        </w:tc>
        <w:tc>
          <w:tcPr>
            <w:tcW w:w="2520" w:type="dxa"/>
          </w:tcPr>
          <w:p w:rsidR="003407B8" w:rsidRDefault="003407B8" w:rsidP="003407B8">
            <w:r>
              <w:t>Lacking in substance and an abuse of process under section</w:t>
            </w:r>
            <w:r w:rsidR="00070D94">
              <w:t>s</w:t>
            </w:r>
            <w:r>
              <w:t xml:space="preserve"> 75(1)(a) and (b) of the VCAT Act</w:t>
            </w:r>
          </w:p>
        </w:tc>
      </w:tr>
      <w:tr w:rsidR="003407B8" w:rsidTr="0004030A">
        <w:tc>
          <w:tcPr>
            <w:tcW w:w="900" w:type="dxa"/>
          </w:tcPr>
          <w:p w:rsidR="003407B8" w:rsidRDefault="003407B8" w:rsidP="003407B8">
            <w:r>
              <w:t>g</w:t>
            </w:r>
          </w:p>
        </w:tc>
        <w:tc>
          <w:tcPr>
            <w:tcW w:w="4860" w:type="dxa"/>
          </w:tcPr>
          <w:p w:rsidR="003407B8" w:rsidRDefault="003407B8" w:rsidP="003407B8">
            <w:r>
              <w:t xml:space="preserve">A claim of discrimination arising from the comments said to have been made to Mr G Besanko by Sergeant Kearnes as set out in paragraph </w:t>
            </w:r>
            <w:r w:rsidR="008972C3">
              <w:t>114</w:t>
            </w:r>
            <w:r>
              <w:t xml:space="preserve"> on 18 September 2013</w:t>
            </w:r>
          </w:p>
        </w:tc>
        <w:tc>
          <w:tcPr>
            <w:tcW w:w="1440" w:type="dxa"/>
          </w:tcPr>
          <w:p w:rsidR="003407B8" w:rsidRDefault="003407B8" w:rsidP="003407B8">
            <w:r>
              <w:t>Proceed to hearing</w:t>
            </w:r>
          </w:p>
        </w:tc>
        <w:tc>
          <w:tcPr>
            <w:tcW w:w="2520" w:type="dxa"/>
          </w:tcPr>
          <w:p w:rsidR="003407B8" w:rsidRDefault="003407B8" w:rsidP="003407B8"/>
        </w:tc>
      </w:tr>
      <w:tr w:rsidR="003407B8" w:rsidTr="0004030A">
        <w:tc>
          <w:tcPr>
            <w:tcW w:w="900" w:type="dxa"/>
          </w:tcPr>
          <w:p w:rsidR="003407B8" w:rsidRDefault="003407B8" w:rsidP="003407B8">
            <w:r>
              <w:t>h</w:t>
            </w:r>
          </w:p>
        </w:tc>
        <w:tc>
          <w:tcPr>
            <w:tcW w:w="4860" w:type="dxa"/>
          </w:tcPr>
          <w:p w:rsidR="003407B8" w:rsidRDefault="003407B8" w:rsidP="003407B8">
            <w:r>
              <w:t>A claim of discrimination arising from Sergeant Kearnes’ request on 18 September 2013 that Mr Djime, rather than Mr G Besanko, leave the premises</w:t>
            </w:r>
          </w:p>
        </w:tc>
        <w:tc>
          <w:tcPr>
            <w:tcW w:w="1440" w:type="dxa"/>
          </w:tcPr>
          <w:p w:rsidR="003407B8" w:rsidRDefault="003407B8" w:rsidP="003407B8">
            <w:r>
              <w:t>Proceed to hearing</w:t>
            </w:r>
          </w:p>
        </w:tc>
        <w:tc>
          <w:tcPr>
            <w:tcW w:w="2520" w:type="dxa"/>
          </w:tcPr>
          <w:p w:rsidR="003407B8" w:rsidRDefault="003407B8" w:rsidP="003407B8"/>
        </w:tc>
      </w:tr>
    </w:tbl>
    <w:p w:rsidR="003407B8" w:rsidRDefault="003407B8">
      <w:r>
        <w:br w:type="page"/>
      </w: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860"/>
        <w:gridCol w:w="1440"/>
        <w:gridCol w:w="2520"/>
      </w:tblGrid>
      <w:tr w:rsidR="003407B8" w:rsidTr="0004030A">
        <w:tc>
          <w:tcPr>
            <w:tcW w:w="900" w:type="dxa"/>
          </w:tcPr>
          <w:p w:rsidR="003407B8" w:rsidRDefault="003407B8" w:rsidP="003407B8">
            <w:r>
              <w:t>i</w:t>
            </w:r>
          </w:p>
        </w:tc>
        <w:tc>
          <w:tcPr>
            <w:tcW w:w="4860" w:type="dxa"/>
          </w:tcPr>
          <w:p w:rsidR="003407B8" w:rsidRDefault="003407B8" w:rsidP="003407B8">
            <w:r>
              <w:t>A claim of discrimination arising from Sergeant Kearnes taking out gas spray while inside the premises on 18 September 2013</w:t>
            </w:r>
          </w:p>
        </w:tc>
        <w:tc>
          <w:tcPr>
            <w:tcW w:w="1440" w:type="dxa"/>
          </w:tcPr>
          <w:p w:rsidR="003407B8" w:rsidRDefault="003407B8" w:rsidP="003407B8">
            <w:r>
              <w:t>Dismissed</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j</w:t>
            </w:r>
          </w:p>
        </w:tc>
        <w:tc>
          <w:tcPr>
            <w:tcW w:w="4860" w:type="dxa"/>
          </w:tcPr>
          <w:p w:rsidR="003407B8" w:rsidRDefault="003407B8" w:rsidP="003407B8">
            <w:r>
              <w:t>A claim of discrimination arising from Sergeant Kearnes allegedly assaulting Mr Djime inside the premises on 18 September 2013</w:t>
            </w:r>
          </w:p>
        </w:tc>
        <w:tc>
          <w:tcPr>
            <w:tcW w:w="1440" w:type="dxa"/>
          </w:tcPr>
          <w:p w:rsidR="003407B8" w:rsidRDefault="003407B8" w:rsidP="003407B8">
            <w:r>
              <w:t>Dismissed</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k</w:t>
            </w:r>
          </w:p>
        </w:tc>
        <w:tc>
          <w:tcPr>
            <w:tcW w:w="4860" w:type="dxa"/>
          </w:tcPr>
          <w:p w:rsidR="003407B8" w:rsidRDefault="003407B8" w:rsidP="003407B8">
            <w:r>
              <w:t>A claim of discrimination arising from Sergeant Kearnes allegedly evicting Mr Djime from the premises on 18 September 2013</w:t>
            </w:r>
          </w:p>
        </w:tc>
        <w:tc>
          <w:tcPr>
            <w:tcW w:w="1440" w:type="dxa"/>
          </w:tcPr>
          <w:p w:rsidR="003407B8" w:rsidRDefault="003407B8" w:rsidP="003407B8">
            <w:r>
              <w:t>Dismissed</w:t>
            </w:r>
          </w:p>
        </w:tc>
        <w:tc>
          <w:tcPr>
            <w:tcW w:w="2520" w:type="dxa"/>
          </w:tcPr>
          <w:p w:rsidR="003407B8" w:rsidRDefault="003407B8" w:rsidP="003407B8">
            <w:r>
              <w:t>No service under the EO Act – misconceived under section 75(1)(a) of the VCAT Act</w:t>
            </w:r>
          </w:p>
        </w:tc>
      </w:tr>
      <w:tr w:rsidR="003407B8" w:rsidTr="0004030A">
        <w:tc>
          <w:tcPr>
            <w:tcW w:w="900" w:type="dxa"/>
          </w:tcPr>
          <w:p w:rsidR="003407B8" w:rsidRDefault="003407B8" w:rsidP="003407B8">
            <w:r>
              <w:t>l</w:t>
            </w:r>
          </w:p>
        </w:tc>
        <w:tc>
          <w:tcPr>
            <w:tcW w:w="4860" w:type="dxa"/>
          </w:tcPr>
          <w:p w:rsidR="003407B8" w:rsidRDefault="003407B8" w:rsidP="003407B8">
            <w:r>
              <w:t>A claim of discrimination arising from the failure, on 18 September 2013, to ask Mr Dienkha about what had occurred and rather asking Mr Elliott, who is white</w:t>
            </w:r>
          </w:p>
        </w:tc>
        <w:tc>
          <w:tcPr>
            <w:tcW w:w="1440" w:type="dxa"/>
          </w:tcPr>
          <w:p w:rsidR="003407B8" w:rsidRDefault="003407B8" w:rsidP="003407B8">
            <w:r>
              <w:t>Dismissed</w:t>
            </w:r>
          </w:p>
        </w:tc>
        <w:tc>
          <w:tcPr>
            <w:tcW w:w="2520" w:type="dxa"/>
          </w:tcPr>
          <w:p w:rsidR="003407B8" w:rsidRDefault="003407B8" w:rsidP="003407B8">
            <w:r>
              <w:t>No standing to make claim – misconceived under section 75(1)(a) of the VCAT Act</w:t>
            </w:r>
          </w:p>
        </w:tc>
      </w:tr>
      <w:tr w:rsidR="003407B8" w:rsidTr="0004030A">
        <w:tc>
          <w:tcPr>
            <w:tcW w:w="900" w:type="dxa"/>
          </w:tcPr>
          <w:p w:rsidR="003407B8" w:rsidRDefault="003407B8" w:rsidP="003407B8">
            <w:r>
              <w:t>m</w:t>
            </w:r>
          </w:p>
        </w:tc>
        <w:tc>
          <w:tcPr>
            <w:tcW w:w="4860" w:type="dxa"/>
          </w:tcPr>
          <w:p w:rsidR="003407B8" w:rsidRDefault="003407B8" w:rsidP="003407B8">
            <w:r>
              <w:t>A claim that, on 18 September 2013, Sergeant Kearnes was assisting or authorising discrimination by Mr G Besanko when Sergeant Kearnes allegedly evicted Mr Djime</w:t>
            </w:r>
          </w:p>
        </w:tc>
        <w:tc>
          <w:tcPr>
            <w:tcW w:w="1440" w:type="dxa"/>
          </w:tcPr>
          <w:p w:rsidR="003407B8" w:rsidRDefault="003407B8" w:rsidP="003407B8">
            <w:r>
              <w:t>Proceed to hearing</w:t>
            </w:r>
          </w:p>
        </w:tc>
        <w:tc>
          <w:tcPr>
            <w:tcW w:w="2520" w:type="dxa"/>
          </w:tcPr>
          <w:p w:rsidR="003407B8" w:rsidRDefault="003407B8" w:rsidP="003407B8"/>
        </w:tc>
      </w:tr>
      <w:tr w:rsidR="003407B8" w:rsidTr="0004030A">
        <w:tc>
          <w:tcPr>
            <w:tcW w:w="900" w:type="dxa"/>
          </w:tcPr>
          <w:p w:rsidR="003407B8" w:rsidRDefault="003407B8" w:rsidP="003407B8">
            <w:r>
              <w:t>n</w:t>
            </w:r>
          </w:p>
        </w:tc>
        <w:tc>
          <w:tcPr>
            <w:tcW w:w="4860" w:type="dxa"/>
          </w:tcPr>
          <w:p w:rsidR="003407B8" w:rsidRDefault="003407B8" w:rsidP="003407B8">
            <w:r>
              <w:t xml:space="preserve">A claim of victimisation in respect of the charges laid in the context of the lease dispute </w:t>
            </w:r>
          </w:p>
        </w:tc>
        <w:tc>
          <w:tcPr>
            <w:tcW w:w="1440" w:type="dxa"/>
          </w:tcPr>
          <w:p w:rsidR="003407B8" w:rsidRDefault="003407B8" w:rsidP="003407B8">
            <w:r>
              <w:t>Dismissed</w:t>
            </w:r>
          </w:p>
        </w:tc>
        <w:tc>
          <w:tcPr>
            <w:tcW w:w="2520" w:type="dxa"/>
          </w:tcPr>
          <w:p w:rsidR="003407B8" w:rsidRDefault="003407B8" w:rsidP="003407B8">
            <w:r>
              <w:t>Lacking in substance and an abuse of process under section</w:t>
            </w:r>
            <w:r w:rsidR="00070D94">
              <w:t>s</w:t>
            </w:r>
            <w:r>
              <w:t xml:space="preserve"> 75(1)(a) and (b) of the VCAT Act</w:t>
            </w:r>
          </w:p>
        </w:tc>
      </w:tr>
      <w:tr w:rsidR="003407B8" w:rsidTr="0004030A">
        <w:tc>
          <w:tcPr>
            <w:tcW w:w="900" w:type="dxa"/>
          </w:tcPr>
          <w:p w:rsidR="003407B8" w:rsidRDefault="003407B8" w:rsidP="003407B8">
            <w:r>
              <w:t>o</w:t>
            </w:r>
          </w:p>
        </w:tc>
        <w:tc>
          <w:tcPr>
            <w:tcW w:w="4860" w:type="dxa"/>
          </w:tcPr>
          <w:p w:rsidR="003407B8" w:rsidRDefault="003407B8" w:rsidP="003407B8">
            <w:r>
              <w:t>A claim of discrimination in respect of comments allegedly made by Sergeant Drake to Mr Djime when he made the complaint on 18 September 2013</w:t>
            </w:r>
          </w:p>
        </w:tc>
        <w:tc>
          <w:tcPr>
            <w:tcW w:w="1440" w:type="dxa"/>
          </w:tcPr>
          <w:p w:rsidR="003407B8" w:rsidRDefault="003407B8" w:rsidP="003407B8">
            <w:r>
              <w:t>Proceed to hearing</w:t>
            </w:r>
          </w:p>
        </w:tc>
        <w:tc>
          <w:tcPr>
            <w:tcW w:w="2520" w:type="dxa"/>
          </w:tcPr>
          <w:p w:rsidR="003407B8" w:rsidRDefault="003407B8" w:rsidP="003407B8"/>
        </w:tc>
      </w:tr>
      <w:tr w:rsidR="003407B8" w:rsidTr="0004030A">
        <w:tc>
          <w:tcPr>
            <w:tcW w:w="900" w:type="dxa"/>
          </w:tcPr>
          <w:p w:rsidR="003407B8" w:rsidRDefault="003407B8" w:rsidP="003407B8">
            <w:r>
              <w:t>p</w:t>
            </w:r>
          </w:p>
        </w:tc>
        <w:tc>
          <w:tcPr>
            <w:tcW w:w="4860" w:type="dxa"/>
          </w:tcPr>
          <w:p w:rsidR="003407B8" w:rsidRDefault="003407B8" w:rsidP="003407B8">
            <w:r>
              <w:t>A claim of discrimination arising from an alleged failure to investigate properly the complaint about Sergeant Kearnes’ conduct on 18 September 2013</w:t>
            </w:r>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q</w:t>
            </w:r>
          </w:p>
        </w:tc>
        <w:tc>
          <w:tcPr>
            <w:tcW w:w="4860" w:type="dxa"/>
          </w:tcPr>
          <w:p w:rsidR="003407B8" w:rsidRDefault="003407B8" w:rsidP="003407B8">
            <w:r>
              <w:t>A claim of victimisation by Constable Le attending Mr Djime’s home and making enquiries about his whereabouts in the context of the lease dispute charges and prosecution</w:t>
            </w:r>
          </w:p>
        </w:tc>
        <w:tc>
          <w:tcPr>
            <w:tcW w:w="1440" w:type="dxa"/>
          </w:tcPr>
          <w:p w:rsidR="003407B8" w:rsidRDefault="003407B8" w:rsidP="003407B8">
            <w:r>
              <w:t>Dismissed</w:t>
            </w:r>
          </w:p>
        </w:tc>
        <w:tc>
          <w:tcPr>
            <w:tcW w:w="2520" w:type="dxa"/>
          </w:tcPr>
          <w:p w:rsidR="003407B8" w:rsidRDefault="003407B8" w:rsidP="003407B8">
            <w:r>
              <w:t>Lacking in substance and an abuse of process under section</w:t>
            </w:r>
            <w:r w:rsidR="00C9392E">
              <w:t>s</w:t>
            </w:r>
            <w:r>
              <w:t xml:space="preserve"> 75(1)(a) and (b) of the VCAT Act</w:t>
            </w:r>
          </w:p>
        </w:tc>
      </w:tr>
    </w:tbl>
    <w:p w:rsidR="003407B8" w:rsidRDefault="003407B8">
      <w:r>
        <w:br w:type="page"/>
      </w: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860"/>
        <w:gridCol w:w="1440"/>
        <w:gridCol w:w="2520"/>
      </w:tblGrid>
      <w:tr w:rsidR="003407B8" w:rsidTr="0004030A">
        <w:tc>
          <w:tcPr>
            <w:tcW w:w="900" w:type="dxa"/>
          </w:tcPr>
          <w:p w:rsidR="003407B8" w:rsidRDefault="003407B8" w:rsidP="003407B8">
            <w:r>
              <w:t>r</w:t>
            </w:r>
          </w:p>
        </w:tc>
        <w:tc>
          <w:tcPr>
            <w:tcW w:w="4860" w:type="dxa"/>
          </w:tcPr>
          <w:p w:rsidR="003407B8" w:rsidRDefault="003407B8" w:rsidP="003407B8">
            <w:r>
              <w:t>A claim of discrimination arising from the lease dispute charges and the management of the hearing of those charges including the involvement of Constable Le</w:t>
            </w:r>
          </w:p>
        </w:tc>
        <w:tc>
          <w:tcPr>
            <w:tcW w:w="1440" w:type="dxa"/>
          </w:tcPr>
          <w:p w:rsidR="003407B8" w:rsidRDefault="003407B8" w:rsidP="003407B8">
            <w:r>
              <w:t>Dismissed</w:t>
            </w:r>
          </w:p>
        </w:tc>
        <w:tc>
          <w:tcPr>
            <w:tcW w:w="2520" w:type="dxa"/>
          </w:tcPr>
          <w:p w:rsidR="003407B8" w:rsidRDefault="003407B8" w:rsidP="003407B8">
            <w:r>
              <w:t>No service under the EO Act – misconceived and an abuse of process under section</w:t>
            </w:r>
            <w:r w:rsidR="00C9392E">
              <w:t>s</w:t>
            </w:r>
            <w:r>
              <w:t xml:space="preserve"> 75(1)(a) and (b) of the VCAT Act </w:t>
            </w:r>
          </w:p>
        </w:tc>
      </w:tr>
      <w:tr w:rsidR="003407B8" w:rsidTr="0004030A">
        <w:tc>
          <w:tcPr>
            <w:tcW w:w="900" w:type="dxa"/>
          </w:tcPr>
          <w:p w:rsidR="003407B8" w:rsidRDefault="003407B8" w:rsidP="003407B8">
            <w:r>
              <w:t>s</w:t>
            </w:r>
          </w:p>
        </w:tc>
        <w:tc>
          <w:tcPr>
            <w:tcW w:w="4860" w:type="dxa"/>
          </w:tcPr>
          <w:p w:rsidR="003407B8" w:rsidRDefault="003407B8" w:rsidP="003407B8">
            <w:r>
              <w:t xml:space="preserve">A claim of discrimination arising from all of the matters raised by Mr Djime in this proceeding in respect of Victoria Police’s dealings with him </w:t>
            </w:r>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t</w:t>
            </w:r>
          </w:p>
        </w:tc>
        <w:tc>
          <w:tcPr>
            <w:tcW w:w="4860" w:type="dxa"/>
          </w:tcPr>
          <w:p w:rsidR="003407B8" w:rsidRDefault="003407B8" w:rsidP="003407B8">
            <w:r>
              <w:t>A claim of discrimination arising from police officers searching Mr Djime’s Collingwood store in 2008</w:t>
            </w:r>
          </w:p>
        </w:tc>
        <w:tc>
          <w:tcPr>
            <w:tcW w:w="1440" w:type="dxa"/>
          </w:tcPr>
          <w:p w:rsidR="003407B8" w:rsidRDefault="003407B8" w:rsidP="003407B8">
            <w:r>
              <w:t>Dismissed</w:t>
            </w:r>
          </w:p>
        </w:tc>
        <w:tc>
          <w:tcPr>
            <w:tcW w:w="2520" w:type="dxa"/>
          </w:tcPr>
          <w:p w:rsidR="003407B8" w:rsidRDefault="00070D94" w:rsidP="003407B8">
            <w:r>
              <w:t>No service under the EO Act – misconceived and l</w:t>
            </w:r>
            <w:r w:rsidR="003407B8">
              <w:t>acking in substance under section 75(1)(a) of the VCAT Act</w:t>
            </w:r>
          </w:p>
        </w:tc>
      </w:tr>
      <w:tr w:rsidR="003407B8" w:rsidTr="0004030A">
        <w:tc>
          <w:tcPr>
            <w:tcW w:w="900" w:type="dxa"/>
          </w:tcPr>
          <w:p w:rsidR="003407B8" w:rsidRDefault="003407B8" w:rsidP="003407B8">
            <w:r>
              <w:t>u</w:t>
            </w:r>
          </w:p>
        </w:tc>
        <w:tc>
          <w:tcPr>
            <w:tcW w:w="4860" w:type="dxa"/>
          </w:tcPr>
          <w:p w:rsidR="003407B8" w:rsidRDefault="003407B8" w:rsidP="003407B8">
            <w:r>
              <w:t xml:space="preserve">A claim of discrimination in respect of Mr Djime’s treatment as compared to that of two white customers in his Collinwood store in or around </w:t>
            </w:r>
            <w:r w:rsidR="00C9392E">
              <w:t>March 2009</w:t>
            </w:r>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v</w:t>
            </w:r>
          </w:p>
        </w:tc>
        <w:tc>
          <w:tcPr>
            <w:tcW w:w="4860" w:type="dxa"/>
          </w:tcPr>
          <w:p w:rsidR="003407B8" w:rsidRDefault="003407B8" w:rsidP="003407B8">
            <w:r>
              <w:t xml:space="preserve">A claim of discrimination arising from interaction with police when he was dancing in </w:t>
            </w:r>
            <w:smartTag w:uri="urn:schemas-microsoft-com:office:smarttags" w:element="address">
              <w:smartTag w:uri="urn:schemas-microsoft-com:office:smarttags" w:element="Street">
                <w:r>
                  <w:t>Collins Street</w:t>
                </w:r>
              </w:smartTag>
            </w:smartTag>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w</w:t>
            </w:r>
          </w:p>
        </w:tc>
        <w:tc>
          <w:tcPr>
            <w:tcW w:w="4860" w:type="dxa"/>
          </w:tcPr>
          <w:p w:rsidR="003407B8" w:rsidRDefault="003407B8" w:rsidP="003407B8">
            <w:r>
              <w:t xml:space="preserve">A claim of breach of the Charter arising from interaction with police when he was dancing in </w:t>
            </w:r>
            <w:smartTag w:uri="urn:schemas-microsoft-com:office:smarttags" w:element="address">
              <w:smartTag w:uri="urn:schemas-microsoft-com:office:smarttags" w:element="Street">
                <w:r>
                  <w:t>Collins Street</w:t>
                </w:r>
              </w:smartTag>
            </w:smartTag>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x</w:t>
            </w:r>
          </w:p>
        </w:tc>
        <w:tc>
          <w:tcPr>
            <w:tcW w:w="4860" w:type="dxa"/>
          </w:tcPr>
          <w:p w:rsidR="003407B8" w:rsidRDefault="003407B8" w:rsidP="003407B8">
            <w:r>
              <w:t xml:space="preserve">A claim of racial vilification arising from interaction with police when he was dancing in </w:t>
            </w:r>
            <w:smartTag w:uri="urn:schemas-microsoft-com:office:smarttags" w:element="address">
              <w:smartTag w:uri="urn:schemas-microsoft-com:office:smarttags" w:element="Street">
                <w:r>
                  <w:t>Collins Street</w:t>
                </w:r>
              </w:smartTag>
            </w:smartTag>
            <w:r>
              <w:t xml:space="preserve"> </w:t>
            </w:r>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y</w:t>
            </w:r>
          </w:p>
        </w:tc>
        <w:tc>
          <w:tcPr>
            <w:tcW w:w="4860" w:type="dxa"/>
          </w:tcPr>
          <w:p w:rsidR="003407B8" w:rsidRDefault="003407B8" w:rsidP="003407B8">
            <w:r>
              <w:t>A claim of discrimination arising from a request to leave the area around a nightclub on 8 September 2012</w:t>
            </w:r>
          </w:p>
        </w:tc>
        <w:tc>
          <w:tcPr>
            <w:tcW w:w="1440" w:type="dxa"/>
          </w:tcPr>
          <w:p w:rsidR="003407B8" w:rsidRDefault="003407B8" w:rsidP="003407B8">
            <w:r>
              <w:t>Dismissed</w:t>
            </w:r>
          </w:p>
        </w:tc>
        <w:tc>
          <w:tcPr>
            <w:tcW w:w="2520" w:type="dxa"/>
          </w:tcPr>
          <w:p w:rsidR="003407B8" w:rsidRDefault="003407B8" w:rsidP="003407B8">
            <w:r>
              <w:t>Lacking in substance under section 75(1)(a) of the VCAT Act</w:t>
            </w:r>
          </w:p>
        </w:tc>
      </w:tr>
      <w:tr w:rsidR="003407B8" w:rsidTr="0004030A">
        <w:tc>
          <w:tcPr>
            <w:tcW w:w="900" w:type="dxa"/>
          </w:tcPr>
          <w:p w:rsidR="003407B8" w:rsidRDefault="003407B8" w:rsidP="003407B8">
            <w:r>
              <w:t>z</w:t>
            </w:r>
          </w:p>
        </w:tc>
        <w:tc>
          <w:tcPr>
            <w:tcW w:w="4860" w:type="dxa"/>
          </w:tcPr>
          <w:p w:rsidR="003407B8" w:rsidRDefault="003407B8" w:rsidP="003407B8">
            <w:r>
              <w:t xml:space="preserve">A claim of sexual harassment by </w:t>
            </w:r>
            <w:r w:rsidRPr="0004030A">
              <w:rPr>
                <w:i/>
              </w:rPr>
              <w:t>‘Emily’</w:t>
            </w:r>
            <w:r>
              <w:t xml:space="preserve"> at PJ O’Brien’s nightclub </w:t>
            </w:r>
          </w:p>
        </w:tc>
        <w:tc>
          <w:tcPr>
            <w:tcW w:w="1440" w:type="dxa"/>
          </w:tcPr>
          <w:p w:rsidR="003407B8" w:rsidRDefault="003407B8" w:rsidP="003407B8">
            <w:r>
              <w:t>Dismissed</w:t>
            </w:r>
          </w:p>
        </w:tc>
        <w:tc>
          <w:tcPr>
            <w:tcW w:w="2520" w:type="dxa"/>
          </w:tcPr>
          <w:p w:rsidR="003407B8" w:rsidRDefault="003407B8" w:rsidP="00C9392E">
            <w:r>
              <w:t xml:space="preserve">No service under the EO Act </w:t>
            </w:r>
            <w:r w:rsidR="00C9392E">
              <w:t xml:space="preserve"> - </w:t>
            </w:r>
            <w:r>
              <w:t>lacking in substance under section 75(1)(a) of the VCAT Act</w:t>
            </w:r>
          </w:p>
        </w:tc>
      </w:tr>
    </w:tbl>
    <w:p w:rsidR="00070D94" w:rsidRDefault="00070D94">
      <w:r>
        <w:br w:type="page"/>
      </w:r>
    </w:p>
    <w:tbl>
      <w:tblPr>
        <w:tblW w:w="97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860"/>
        <w:gridCol w:w="1440"/>
        <w:gridCol w:w="2520"/>
      </w:tblGrid>
      <w:tr w:rsidR="003407B8" w:rsidTr="0004030A">
        <w:tc>
          <w:tcPr>
            <w:tcW w:w="900" w:type="dxa"/>
          </w:tcPr>
          <w:p w:rsidR="003407B8" w:rsidRDefault="003407B8" w:rsidP="003407B8">
            <w:r>
              <w:t>aa</w:t>
            </w:r>
          </w:p>
        </w:tc>
        <w:tc>
          <w:tcPr>
            <w:tcW w:w="4860" w:type="dxa"/>
          </w:tcPr>
          <w:p w:rsidR="003407B8" w:rsidRDefault="003407B8" w:rsidP="003407B8">
            <w:r>
              <w:t xml:space="preserve">A claim of discrimination arising from the police’s request for Mr Djime to leave the </w:t>
            </w:r>
            <w:smartTag w:uri="urn:schemas-microsoft-com:office:smarttags" w:element="address">
              <w:smartTag w:uri="urn:schemas-microsoft-com:office:smarttags" w:element="Street">
                <w:r>
                  <w:t>Sutton Street</w:t>
                </w:r>
              </w:smartTag>
            </w:smartTag>
            <w:r>
              <w:t xml:space="preserve"> premises</w:t>
            </w:r>
          </w:p>
        </w:tc>
        <w:tc>
          <w:tcPr>
            <w:tcW w:w="1440" w:type="dxa"/>
          </w:tcPr>
          <w:p w:rsidR="003407B8" w:rsidRDefault="003407B8" w:rsidP="003407B8">
            <w:r>
              <w:t>Proceed to hearing</w:t>
            </w:r>
          </w:p>
        </w:tc>
        <w:tc>
          <w:tcPr>
            <w:tcW w:w="2520" w:type="dxa"/>
          </w:tcPr>
          <w:p w:rsidR="003407B8" w:rsidRDefault="003407B8" w:rsidP="003407B8"/>
        </w:tc>
      </w:tr>
    </w:tbl>
    <w:p w:rsidR="003407B8" w:rsidRDefault="003407B8" w:rsidP="003407B8"/>
    <w:p w:rsidR="005A64C8" w:rsidRDefault="005A64C8"/>
    <w:sectPr w:rsidR="005A64C8">
      <w:footerReference w:type="default" r:id="rId7"/>
      <w:pgSz w:w="11907" w:h="16840" w:code="9"/>
      <w:pgMar w:top="1418" w:right="1701" w:bottom="1418"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83" w:rsidRDefault="002A4783">
      <w:r>
        <w:separator/>
      </w:r>
    </w:p>
  </w:endnote>
  <w:endnote w:type="continuationSeparator" w:id="0">
    <w:p w:rsidR="002A4783" w:rsidRDefault="002A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000" w:firstRow="0" w:lastRow="0" w:firstColumn="0" w:lastColumn="0" w:noHBand="0" w:noVBand="0"/>
    </w:tblPr>
    <w:tblGrid>
      <w:gridCol w:w="6774"/>
      <w:gridCol w:w="1947"/>
    </w:tblGrid>
    <w:tr w:rsidR="002A4783">
      <w:tblPrEx>
        <w:tblCellMar>
          <w:top w:w="0" w:type="dxa"/>
          <w:bottom w:w="0" w:type="dxa"/>
        </w:tblCellMar>
      </w:tblPrEx>
      <w:trPr>
        <w:cantSplit/>
      </w:trPr>
      <w:tc>
        <w:tcPr>
          <w:tcW w:w="3884" w:type="pct"/>
          <w:tcBorders>
            <w:top w:val="single" w:sz="4" w:space="0" w:color="auto"/>
          </w:tcBorders>
        </w:tcPr>
        <w:p w:rsidR="002A4783" w:rsidRDefault="002A4783">
          <w:pPr>
            <w:pStyle w:val="Footer"/>
            <w:spacing w:beforeLines="60" w:before="144"/>
            <w:rPr>
              <w:rFonts w:cs="Arial"/>
              <w:sz w:val="18"/>
              <w:szCs w:val="18"/>
            </w:rPr>
          </w:pPr>
          <w:bookmarkStart w:id="21" w:name="FooterDescription"/>
          <w:bookmarkStart w:id="22" w:name="FooterFileNo1"/>
          <w:bookmarkEnd w:id="21"/>
          <w:bookmarkEnd w:id="22"/>
          <w:r>
            <w:rPr>
              <w:rFonts w:cs="Arial"/>
              <w:sz w:val="18"/>
              <w:szCs w:val="18"/>
            </w:rPr>
            <w:t>VCAT Reference No. H164/2014</w:t>
          </w:r>
        </w:p>
      </w:tc>
      <w:tc>
        <w:tcPr>
          <w:tcW w:w="1116" w:type="pct"/>
          <w:tcBorders>
            <w:top w:val="single" w:sz="4" w:space="0" w:color="auto"/>
          </w:tcBorders>
        </w:tcPr>
        <w:p w:rsidR="002A4783" w:rsidRDefault="002A4783">
          <w:pPr>
            <w:pStyle w:val="Footer"/>
            <w:spacing w:beforeLines="60" w:before="144"/>
            <w:jc w:val="right"/>
            <w:rPr>
              <w:rFonts w:cs="Arial"/>
              <w:sz w:val="18"/>
              <w:szCs w:val="18"/>
            </w:rPr>
          </w:pPr>
          <w:r>
            <w:rPr>
              <w:rFonts w:cs="Arial"/>
              <w:sz w:val="18"/>
              <w:szCs w:val="18"/>
            </w:rPr>
            <w:t xml:space="preserve">Page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Pr>
              <w:rStyle w:val="PageNumber"/>
              <w:rFonts w:cs="Arial"/>
              <w:noProof/>
              <w:sz w:val="18"/>
              <w:szCs w:val="18"/>
            </w:rPr>
            <w:t>47</w:t>
          </w:r>
          <w:r>
            <w:rPr>
              <w:rStyle w:val="PageNumber"/>
              <w:rFonts w:cs="Arial"/>
              <w:sz w:val="18"/>
              <w:szCs w:val="18"/>
            </w:rPr>
            <w:fldChar w:fldCharType="end"/>
          </w:r>
          <w:r>
            <w:rPr>
              <w:rStyle w:val="PageNumber"/>
              <w:rFonts w:cs="Arial"/>
              <w:sz w:val="18"/>
              <w:szCs w:val="18"/>
            </w:rPr>
            <w:t xml:space="preserve"> of </w:t>
          </w:r>
          <w:r>
            <w:rPr>
              <w:rStyle w:val="PageNumber"/>
              <w:rFonts w:cs="Arial"/>
              <w:sz w:val="18"/>
              <w:szCs w:val="18"/>
            </w:rPr>
            <w:fldChar w:fldCharType="begin"/>
          </w:r>
          <w:r>
            <w:rPr>
              <w:rStyle w:val="PageNumber"/>
              <w:rFonts w:cs="Arial"/>
              <w:sz w:val="18"/>
              <w:szCs w:val="18"/>
            </w:rPr>
            <w:instrText xml:space="preserve"> NUMPAGES </w:instrText>
          </w:r>
          <w:r>
            <w:rPr>
              <w:rStyle w:val="PageNumber"/>
              <w:rFonts w:cs="Arial"/>
              <w:sz w:val="18"/>
              <w:szCs w:val="18"/>
            </w:rPr>
            <w:fldChar w:fldCharType="separate"/>
          </w:r>
          <w:r>
            <w:rPr>
              <w:rStyle w:val="PageNumber"/>
              <w:rFonts w:cs="Arial"/>
              <w:noProof/>
              <w:sz w:val="18"/>
              <w:szCs w:val="18"/>
            </w:rPr>
            <w:t>47</w:t>
          </w:r>
          <w:r>
            <w:rPr>
              <w:rStyle w:val="PageNumber"/>
              <w:rFonts w:cs="Arial"/>
              <w:sz w:val="18"/>
              <w:szCs w:val="18"/>
            </w:rPr>
            <w:fldChar w:fldCharType="end"/>
          </w:r>
        </w:p>
      </w:tc>
    </w:tr>
  </w:tbl>
  <w:p w:rsidR="002A4783" w:rsidRDefault="002A4783">
    <w:pPr>
      <w:pStyle w:val="Footer"/>
      <w:rPr>
        <w:sz w:val="2"/>
      </w:rPr>
    </w:pPr>
  </w:p>
  <w:p w:rsidR="002A4783" w:rsidRDefault="002A4783">
    <w:pPr>
      <w:rPr>
        <w:sz w:val="2"/>
      </w:rPr>
    </w:pPr>
  </w:p>
  <w:p w:rsidR="002A4783" w:rsidRDefault="002A4783">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83" w:rsidRDefault="002A4783">
      <w:pPr>
        <w:pStyle w:val="Footer"/>
        <w:pBdr>
          <w:top w:val="single" w:sz="4" w:space="1" w:color="auto"/>
        </w:pBdr>
        <w:rPr>
          <w:sz w:val="12"/>
        </w:rPr>
      </w:pPr>
    </w:p>
  </w:footnote>
  <w:footnote w:type="continuationSeparator" w:id="0">
    <w:p w:rsidR="002A4783" w:rsidRDefault="002A4783">
      <w:r>
        <w:continuationSeparator/>
      </w:r>
    </w:p>
  </w:footnote>
  <w:footnote w:id="1">
    <w:p w:rsidR="00000000" w:rsidRDefault="002A4783">
      <w:pPr>
        <w:pStyle w:val="FootnoteText"/>
      </w:pPr>
      <w:r>
        <w:rPr>
          <w:rStyle w:val="FootnoteReference"/>
        </w:rPr>
        <w:footnoteRef/>
      </w:r>
      <w:r>
        <w:t xml:space="preserve"> </w:t>
      </w:r>
      <w:r>
        <w:tab/>
      </w:r>
      <w:r>
        <w:tab/>
        <w:t>Transcript, page 183.</w:t>
      </w:r>
    </w:p>
  </w:footnote>
  <w:footnote w:id="2">
    <w:p w:rsidR="00000000" w:rsidRDefault="002A4783" w:rsidP="00E2587C">
      <w:pPr>
        <w:pStyle w:val="FootnoteText"/>
        <w:ind w:left="568" w:hanging="568"/>
      </w:pPr>
      <w:r>
        <w:rPr>
          <w:rStyle w:val="FootnoteReference"/>
        </w:rPr>
        <w:footnoteRef/>
      </w:r>
      <w:r>
        <w:t xml:space="preserve"> </w:t>
      </w:r>
      <w:r>
        <w:tab/>
      </w:r>
      <w:r w:rsidRPr="00872723">
        <w:t xml:space="preserve">The cases include the following: </w:t>
      </w:r>
      <w:r w:rsidRPr="00872723">
        <w:rPr>
          <w:i/>
        </w:rPr>
        <w:t>State Electricity Commission of Victoria v Rabel &amp; Ors</w:t>
      </w:r>
      <w:r w:rsidRPr="00872723">
        <w:t xml:space="preserve"> [1998] 1 VR 102; </w:t>
      </w:r>
      <w:r w:rsidRPr="00872723">
        <w:rPr>
          <w:i/>
        </w:rPr>
        <w:t>Norman v Australian Red Cross Society</w:t>
      </w:r>
      <w:r w:rsidRPr="00872723">
        <w:t xml:space="preserve"> (1998) 14 VAR 243; </w:t>
      </w:r>
      <w:r w:rsidRPr="00872723">
        <w:rPr>
          <w:i/>
        </w:rPr>
        <w:t>Towie v State of Victoria</w:t>
      </w:r>
      <w:r>
        <w:rPr>
          <w:i/>
        </w:rPr>
        <w:t xml:space="preserve"> &amp; Ors</w:t>
      </w:r>
      <w:r w:rsidRPr="00872723">
        <w:t xml:space="preserve"> [2002] VCAT 1395; </w:t>
      </w:r>
      <w:r w:rsidRPr="00872723">
        <w:rPr>
          <w:i/>
        </w:rPr>
        <w:t>Forrester v AIMS Corporation</w:t>
      </w:r>
      <w:r w:rsidRPr="00872723">
        <w:t xml:space="preserve"> [2004] VSC 506; </w:t>
      </w:r>
      <w:r w:rsidRPr="00872723">
        <w:rPr>
          <w:i/>
        </w:rPr>
        <w:t>Naylor v Oakley Thompson &amp; Co Pty Ltd &amp; Ors</w:t>
      </w:r>
      <w:r w:rsidRPr="00872723">
        <w:t xml:space="preserve"> [2008] VCAT 2074</w:t>
      </w:r>
      <w:r>
        <w:t xml:space="preserve">. </w:t>
      </w:r>
    </w:p>
  </w:footnote>
  <w:footnote w:id="3">
    <w:p w:rsidR="00000000" w:rsidRDefault="002A4783">
      <w:pPr>
        <w:pStyle w:val="FootnoteText"/>
      </w:pPr>
      <w:r>
        <w:rPr>
          <w:rStyle w:val="FootnoteReference"/>
        </w:rPr>
        <w:footnoteRef/>
      </w:r>
      <w:r>
        <w:t xml:space="preserve"> </w:t>
      </w:r>
      <w:r>
        <w:tab/>
      </w:r>
      <w:r>
        <w:rPr>
          <w:i/>
        </w:rPr>
        <w:t xml:space="preserve">Ballarto Pastoral Pty Ltd v Department of Primary Industries </w:t>
      </w:r>
      <w:r>
        <w:t>[2006] VCAT 478.</w:t>
      </w:r>
    </w:p>
  </w:footnote>
  <w:footnote w:id="4">
    <w:p w:rsidR="00000000" w:rsidRDefault="002A4783">
      <w:pPr>
        <w:pStyle w:val="FootnoteText"/>
      </w:pPr>
      <w:r>
        <w:rPr>
          <w:rStyle w:val="FootnoteReference"/>
        </w:rPr>
        <w:footnoteRef/>
      </w:r>
      <w:r>
        <w:t xml:space="preserve"> </w:t>
      </w:r>
      <w:r>
        <w:tab/>
      </w:r>
      <w:r>
        <w:rPr>
          <w:i/>
        </w:rPr>
        <w:t xml:space="preserve">Assal v Department of Health, Housing and Community Services </w:t>
      </w:r>
      <w:r>
        <w:t xml:space="preserve">(1992) EOC 92-409, applied in </w:t>
      </w:r>
      <w:r>
        <w:rPr>
          <w:i/>
        </w:rPr>
        <w:t xml:space="preserve">Liu v </w:t>
      </w:r>
      <w:smartTag w:uri="urn:schemas-microsoft-com:office:smarttags" w:element="PlaceType">
        <w:smartTag w:uri="urn:schemas-microsoft-com:office:smarttags" w:element="place">
          <w:r>
            <w:rPr>
              <w:i/>
            </w:rPr>
            <w:t>University</w:t>
          </w:r>
        </w:smartTag>
        <w:r>
          <w:rPr>
            <w:i/>
          </w:rPr>
          <w:t xml:space="preserve"> of </w:t>
        </w:r>
        <w:smartTag w:uri="urn:schemas-microsoft-com:office:smarttags" w:element="PlaceName">
          <w:r>
            <w:rPr>
              <w:i/>
            </w:rPr>
            <w:t>Melbourne</w:t>
          </w:r>
        </w:smartTag>
      </w:smartTag>
      <w:r>
        <w:rPr>
          <w:i/>
        </w:rPr>
        <w:t xml:space="preserve"> </w:t>
      </w:r>
      <w:r>
        <w:t>[2002] VCAT 896.</w:t>
      </w:r>
    </w:p>
  </w:footnote>
  <w:footnote w:id="5">
    <w:p w:rsidR="00000000" w:rsidRDefault="002A4783" w:rsidP="00A43E7F">
      <w:pPr>
        <w:pStyle w:val="FootnoteText"/>
      </w:pPr>
      <w:r>
        <w:rPr>
          <w:rStyle w:val="FootnoteReference"/>
        </w:rPr>
        <w:footnoteRef/>
      </w:r>
      <w:r>
        <w:t xml:space="preserve"> </w:t>
      </w:r>
      <w:r>
        <w:tab/>
      </w:r>
      <w:r w:rsidRPr="002A49DF">
        <w:rPr>
          <w:i/>
        </w:rPr>
        <w:t>Molyneux v VCAT</w:t>
      </w:r>
      <w:r>
        <w:rPr>
          <w:i/>
        </w:rPr>
        <w:t xml:space="preserve"> &amp; Anor</w:t>
      </w:r>
      <w:r>
        <w:t xml:space="preserve"> [2007] VSC 89 at [53].</w:t>
      </w:r>
    </w:p>
  </w:footnote>
  <w:footnote w:id="6">
    <w:p w:rsidR="00000000" w:rsidRDefault="002A4783" w:rsidP="00A43E7F">
      <w:pPr>
        <w:pStyle w:val="FootnoteText"/>
      </w:pPr>
      <w:r w:rsidRPr="002A49DF">
        <w:rPr>
          <w:rStyle w:val="FootnoteReference"/>
          <w:color w:val="000000"/>
        </w:rPr>
        <w:footnoteRef/>
      </w:r>
      <w:r w:rsidRPr="002A49DF">
        <w:rPr>
          <w:rStyle w:val="FootnoteReference"/>
          <w:color w:val="000000"/>
          <w:sz w:val="26"/>
        </w:rPr>
        <w:t xml:space="preserve"> </w:t>
      </w:r>
      <w:r>
        <w:rPr>
          <w:rStyle w:val="FootnoteTextChar"/>
        </w:rPr>
        <w:tab/>
        <w:t xml:space="preserve">Chief Justice French in </w:t>
      </w:r>
      <w:r w:rsidRPr="00E60D88">
        <w:rPr>
          <w:i/>
        </w:rPr>
        <w:t xml:space="preserve">Aon Risk Services Australia Limited v </w:t>
      </w:r>
      <w:smartTag w:uri="urn:schemas-microsoft-com:office:smarttags" w:element="PlaceName">
        <w:smartTag w:uri="urn:schemas-microsoft-com:office:smarttags" w:element="place">
          <w:r w:rsidRPr="00E60D88">
            <w:rPr>
              <w:i/>
            </w:rPr>
            <w:t>Australian</w:t>
          </w:r>
        </w:smartTag>
        <w:r w:rsidRPr="00E60D88">
          <w:rPr>
            <w:i/>
          </w:rPr>
          <w:t xml:space="preserve"> </w:t>
        </w:r>
        <w:smartTag w:uri="urn:schemas-microsoft-com:office:smarttags" w:element="PlaceName">
          <w:r w:rsidRPr="00E60D88">
            <w:rPr>
              <w:i/>
            </w:rPr>
            <w:t>National</w:t>
          </w:r>
        </w:smartTag>
        <w:r w:rsidRPr="00E60D88">
          <w:rPr>
            <w:i/>
          </w:rPr>
          <w:t xml:space="preserve"> </w:t>
        </w:r>
        <w:smartTag w:uri="urn:schemas-microsoft-com:office:smarttags" w:element="PlaceType">
          <w:r w:rsidRPr="00E60D88">
            <w:rPr>
              <w:i/>
            </w:rPr>
            <w:t>Universit</w:t>
          </w:r>
          <w:r w:rsidRPr="00A85020">
            <w:rPr>
              <w:i/>
            </w:rPr>
            <w:t>y</w:t>
          </w:r>
        </w:smartTag>
      </w:smartTag>
      <w:r>
        <w:rPr>
          <w:rStyle w:val="FootnoteTextChar"/>
        </w:rPr>
        <w:tab/>
      </w:r>
      <w:r w:rsidRPr="00A25477">
        <w:t>[2009] HCA 27</w:t>
      </w:r>
      <w:r>
        <w:rPr>
          <w:rStyle w:val="FootnoteTextChar"/>
        </w:rPr>
        <w:t xml:space="preserve"> at [333] quoting with approval </w:t>
      </w:r>
      <w:r w:rsidRPr="00E60D88">
        <w:rPr>
          <w:i/>
          <w:iCs/>
        </w:rPr>
        <w:t>Walton v Gardine</w:t>
      </w:r>
      <w:r w:rsidRPr="00A85020">
        <w:rPr>
          <w:i/>
          <w:iCs/>
        </w:rPr>
        <w:t>r</w:t>
      </w:r>
      <w:r>
        <w:rPr>
          <w:rStyle w:val="FootnoteTextChar"/>
        </w:rPr>
        <w:t xml:space="preserve"> [1993] HCA 77, per </w:t>
      </w:r>
      <w:r w:rsidRPr="002A49DF">
        <w:rPr>
          <w:rStyle w:val="FootnoteTextChar"/>
        </w:rPr>
        <w:t>Mason CJ, Deane and Dawson JJ at [23].</w:t>
      </w:r>
    </w:p>
  </w:footnote>
  <w:footnote w:id="7">
    <w:p w:rsidR="00000000" w:rsidRDefault="002A4783" w:rsidP="002839B4">
      <w:pPr>
        <w:pStyle w:val="FootnoteText"/>
        <w:jc w:val="both"/>
      </w:pPr>
      <w:r w:rsidRPr="00CA66EC">
        <w:rPr>
          <w:rStyle w:val="FootnoteReference"/>
        </w:rPr>
        <w:footnoteRef/>
      </w:r>
      <w:r>
        <w:t xml:space="preserve"> </w:t>
      </w:r>
      <w:r>
        <w:tab/>
      </w:r>
      <w:r w:rsidRPr="00CA66EC">
        <w:rPr>
          <w:color w:val="000000"/>
          <w:lang w:val="en-US"/>
        </w:rPr>
        <w:t>See section 6 which sets out the list of attributes on the basis of which discrimination is prohibited</w:t>
      </w:r>
      <w:r>
        <w:rPr>
          <w:color w:val="000000"/>
          <w:lang w:val="en-US"/>
        </w:rPr>
        <w:t>.</w:t>
      </w:r>
      <w:r w:rsidRPr="00CA66EC">
        <w:rPr>
          <w:color w:val="000000"/>
          <w:lang w:val="en-US"/>
        </w:rPr>
        <w:t xml:space="preserve"> </w:t>
      </w:r>
    </w:p>
  </w:footnote>
  <w:footnote w:id="8">
    <w:p w:rsidR="00000000" w:rsidRDefault="002A4783" w:rsidP="00AB6F18">
      <w:pPr>
        <w:pStyle w:val="FootnoteText"/>
      </w:pPr>
      <w:r>
        <w:rPr>
          <w:rStyle w:val="FootnoteReference"/>
        </w:rPr>
        <w:footnoteRef/>
      </w:r>
      <w:r>
        <w:t xml:space="preserve"> </w:t>
      </w:r>
      <w:r>
        <w:tab/>
        <w:t>See section 8 of  the EO Act for the definition of direct discrimination.</w:t>
      </w:r>
    </w:p>
  </w:footnote>
  <w:footnote w:id="9">
    <w:p w:rsidR="00000000" w:rsidRDefault="002A4783" w:rsidP="00C07336">
      <w:pPr>
        <w:pStyle w:val="FootnoteText"/>
      </w:pPr>
      <w:r>
        <w:rPr>
          <w:rStyle w:val="FootnoteReference"/>
        </w:rPr>
        <w:footnoteRef/>
      </w:r>
      <w:r>
        <w:t xml:space="preserve"> </w:t>
      </w:r>
      <w:r>
        <w:rPr>
          <w:sz w:val="18"/>
          <w:szCs w:val="18"/>
        </w:rPr>
        <w:tab/>
      </w:r>
      <w:r w:rsidRPr="00AE3CE0">
        <w:rPr>
          <w:sz w:val="18"/>
          <w:szCs w:val="18"/>
        </w:rPr>
        <w:t>See sections 7</w:t>
      </w:r>
      <w:r>
        <w:rPr>
          <w:sz w:val="18"/>
          <w:szCs w:val="18"/>
        </w:rPr>
        <w:t xml:space="preserve">, </w:t>
      </w:r>
      <w:r w:rsidRPr="00AE3CE0">
        <w:rPr>
          <w:sz w:val="18"/>
          <w:szCs w:val="18"/>
        </w:rPr>
        <w:t xml:space="preserve">8 </w:t>
      </w:r>
      <w:r>
        <w:rPr>
          <w:sz w:val="18"/>
          <w:szCs w:val="18"/>
        </w:rPr>
        <w:t xml:space="preserve">and 10 </w:t>
      </w:r>
      <w:r w:rsidRPr="00AE3CE0">
        <w:rPr>
          <w:sz w:val="18"/>
          <w:szCs w:val="18"/>
        </w:rPr>
        <w:t>of the EO Act which define discrimination and direct discrimination</w:t>
      </w:r>
      <w:r>
        <w:rPr>
          <w:sz w:val="18"/>
          <w:szCs w:val="18"/>
        </w:rPr>
        <w:t xml:space="preserve"> and deal with motive.</w:t>
      </w:r>
    </w:p>
  </w:footnote>
  <w:footnote w:id="10">
    <w:p w:rsidR="00000000" w:rsidRDefault="002A4783" w:rsidP="002839B4">
      <w:pPr>
        <w:pStyle w:val="FootnoteText"/>
      </w:pPr>
      <w:r>
        <w:rPr>
          <w:rStyle w:val="FootnoteReference"/>
        </w:rPr>
        <w:footnoteRef/>
      </w:r>
      <w:r>
        <w:t xml:space="preserve"> </w:t>
      </w:r>
      <w:r>
        <w:tab/>
        <w:t>Section 1.</w:t>
      </w:r>
    </w:p>
  </w:footnote>
  <w:footnote w:id="11">
    <w:p w:rsidR="00000000" w:rsidRDefault="002A4783">
      <w:pPr>
        <w:pStyle w:val="FootnoteText"/>
      </w:pPr>
      <w:r>
        <w:rPr>
          <w:rStyle w:val="FootnoteReference"/>
        </w:rPr>
        <w:footnoteRef/>
      </w:r>
      <w:r>
        <w:t xml:space="preserve"> </w:t>
      </w:r>
      <w:r>
        <w:tab/>
        <w:t>Section 75 application dated 25 March 2015, paragraph 219.</w:t>
      </w:r>
    </w:p>
  </w:footnote>
  <w:footnote w:id="12">
    <w:p w:rsidR="00000000" w:rsidRDefault="002A4783" w:rsidP="002839B4">
      <w:pPr>
        <w:pStyle w:val="FootnoteText"/>
      </w:pPr>
      <w:r>
        <w:rPr>
          <w:rStyle w:val="FootnoteReference"/>
        </w:rPr>
        <w:footnoteRef/>
      </w:r>
      <w:r>
        <w:t xml:space="preserve"> </w:t>
      </w:r>
      <w:r>
        <w:tab/>
      </w:r>
      <w:r w:rsidRPr="00F95357">
        <w:t>[2014] VSC 585 at paragraph [39]</w:t>
      </w:r>
      <w:r>
        <w:rPr>
          <w:sz w:val="26"/>
          <w:szCs w:val="26"/>
        </w:rPr>
        <w:t>.</w:t>
      </w:r>
    </w:p>
  </w:footnote>
  <w:footnote w:id="13">
    <w:p w:rsidR="00000000" w:rsidRDefault="002A4783" w:rsidP="002839B4">
      <w:pPr>
        <w:pStyle w:val="FootnoteText"/>
      </w:pPr>
      <w:r>
        <w:rPr>
          <w:rStyle w:val="FootnoteReference"/>
        </w:rPr>
        <w:footnoteRef/>
      </w:r>
      <w:r>
        <w:t xml:space="preserve"> </w:t>
      </w:r>
      <w:r>
        <w:tab/>
        <w:t>[1997] HCA 30.</w:t>
      </w:r>
    </w:p>
  </w:footnote>
  <w:footnote w:id="14">
    <w:p w:rsidR="00000000" w:rsidRDefault="002A4783">
      <w:pPr>
        <w:pStyle w:val="FootnoteText"/>
      </w:pPr>
      <w:r>
        <w:rPr>
          <w:rStyle w:val="FootnoteReference"/>
        </w:rPr>
        <w:footnoteRef/>
      </w:r>
      <w:r>
        <w:t xml:space="preserve"> </w:t>
      </w:r>
      <w:r>
        <w:tab/>
        <w:t>[2011] VCAT 2009.</w:t>
      </w:r>
    </w:p>
  </w:footnote>
  <w:footnote w:id="15">
    <w:p w:rsidR="00000000" w:rsidRDefault="002A4783">
      <w:pPr>
        <w:pStyle w:val="FootnoteText"/>
      </w:pPr>
      <w:r>
        <w:rPr>
          <w:rStyle w:val="FootnoteReference"/>
        </w:rPr>
        <w:footnoteRef/>
      </w:r>
      <w:r>
        <w:t xml:space="preserve"> </w:t>
      </w:r>
      <w:r>
        <w:tab/>
      </w:r>
      <w:r>
        <w:tab/>
      </w:r>
      <w:r>
        <w:rPr>
          <w:i/>
        </w:rPr>
        <w:t xml:space="preserve">IW </w:t>
      </w:r>
      <w:r>
        <w:t xml:space="preserve">per Brennan CJ and McHugh J at paragraph 11, Dawson and Gaudron JJ at paragraph 23, Toohey J at paragraph 27 and Gummow J at paragraph 41; </w:t>
      </w:r>
      <w:r>
        <w:rPr>
          <w:i/>
        </w:rPr>
        <w:t xml:space="preserve">AB v Registrar of Births, Deaths and Marriages </w:t>
      </w:r>
      <w:r>
        <w:t xml:space="preserve">[2006] FCA 1071; </w:t>
      </w:r>
      <w:r>
        <w:rPr>
          <w:i/>
        </w:rPr>
        <w:t xml:space="preserve">Farah v Commissioner of Police of the Metropolis </w:t>
      </w:r>
      <w:r>
        <w:t>[1998] QB 65 at paragraph 78-79.</w:t>
      </w:r>
    </w:p>
  </w:footnote>
  <w:footnote w:id="16">
    <w:p w:rsidR="00000000" w:rsidRDefault="002A4783">
      <w:pPr>
        <w:pStyle w:val="FootnoteText"/>
      </w:pPr>
      <w:r>
        <w:rPr>
          <w:rStyle w:val="FootnoteReference"/>
        </w:rPr>
        <w:footnoteRef/>
      </w:r>
      <w:r>
        <w:t xml:space="preserve"> </w:t>
      </w:r>
      <w:r>
        <w:tab/>
        <w:t>[2007] FCA 1059.</w:t>
      </w:r>
    </w:p>
  </w:footnote>
  <w:footnote w:id="17">
    <w:p w:rsidR="00000000" w:rsidRDefault="002A4783">
      <w:pPr>
        <w:pStyle w:val="FootnoteText"/>
      </w:pPr>
      <w:r>
        <w:rPr>
          <w:rStyle w:val="FootnoteReference"/>
        </w:rPr>
        <w:footnoteRef/>
      </w:r>
      <w:r>
        <w:t xml:space="preserve"> </w:t>
      </w:r>
      <w:r>
        <w:tab/>
        <w:t>(2008) 167 FCR 26.</w:t>
      </w:r>
    </w:p>
  </w:footnote>
  <w:footnote w:id="18">
    <w:p w:rsidR="00000000" w:rsidRDefault="002A4783">
      <w:pPr>
        <w:pStyle w:val="FootnoteText"/>
      </w:pPr>
      <w:r>
        <w:rPr>
          <w:rStyle w:val="FootnoteReference"/>
        </w:rPr>
        <w:footnoteRef/>
      </w:r>
      <w:r>
        <w:t xml:space="preserve"> </w:t>
      </w:r>
      <w:r>
        <w:tab/>
        <w:t>Second Schedule, Form A.</w:t>
      </w:r>
    </w:p>
  </w:footnote>
  <w:footnote w:id="19">
    <w:p w:rsidR="00000000" w:rsidRDefault="002A4783">
      <w:pPr>
        <w:pStyle w:val="FootnoteText"/>
      </w:pPr>
      <w:r>
        <w:rPr>
          <w:rStyle w:val="FootnoteReference"/>
        </w:rPr>
        <w:footnoteRef/>
      </w:r>
      <w:r>
        <w:t xml:space="preserve"> </w:t>
      </w:r>
      <w:r>
        <w:tab/>
        <w:t>Written submissions, paragraph 109.</w:t>
      </w:r>
    </w:p>
  </w:footnote>
  <w:footnote w:id="20">
    <w:p w:rsidR="00000000" w:rsidRDefault="002A4783">
      <w:pPr>
        <w:pStyle w:val="FootnoteText"/>
      </w:pPr>
      <w:r>
        <w:rPr>
          <w:rStyle w:val="FootnoteReference"/>
        </w:rPr>
        <w:footnoteRef/>
      </w:r>
      <w:r>
        <w:t xml:space="preserve"> </w:t>
      </w:r>
      <w:r>
        <w:tab/>
        <w:t>[1998] QB 65.</w:t>
      </w:r>
    </w:p>
  </w:footnote>
  <w:footnote w:id="21">
    <w:p w:rsidR="00000000" w:rsidRDefault="002A4783" w:rsidP="000169C8">
      <w:pPr>
        <w:pStyle w:val="FootnoteText"/>
      </w:pPr>
      <w:r>
        <w:rPr>
          <w:rStyle w:val="FootnoteReference"/>
        </w:rPr>
        <w:footnoteRef/>
      </w:r>
      <w:r>
        <w:t xml:space="preserve"> </w:t>
      </w:r>
      <w:r>
        <w:tab/>
        <w:t>[2014] VCAT 1039, at paragraph 19-21.</w:t>
      </w:r>
    </w:p>
  </w:footnote>
  <w:footnote w:id="22">
    <w:p w:rsidR="00000000" w:rsidRDefault="002A4783">
      <w:pPr>
        <w:pStyle w:val="FootnoteText"/>
      </w:pPr>
      <w:r>
        <w:rPr>
          <w:rStyle w:val="FootnoteReference"/>
        </w:rPr>
        <w:footnoteRef/>
      </w:r>
      <w:r>
        <w:t xml:space="preserve"> </w:t>
      </w:r>
      <w:r>
        <w:tab/>
      </w:r>
      <w:r>
        <w:rPr>
          <w:i/>
        </w:rPr>
        <w:t xml:space="preserve">Robinson v Commissioner of Police, NSW Police Force </w:t>
      </w:r>
      <w:r>
        <w:t>[2012] FCA 770.  That decision was affirmed on appeal – [2013] FCAFC 64.</w:t>
      </w:r>
    </w:p>
  </w:footnote>
  <w:footnote w:id="23">
    <w:p w:rsidR="00000000" w:rsidRDefault="002A4783">
      <w:pPr>
        <w:pStyle w:val="FootnoteText"/>
      </w:pPr>
      <w:r>
        <w:rPr>
          <w:rStyle w:val="FootnoteReference"/>
        </w:rPr>
        <w:footnoteRef/>
      </w:r>
      <w:r>
        <w:t xml:space="preserve"> </w:t>
      </w:r>
      <w:r>
        <w:tab/>
      </w:r>
      <w:r>
        <w:rPr>
          <w:i/>
        </w:rPr>
        <w:t xml:space="preserve">Mariani v NSW Police Force, State of NSW </w:t>
      </w:r>
      <w:r>
        <w:t xml:space="preserve">[2013] NSWADT 35 at paragraph 87; </w:t>
      </w:r>
      <w:r w:rsidRPr="00A6589E">
        <w:rPr>
          <w:i/>
        </w:rPr>
        <w:t>Rasmussen v State of NSW</w:t>
      </w:r>
      <w:r>
        <w:rPr>
          <w:i/>
        </w:rPr>
        <w:t xml:space="preserve">, </w:t>
      </w:r>
      <w:r w:rsidRPr="00A6589E">
        <w:rPr>
          <w:i/>
        </w:rPr>
        <w:t xml:space="preserve"> NSW Police Force </w:t>
      </w:r>
      <w:r>
        <w:t>[2013] NSWADT 277, at paragraph 39.</w:t>
      </w:r>
    </w:p>
  </w:footnote>
  <w:footnote w:id="24">
    <w:p w:rsidR="00000000" w:rsidRDefault="002A4783" w:rsidP="000169C8">
      <w:pPr>
        <w:pStyle w:val="FootnoteText"/>
      </w:pPr>
      <w:r>
        <w:rPr>
          <w:rStyle w:val="FootnoteReference"/>
        </w:rPr>
        <w:footnoteRef/>
      </w:r>
      <w:r>
        <w:t xml:space="preserve"> </w:t>
      </w:r>
      <w:r>
        <w:tab/>
        <w:t>[1999] VCAT 616, at page 12.</w:t>
      </w:r>
    </w:p>
  </w:footnote>
  <w:footnote w:id="25">
    <w:p w:rsidR="00000000" w:rsidRDefault="002A4783">
      <w:pPr>
        <w:pStyle w:val="FootnoteText"/>
      </w:pPr>
      <w:r>
        <w:rPr>
          <w:rStyle w:val="FootnoteReference"/>
        </w:rPr>
        <w:footnoteRef/>
      </w:r>
      <w:r>
        <w:t xml:space="preserve"> </w:t>
      </w:r>
      <w:r>
        <w:tab/>
        <w:t>[2009] NSWCA 432.</w:t>
      </w:r>
    </w:p>
  </w:footnote>
  <w:footnote w:id="26">
    <w:p w:rsidR="00000000" w:rsidRDefault="002A4783">
      <w:pPr>
        <w:pStyle w:val="FootnoteText"/>
      </w:pPr>
      <w:r>
        <w:rPr>
          <w:rStyle w:val="FootnoteReference"/>
        </w:rPr>
        <w:footnoteRef/>
      </w:r>
      <w:r>
        <w:t xml:space="preserve"> </w:t>
      </w:r>
      <w:r>
        <w:tab/>
        <w:t>[2010] WASAT 115.</w:t>
      </w:r>
    </w:p>
  </w:footnote>
  <w:footnote w:id="27">
    <w:p w:rsidR="00000000" w:rsidRDefault="002A4783">
      <w:pPr>
        <w:pStyle w:val="FootnoteText"/>
      </w:pPr>
      <w:r>
        <w:rPr>
          <w:rStyle w:val="FootnoteReference"/>
        </w:rPr>
        <w:footnoteRef/>
      </w:r>
      <w:r>
        <w:t xml:space="preserve"> </w:t>
      </w:r>
      <w:r>
        <w:tab/>
        <w:t>Paragraphs 62-68.</w:t>
      </w:r>
    </w:p>
  </w:footnote>
  <w:footnote w:id="28">
    <w:p w:rsidR="00000000" w:rsidRDefault="002A4783">
      <w:pPr>
        <w:pStyle w:val="FootnoteText"/>
      </w:pPr>
      <w:r>
        <w:rPr>
          <w:rStyle w:val="FootnoteReference"/>
        </w:rPr>
        <w:footnoteRef/>
      </w:r>
      <w:r>
        <w:t xml:space="preserve"> </w:t>
      </w:r>
      <w:r>
        <w:tab/>
        <w:t>[2011] NSWADT 265.</w:t>
      </w:r>
    </w:p>
  </w:footnote>
  <w:footnote w:id="29">
    <w:p w:rsidR="00000000" w:rsidRDefault="002A4783">
      <w:pPr>
        <w:pStyle w:val="FootnoteText"/>
      </w:pPr>
      <w:r>
        <w:rPr>
          <w:rStyle w:val="FootnoteReference"/>
        </w:rPr>
        <w:footnoteRef/>
      </w:r>
      <w:r>
        <w:t xml:space="preserve"> </w:t>
      </w:r>
      <w:r>
        <w:tab/>
        <w:t>This finding was upheld on appeal to the NSW Administrative Tribunal Appeal Panel – [2012] NSWADTRP 27 at paragraph 46.</w:t>
      </w:r>
    </w:p>
  </w:footnote>
  <w:footnote w:id="30">
    <w:p w:rsidR="00000000" w:rsidRDefault="002A4783" w:rsidP="00CF2CA3">
      <w:pPr>
        <w:pStyle w:val="FootnoteText"/>
      </w:pPr>
      <w:r>
        <w:rPr>
          <w:rStyle w:val="FootnoteReference"/>
        </w:rPr>
        <w:footnoteRef/>
      </w:r>
      <w:r>
        <w:t xml:space="preserve"> </w:t>
      </w:r>
      <w:r>
        <w:tab/>
        <w:t>[2001] NTMC 54, at paragraph 48.</w:t>
      </w:r>
    </w:p>
  </w:footnote>
  <w:footnote w:id="31">
    <w:p w:rsidR="00000000" w:rsidRDefault="002A4783">
      <w:pPr>
        <w:pStyle w:val="FootnoteText"/>
      </w:pPr>
      <w:r>
        <w:rPr>
          <w:rStyle w:val="FootnoteReference"/>
        </w:rPr>
        <w:footnoteRef/>
      </w:r>
      <w:r>
        <w:t xml:space="preserve"> </w:t>
      </w:r>
      <w:r>
        <w:tab/>
        <w:t>At paragraph 51, 59 and 63.</w:t>
      </w:r>
    </w:p>
  </w:footnote>
  <w:footnote w:id="32">
    <w:p w:rsidR="00000000" w:rsidRDefault="002A4783" w:rsidP="00EF5092">
      <w:pPr>
        <w:pStyle w:val="FootnoteText"/>
      </w:pPr>
      <w:r>
        <w:rPr>
          <w:rStyle w:val="FootnoteReference"/>
        </w:rPr>
        <w:footnoteRef/>
      </w:r>
      <w:r>
        <w:t xml:space="preserve"> </w:t>
      </w:r>
      <w:r>
        <w:tab/>
        <w:t>[2001] NSWSC 745.</w:t>
      </w:r>
    </w:p>
  </w:footnote>
  <w:footnote w:id="33">
    <w:p w:rsidR="00000000" w:rsidRDefault="002A4783" w:rsidP="00EF5092">
      <w:pPr>
        <w:pStyle w:val="FootnoteText"/>
      </w:pPr>
      <w:r>
        <w:rPr>
          <w:rStyle w:val="FootnoteReference"/>
        </w:rPr>
        <w:footnoteRef/>
      </w:r>
      <w:r>
        <w:t xml:space="preserve"> </w:t>
      </w:r>
      <w:r>
        <w:tab/>
        <w:t>At paragraph 44.</w:t>
      </w:r>
    </w:p>
  </w:footnote>
  <w:footnote w:id="34">
    <w:p w:rsidR="00000000" w:rsidRDefault="002A4783" w:rsidP="00EF5092">
      <w:pPr>
        <w:pStyle w:val="FootnoteText"/>
      </w:pPr>
      <w:r>
        <w:rPr>
          <w:rStyle w:val="FootnoteReference"/>
        </w:rPr>
        <w:footnoteRef/>
      </w:r>
      <w:r>
        <w:t xml:space="preserve"> </w:t>
      </w:r>
      <w:r>
        <w:tab/>
        <w:t>Written submissions, paragraphs 23 to 26.</w:t>
      </w:r>
    </w:p>
  </w:footnote>
  <w:footnote w:id="35">
    <w:p w:rsidR="00000000" w:rsidRDefault="002A4783" w:rsidP="00A70B4B">
      <w:pPr>
        <w:pStyle w:val="FootnoteText"/>
      </w:pPr>
      <w:r>
        <w:rPr>
          <w:rStyle w:val="FootnoteReference"/>
        </w:rPr>
        <w:footnoteRef/>
      </w:r>
      <w:r>
        <w:t xml:space="preserve"> </w:t>
      </w:r>
      <w:r>
        <w:tab/>
        <w:t>Respondents’ section 75 application, paragraph 136.</w:t>
      </w:r>
    </w:p>
  </w:footnote>
  <w:footnote w:id="36">
    <w:p w:rsidR="00000000" w:rsidRDefault="002A4783">
      <w:pPr>
        <w:pStyle w:val="FootnoteText"/>
      </w:pPr>
      <w:r>
        <w:rPr>
          <w:rStyle w:val="FootnoteReference"/>
        </w:rPr>
        <w:footnoteRef/>
      </w:r>
      <w:r>
        <w:t xml:space="preserve"> </w:t>
      </w:r>
      <w:r>
        <w:tab/>
        <w:t>Concession made by respondents’ counsel at section 75 hearing held on 13 May 2015.</w:t>
      </w:r>
    </w:p>
  </w:footnote>
  <w:footnote w:id="37">
    <w:p w:rsidR="00000000" w:rsidRDefault="002A4783">
      <w:pPr>
        <w:pStyle w:val="FootnoteText"/>
      </w:pPr>
      <w:r>
        <w:rPr>
          <w:rStyle w:val="FootnoteReference"/>
        </w:rPr>
        <w:footnoteRef/>
      </w:r>
      <w:r>
        <w:t xml:space="preserve"> </w:t>
      </w:r>
      <w:r>
        <w:tab/>
        <w:t>Particulars of claim dated 18 September 2014, paragraphs 154-221.</w:t>
      </w:r>
    </w:p>
  </w:footnote>
  <w:footnote w:id="38">
    <w:p w:rsidR="00000000" w:rsidRDefault="002A4783">
      <w:pPr>
        <w:pStyle w:val="FootnoteText"/>
      </w:pPr>
      <w:r>
        <w:rPr>
          <w:rStyle w:val="FootnoteReference"/>
        </w:rPr>
        <w:footnoteRef/>
      </w:r>
      <w:r>
        <w:t xml:space="preserve"> </w:t>
      </w:r>
      <w:r>
        <w:tab/>
        <w:t>Particulars of claim, paragraph 196.</w:t>
      </w:r>
    </w:p>
  </w:footnote>
  <w:footnote w:id="39">
    <w:p w:rsidR="00000000" w:rsidRDefault="002A4783">
      <w:pPr>
        <w:pStyle w:val="FootnoteText"/>
      </w:pPr>
      <w:r>
        <w:rPr>
          <w:rStyle w:val="FootnoteReference"/>
        </w:rPr>
        <w:footnoteRef/>
      </w:r>
      <w:r>
        <w:t xml:space="preserve"> </w:t>
      </w:r>
      <w:r>
        <w:tab/>
        <w:t>Transcript, page 99.</w:t>
      </w:r>
    </w:p>
  </w:footnote>
  <w:footnote w:id="40">
    <w:p w:rsidR="00000000" w:rsidRDefault="002A4783" w:rsidP="00090DDD">
      <w:pPr>
        <w:pStyle w:val="FootnoteText"/>
      </w:pPr>
      <w:r>
        <w:rPr>
          <w:rStyle w:val="FootnoteReference"/>
        </w:rPr>
        <w:footnoteRef/>
      </w:r>
      <w:r>
        <w:t xml:space="preserve"> </w:t>
      </w:r>
      <w:r>
        <w:tab/>
        <w:t>Particulars of claim, paragraph 197.</w:t>
      </w:r>
    </w:p>
  </w:footnote>
  <w:footnote w:id="41">
    <w:p w:rsidR="00000000" w:rsidRDefault="002A4783">
      <w:pPr>
        <w:pStyle w:val="FootnoteText"/>
      </w:pPr>
      <w:r>
        <w:rPr>
          <w:rStyle w:val="FootnoteReference"/>
        </w:rPr>
        <w:footnoteRef/>
      </w:r>
      <w:r>
        <w:t xml:space="preserve"> </w:t>
      </w:r>
      <w:r>
        <w:tab/>
        <w:t>Exhibit A27 and A34.</w:t>
      </w:r>
    </w:p>
  </w:footnote>
  <w:footnote w:id="42">
    <w:p w:rsidR="00000000" w:rsidRDefault="002A4783">
      <w:pPr>
        <w:pStyle w:val="FootnoteText"/>
      </w:pPr>
      <w:r>
        <w:rPr>
          <w:rStyle w:val="FootnoteReference"/>
        </w:rPr>
        <w:footnoteRef/>
      </w:r>
      <w:r>
        <w:t xml:space="preserve"> </w:t>
      </w:r>
      <w:r>
        <w:tab/>
        <w:t>Transcript, pages 102-104.</w:t>
      </w:r>
    </w:p>
  </w:footnote>
  <w:footnote w:id="43">
    <w:p w:rsidR="00000000" w:rsidRDefault="002A4783">
      <w:pPr>
        <w:pStyle w:val="FootnoteText"/>
      </w:pPr>
      <w:r>
        <w:rPr>
          <w:rStyle w:val="FootnoteReference"/>
        </w:rPr>
        <w:footnoteRef/>
      </w:r>
      <w:r>
        <w:t xml:space="preserve"> </w:t>
      </w:r>
      <w:r>
        <w:tab/>
        <w:t>Transcript, page 129.</w:t>
      </w:r>
    </w:p>
  </w:footnote>
  <w:footnote w:id="44">
    <w:p w:rsidR="00000000" w:rsidRDefault="002A4783">
      <w:pPr>
        <w:pStyle w:val="FootnoteText"/>
      </w:pPr>
      <w:r>
        <w:rPr>
          <w:rStyle w:val="FootnoteReference"/>
        </w:rPr>
        <w:footnoteRef/>
      </w:r>
      <w:r>
        <w:t xml:space="preserve"> </w:t>
      </w:r>
      <w:r>
        <w:tab/>
        <w:t>Particulars of claim, paragraphs 209-211.</w:t>
      </w:r>
    </w:p>
  </w:footnote>
  <w:footnote w:id="45">
    <w:p w:rsidR="00000000" w:rsidRDefault="002A4783" w:rsidP="00832414">
      <w:pPr>
        <w:pStyle w:val="FootnoteText"/>
      </w:pPr>
      <w:r>
        <w:rPr>
          <w:rStyle w:val="FootnoteReference"/>
        </w:rPr>
        <w:footnoteRef/>
      </w:r>
      <w:r>
        <w:t xml:space="preserve"> </w:t>
      </w:r>
      <w:r>
        <w:tab/>
        <w:t>Transcript, page 96.</w:t>
      </w:r>
    </w:p>
  </w:footnote>
  <w:footnote w:id="46">
    <w:p w:rsidR="00000000" w:rsidRDefault="002A4783" w:rsidP="00832414">
      <w:pPr>
        <w:pStyle w:val="FootnoteText"/>
      </w:pPr>
      <w:r>
        <w:rPr>
          <w:rStyle w:val="FootnoteReference"/>
        </w:rPr>
        <w:footnoteRef/>
      </w:r>
      <w:r>
        <w:t xml:space="preserve"> </w:t>
      </w:r>
      <w:r>
        <w:tab/>
        <w:t xml:space="preserve">Transcript, page 97.  I have assumed that the reference to </w:t>
      </w:r>
      <w:r w:rsidRPr="00D50711">
        <w:rPr>
          <w:i/>
        </w:rPr>
        <w:t>‘he’</w:t>
      </w:r>
      <w:r>
        <w:t xml:space="preserve"> in the transcript is a typographical error as I understood the male police officers who were involved had not attended at this stage.</w:t>
      </w:r>
    </w:p>
  </w:footnote>
  <w:footnote w:id="47">
    <w:p w:rsidR="00000000" w:rsidRDefault="002A4783" w:rsidP="00832414">
      <w:pPr>
        <w:pStyle w:val="FootnoteText"/>
      </w:pPr>
      <w:r>
        <w:rPr>
          <w:rStyle w:val="FootnoteReference"/>
        </w:rPr>
        <w:footnoteRef/>
      </w:r>
      <w:r>
        <w:t xml:space="preserve"> </w:t>
      </w:r>
      <w:r>
        <w:tab/>
        <w:t>Transcript, page 98-99.</w:t>
      </w:r>
    </w:p>
  </w:footnote>
  <w:footnote w:id="48">
    <w:p w:rsidR="00000000" w:rsidRDefault="002A4783" w:rsidP="00832414">
      <w:pPr>
        <w:pStyle w:val="FootnoteText"/>
      </w:pPr>
      <w:r>
        <w:rPr>
          <w:rStyle w:val="FootnoteReference"/>
        </w:rPr>
        <w:footnoteRef/>
      </w:r>
      <w:r>
        <w:t xml:space="preserve"> </w:t>
      </w:r>
      <w:r>
        <w:tab/>
        <w:t>Transcript, page 98-102.</w:t>
      </w:r>
    </w:p>
  </w:footnote>
  <w:footnote w:id="49">
    <w:p w:rsidR="00000000" w:rsidRDefault="002A4783" w:rsidP="00832414">
      <w:pPr>
        <w:pStyle w:val="FootnoteText"/>
      </w:pPr>
      <w:r>
        <w:rPr>
          <w:rStyle w:val="FootnoteReference"/>
        </w:rPr>
        <w:footnoteRef/>
      </w:r>
      <w:r>
        <w:t xml:space="preserve"> </w:t>
      </w:r>
      <w:r>
        <w:tab/>
        <w:t>Particulars of claim, paragraph 178.</w:t>
      </w:r>
    </w:p>
  </w:footnote>
  <w:footnote w:id="50">
    <w:p w:rsidR="00000000" w:rsidRDefault="002A4783" w:rsidP="00832414">
      <w:pPr>
        <w:pStyle w:val="FootnoteText"/>
      </w:pPr>
      <w:r>
        <w:rPr>
          <w:rStyle w:val="FootnoteReference"/>
        </w:rPr>
        <w:footnoteRef/>
      </w:r>
      <w:r>
        <w:t xml:space="preserve"> </w:t>
      </w:r>
      <w:r>
        <w:tab/>
        <w:t>Particulars of claim, paragraph 180-181.</w:t>
      </w:r>
    </w:p>
  </w:footnote>
  <w:footnote w:id="51">
    <w:p w:rsidR="00000000" w:rsidRDefault="002A4783">
      <w:pPr>
        <w:pStyle w:val="FootnoteText"/>
      </w:pPr>
      <w:r>
        <w:rPr>
          <w:rStyle w:val="FootnoteReference"/>
        </w:rPr>
        <w:footnoteRef/>
      </w:r>
      <w:r>
        <w:t xml:space="preserve"> </w:t>
      </w:r>
      <w:r>
        <w:tab/>
        <w:t>Particulars of claim, paragraphs 154-221.</w:t>
      </w:r>
    </w:p>
  </w:footnote>
  <w:footnote w:id="52">
    <w:p w:rsidR="00000000" w:rsidRDefault="002A4783">
      <w:pPr>
        <w:pStyle w:val="FootnoteText"/>
      </w:pPr>
      <w:r>
        <w:rPr>
          <w:rStyle w:val="FootnoteReference"/>
        </w:rPr>
        <w:footnoteRef/>
      </w:r>
      <w:r>
        <w:t xml:space="preserve"> </w:t>
      </w:r>
      <w:r>
        <w:tab/>
        <w:t>Exhibit A21.</w:t>
      </w:r>
    </w:p>
  </w:footnote>
  <w:footnote w:id="53">
    <w:p w:rsidR="00000000" w:rsidRDefault="002A4783">
      <w:pPr>
        <w:pStyle w:val="FootnoteText"/>
      </w:pPr>
      <w:r>
        <w:rPr>
          <w:rStyle w:val="FootnoteReference"/>
        </w:rPr>
        <w:footnoteRef/>
      </w:r>
      <w:r>
        <w:t xml:space="preserve"> </w:t>
      </w:r>
      <w:r>
        <w:tab/>
        <w:t>Exhibit A22.</w:t>
      </w:r>
    </w:p>
  </w:footnote>
  <w:footnote w:id="54">
    <w:p w:rsidR="00000000" w:rsidRDefault="002A4783">
      <w:pPr>
        <w:pStyle w:val="FootnoteText"/>
      </w:pPr>
      <w:r>
        <w:rPr>
          <w:rStyle w:val="FootnoteReference"/>
        </w:rPr>
        <w:footnoteRef/>
      </w:r>
      <w:r>
        <w:t xml:space="preserve"> </w:t>
      </w:r>
      <w:r>
        <w:tab/>
        <w:t>Exhibit A25.</w:t>
      </w:r>
    </w:p>
  </w:footnote>
  <w:footnote w:id="55">
    <w:p w:rsidR="00000000" w:rsidRDefault="002A4783">
      <w:pPr>
        <w:pStyle w:val="FootnoteText"/>
      </w:pPr>
      <w:r>
        <w:rPr>
          <w:rStyle w:val="FootnoteReference"/>
        </w:rPr>
        <w:footnoteRef/>
      </w:r>
      <w:r>
        <w:t xml:space="preserve"> </w:t>
      </w:r>
      <w:r>
        <w:tab/>
        <w:t>Particulars of claim, paragraphs 160-162.</w:t>
      </w:r>
    </w:p>
  </w:footnote>
  <w:footnote w:id="56">
    <w:p w:rsidR="00000000" w:rsidRDefault="002A4783">
      <w:pPr>
        <w:pStyle w:val="FootnoteText"/>
      </w:pPr>
      <w:r>
        <w:rPr>
          <w:rStyle w:val="FootnoteReference"/>
        </w:rPr>
        <w:footnoteRef/>
      </w:r>
      <w:r>
        <w:t xml:space="preserve"> </w:t>
      </w:r>
      <w:r>
        <w:tab/>
        <w:t>Exhibit A25.</w:t>
      </w:r>
    </w:p>
  </w:footnote>
  <w:footnote w:id="57">
    <w:p w:rsidR="00000000" w:rsidRDefault="002A4783">
      <w:pPr>
        <w:pStyle w:val="FootnoteText"/>
      </w:pPr>
      <w:r>
        <w:rPr>
          <w:rStyle w:val="FootnoteReference"/>
        </w:rPr>
        <w:footnoteRef/>
      </w:r>
      <w:r>
        <w:t xml:space="preserve"> </w:t>
      </w:r>
      <w:r>
        <w:tab/>
        <w:t>Exhibit 26.</w:t>
      </w:r>
    </w:p>
  </w:footnote>
  <w:footnote w:id="58">
    <w:p w:rsidR="00000000" w:rsidRDefault="002A4783">
      <w:pPr>
        <w:pStyle w:val="FootnoteText"/>
      </w:pPr>
      <w:r>
        <w:rPr>
          <w:rStyle w:val="FootnoteReference"/>
        </w:rPr>
        <w:footnoteRef/>
      </w:r>
      <w:r>
        <w:t xml:space="preserve"> </w:t>
      </w:r>
      <w:r>
        <w:tab/>
        <w:t>Particulars of claim, paragraph 154.</w:t>
      </w:r>
    </w:p>
  </w:footnote>
  <w:footnote w:id="59">
    <w:p w:rsidR="00000000" w:rsidRDefault="002A4783">
      <w:pPr>
        <w:pStyle w:val="FootnoteText"/>
      </w:pPr>
      <w:r>
        <w:rPr>
          <w:rStyle w:val="FootnoteReference"/>
        </w:rPr>
        <w:footnoteRef/>
      </w:r>
      <w:r>
        <w:t xml:space="preserve"> </w:t>
      </w:r>
      <w:r>
        <w:tab/>
        <w:t>Particulars of claim, paragraph 162.</w:t>
      </w:r>
    </w:p>
  </w:footnote>
  <w:footnote w:id="60">
    <w:p w:rsidR="00000000" w:rsidRDefault="002A4783">
      <w:pPr>
        <w:pStyle w:val="FootnoteText"/>
      </w:pPr>
      <w:r>
        <w:rPr>
          <w:rStyle w:val="FootnoteReference"/>
        </w:rPr>
        <w:footnoteRef/>
      </w:r>
      <w:r>
        <w:t xml:space="preserve"> </w:t>
      </w:r>
      <w:r>
        <w:tab/>
        <w:t>Particulars of claim, paragraphs 1-81, 90-2, 113 and 138.</w:t>
      </w:r>
    </w:p>
  </w:footnote>
  <w:footnote w:id="61">
    <w:p w:rsidR="00000000" w:rsidRDefault="002A4783">
      <w:pPr>
        <w:pStyle w:val="FootnoteText"/>
      </w:pPr>
      <w:r>
        <w:rPr>
          <w:rStyle w:val="FootnoteReference"/>
        </w:rPr>
        <w:footnoteRef/>
      </w:r>
      <w:r>
        <w:t xml:space="preserve"> </w:t>
      </w:r>
      <w:r>
        <w:tab/>
        <w:t>Exhibits A2 and A3.</w:t>
      </w:r>
    </w:p>
  </w:footnote>
  <w:footnote w:id="62">
    <w:p w:rsidR="00000000" w:rsidRDefault="002A4783">
      <w:pPr>
        <w:pStyle w:val="FootnoteText"/>
      </w:pPr>
      <w:r>
        <w:rPr>
          <w:rStyle w:val="FootnoteReference"/>
        </w:rPr>
        <w:footnoteRef/>
      </w:r>
      <w:r>
        <w:t xml:space="preserve"> </w:t>
      </w:r>
      <w:r>
        <w:tab/>
        <w:t>Particulars of claim, paragraph 9.</w:t>
      </w:r>
    </w:p>
  </w:footnote>
  <w:footnote w:id="63">
    <w:p w:rsidR="00000000" w:rsidRDefault="002A4783" w:rsidP="00C96EE5">
      <w:pPr>
        <w:pStyle w:val="FootnoteText"/>
      </w:pPr>
      <w:r>
        <w:rPr>
          <w:rStyle w:val="FootnoteReference"/>
        </w:rPr>
        <w:footnoteRef/>
      </w:r>
      <w:r>
        <w:t xml:space="preserve"> </w:t>
      </w:r>
      <w:r>
        <w:tab/>
        <w:t>Police statement dated 4 November 2011 - Exhibit A10.</w:t>
      </w:r>
    </w:p>
  </w:footnote>
  <w:footnote w:id="64">
    <w:p w:rsidR="00000000" w:rsidRDefault="002A4783">
      <w:pPr>
        <w:pStyle w:val="FootnoteText"/>
      </w:pPr>
      <w:r>
        <w:rPr>
          <w:rStyle w:val="FootnoteReference"/>
        </w:rPr>
        <w:footnoteRef/>
      </w:r>
      <w:r>
        <w:t xml:space="preserve"> </w:t>
      </w:r>
      <w:r>
        <w:tab/>
        <w:t>Transcript, pages 32-33.</w:t>
      </w:r>
    </w:p>
  </w:footnote>
  <w:footnote w:id="65">
    <w:p w:rsidR="00000000" w:rsidRDefault="002A4783">
      <w:pPr>
        <w:pStyle w:val="FootnoteText"/>
      </w:pPr>
      <w:r>
        <w:rPr>
          <w:rStyle w:val="FootnoteReference"/>
        </w:rPr>
        <w:footnoteRef/>
      </w:r>
      <w:r>
        <w:t xml:space="preserve"> </w:t>
      </w:r>
      <w:r>
        <w:tab/>
        <w:t>Exhibit A1.</w:t>
      </w:r>
    </w:p>
  </w:footnote>
  <w:footnote w:id="66">
    <w:p w:rsidR="00000000" w:rsidRDefault="002A4783">
      <w:pPr>
        <w:pStyle w:val="FootnoteText"/>
      </w:pPr>
      <w:r>
        <w:rPr>
          <w:rStyle w:val="FootnoteReference"/>
        </w:rPr>
        <w:footnoteRef/>
      </w:r>
      <w:r>
        <w:t xml:space="preserve"> </w:t>
      </w:r>
      <w:r>
        <w:tab/>
        <w:t>Transcript, page 38.</w:t>
      </w:r>
    </w:p>
  </w:footnote>
  <w:footnote w:id="67">
    <w:p w:rsidR="00000000" w:rsidRDefault="002A4783">
      <w:pPr>
        <w:pStyle w:val="FootnoteText"/>
      </w:pPr>
      <w:r>
        <w:rPr>
          <w:rStyle w:val="FootnoteReference"/>
        </w:rPr>
        <w:footnoteRef/>
      </w:r>
      <w:r>
        <w:t xml:space="preserve"> </w:t>
      </w:r>
      <w:r>
        <w:tab/>
        <w:t>Particulars of claim, paragraphs 20-27 and transcript pages 38-40.</w:t>
      </w:r>
    </w:p>
  </w:footnote>
  <w:footnote w:id="68">
    <w:p w:rsidR="00000000" w:rsidRDefault="002A4783">
      <w:pPr>
        <w:pStyle w:val="FootnoteText"/>
      </w:pPr>
      <w:r>
        <w:rPr>
          <w:rStyle w:val="FootnoteReference"/>
        </w:rPr>
        <w:footnoteRef/>
      </w:r>
      <w:r>
        <w:t xml:space="preserve"> </w:t>
      </w:r>
      <w:r>
        <w:tab/>
        <w:t>Transcript, page 112.</w:t>
      </w:r>
    </w:p>
  </w:footnote>
  <w:footnote w:id="69">
    <w:p w:rsidR="00000000" w:rsidRDefault="002A4783">
      <w:pPr>
        <w:pStyle w:val="FootnoteText"/>
      </w:pPr>
      <w:r>
        <w:rPr>
          <w:rStyle w:val="FootnoteReference"/>
        </w:rPr>
        <w:footnoteRef/>
      </w:r>
      <w:r>
        <w:t xml:space="preserve"> </w:t>
      </w:r>
      <w:r>
        <w:tab/>
        <w:t>Statutory declaration made 29 December 2013 – Exhibit A36 and transcript 139-141.</w:t>
      </w:r>
    </w:p>
  </w:footnote>
  <w:footnote w:id="70">
    <w:p w:rsidR="00000000" w:rsidRDefault="002A4783">
      <w:pPr>
        <w:pStyle w:val="FootnoteText"/>
      </w:pPr>
      <w:r>
        <w:rPr>
          <w:rStyle w:val="FootnoteReference"/>
        </w:rPr>
        <w:footnoteRef/>
      </w:r>
      <w:r>
        <w:t xml:space="preserve"> </w:t>
      </w:r>
      <w:r>
        <w:tab/>
        <w:t>Statutory declaration made 20 December 2013.</w:t>
      </w:r>
    </w:p>
  </w:footnote>
  <w:footnote w:id="71">
    <w:p w:rsidR="00000000" w:rsidRDefault="002A4783">
      <w:pPr>
        <w:pStyle w:val="FootnoteText"/>
      </w:pPr>
      <w:r>
        <w:rPr>
          <w:rStyle w:val="FootnoteReference"/>
        </w:rPr>
        <w:footnoteRef/>
      </w:r>
      <w:r>
        <w:t xml:space="preserve"> </w:t>
      </w:r>
      <w:r>
        <w:tab/>
        <w:t>Exhibit A37.</w:t>
      </w:r>
    </w:p>
  </w:footnote>
  <w:footnote w:id="72">
    <w:p w:rsidR="00000000" w:rsidRDefault="002A4783">
      <w:pPr>
        <w:pStyle w:val="FootnoteText"/>
      </w:pPr>
      <w:r>
        <w:rPr>
          <w:rStyle w:val="FootnoteReference"/>
        </w:rPr>
        <w:footnoteRef/>
      </w:r>
      <w:r>
        <w:t xml:space="preserve"> </w:t>
      </w:r>
      <w:r>
        <w:tab/>
        <w:t xml:space="preserve">Exhibit A38. </w:t>
      </w:r>
    </w:p>
  </w:footnote>
  <w:footnote w:id="73">
    <w:p w:rsidR="00000000" w:rsidRDefault="002A4783" w:rsidP="00931075">
      <w:pPr>
        <w:pStyle w:val="FootnoteText"/>
      </w:pPr>
      <w:r>
        <w:rPr>
          <w:rStyle w:val="FootnoteReference"/>
        </w:rPr>
        <w:footnoteRef/>
      </w:r>
      <w:r>
        <w:t xml:space="preserve"> </w:t>
      </w:r>
      <w:r>
        <w:tab/>
        <w:t>Particulars of claim, paragraph 19-27.</w:t>
      </w:r>
    </w:p>
  </w:footnote>
  <w:footnote w:id="74">
    <w:p w:rsidR="00000000" w:rsidRDefault="002A4783" w:rsidP="00931075">
      <w:pPr>
        <w:pStyle w:val="FootnoteText"/>
      </w:pPr>
      <w:r>
        <w:rPr>
          <w:rStyle w:val="FootnoteReference"/>
        </w:rPr>
        <w:footnoteRef/>
      </w:r>
      <w:r>
        <w:t xml:space="preserve"> </w:t>
      </w:r>
      <w:r>
        <w:tab/>
        <w:t>Written submissions, paragraph 38-47.</w:t>
      </w:r>
    </w:p>
  </w:footnote>
  <w:footnote w:id="75">
    <w:p w:rsidR="00000000" w:rsidRDefault="002A4783" w:rsidP="000362E9">
      <w:pPr>
        <w:pStyle w:val="FootnoteText"/>
      </w:pPr>
      <w:r>
        <w:rPr>
          <w:rStyle w:val="FootnoteReference"/>
        </w:rPr>
        <w:footnoteRef/>
      </w:r>
      <w:r>
        <w:t xml:space="preserve"> </w:t>
      </w:r>
      <w:r>
        <w:tab/>
        <w:t>Particulars of claim, paragraphs 1-81, 90-2, 113 and 138.</w:t>
      </w:r>
    </w:p>
  </w:footnote>
  <w:footnote w:id="76">
    <w:p w:rsidR="00000000" w:rsidRDefault="002A4783">
      <w:pPr>
        <w:pStyle w:val="FootnoteText"/>
      </w:pPr>
      <w:r>
        <w:rPr>
          <w:rStyle w:val="FootnoteReference"/>
        </w:rPr>
        <w:footnoteRef/>
      </w:r>
      <w:r>
        <w:t xml:space="preserve"> </w:t>
      </w:r>
      <w:r>
        <w:tab/>
        <w:t>Paragraph 83.</w:t>
      </w:r>
    </w:p>
  </w:footnote>
  <w:footnote w:id="77">
    <w:p w:rsidR="00000000" w:rsidRDefault="002A4783">
      <w:pPr>
        <w:pStyle w:val="FootnoteText"/>
      </w:pPr>
      <w:r>
        <w:rPr>
          <w:rStyle w:val="FootnoteReference"/>
        </w:rPr>
        <w:footnoteRef/>
      </w:r>
      <w:r>
        <w:t xml:space="preserve"> </w:t>
      </w:r>
      <w:r>
        <w:tab/>
        <w:t>Transcript page 52.</w:t>
      </w:r>
    </w:p>
  </w:footnote>
  <w:footnote w:id="78">
    <w:p w:rsidR="00000000" w:rsidRDefault="002A4783">
      <w:pPr>
        <w:pStyle w:val="FootnoteText"/>
      </w:pPr>
      <w:r>
        <w:rPr>
          <w:rStyle w:val="FootnoteReference"/>
        </w:rPr>
        <w:footnoteRef/>
      </w:r>
      <w:r>
        <w:t xml:space="preserve"> </w:t>
      </w:r>
      <w:r>
        <w:tab/>
        <w:t>Exhibit A12.</w:t>
      </w:r>
    </w:p>
  </w:footnote>
  <w:footnote w:id="79">
    <w:p w:rsidR="00000000" w:rsidRDefault="002A4783">
      <w:pPr>
        <w:pStyle w:val="FootnoteText"/>
      </w:pPr>
      <w:r>
        <w:rPr>
          <w:rStyle w:val="FootnoteReference"/>
        </w:rPr>
        <w:footnoteRef/>
      </w:r>
      <w:r>
        <w:t xml:space="preserve"> </w:t>
      </w:r>
      <w:r>
        <w:tab/>
        <w:t>Transcript pages 50-52.</w:t>
      </w:r>
    </w:p>
  </w:footnote>
  <w:footnote w:id="80">
    <w:p w:rsidR="00000000" w:rsidRDefault="002A4783">
      <w:pPr>
        <w:pStyle w:val="FootnoteText"/>
      </w:pPr>
      <w:r>
        <w:rPr>
          <w:rStyle w:val="FootnoteReference"/>
        </w:rPr>
        <w:footnoteRef/>
      </w:r>
      <w:r>
        <w:t xml:space="preserve"> </w:t>
      </w:r>
      <w:r>
        <w:tab/>
        <w:t>Particulars of claim, paragraph 36.</w:t>
      </w:r>
    </w:p>
  </w:footnote>
  <w:footnote w:id="81">
    <w:p w:rsidR="00000000" w:rsidRDefault="002A4783">
      <w:pPr>
        <w:pStyle w:val="FootnoteText"/>
      </w:pPr>
      <w:r>
        <w:rPr>
          <w:rStyle w:val="FootnoteReference"/>
        </w:rPr>
        <w:footnoteRef/>
      </w:r>
      <w:r>
        <w:t xml:space="preserve"> </w:t>
      </w:r>
      <w:r>
        <w:tab/>
        <w:t>Section 75 application, paragraph 153.</w:t>
      </w:r>
    </w:p>
  </w:footnote>
  <w:footnote w:id="82">
    <w:p w:rsidR="00000000" w:rsidRDefault="002A4783">
      <w:pPr>
        <w:pStyle w:val="FootnoteText"/>
      </w:pPr>
      <w:r>
        <w:rPr>
          <w:rStyle w:val="FootnoteReference"/>
        </w:rPr>
        <w:footnoteRef/>
      </w:r>
      <w:r>
        <w:t xml:space="preserve"> </w:t>
      </w:r>
      <w:r>
        <w:tab/>
        <w:t>Transcript, page 175.</w:t>
      </w:r>
    </w:p>
  </w:footnote>
  <w:footnote w:id="83">
    <w:p w:rsidR="00000000" w:rsidRDefault="002A4783" w:rsidP="00150AC0">
      <w:pPr>
        <w:pStyle w:val="FootnoteText"/>
      </w:pPr>
      <w:r>
        <w:rPr>
          <w:rStyle w:val="FootnoteReference"/>
        </w:rPr>
        <w:footnoteRef/>
      </w:r>
      <w:r>
        <w:t xml:space="preserve"> </w:t>
      </w:r>
      <w:r>
        <w:tab/>
        <w:t>Particulars of claim, paragraphs 93-153.</w:t>
      </w:r>
    </w:p>
  </w:footnote>
  <w:footnote w:id="84">
    <w:p w:rsidR="00000000" w:rsidRDefault="002A4783">
      <w:pPr>
        <w:pStyle w:val="FootnoteText"/>
      </w:pPr>
      <w:r>
        <w:rPr>
          <w:rStyle w:val="FootnoteReference"/>
        </w:rPr>
        <w:footnoteRef/>
      </w:r>
      <w:r>
        <w:t xml:space="preserve"> </w:t>
      </w:r>
      <w:r>
        <w:tab/>
        <w:t>Exhibit A15.</w:t>
      </w:r>
    </w:p>
  </w:footnote>
  <w:footnote w:id="85">
    <w:p w:rsidR="00000000" w:rsidRDefault="002A4783">
      <w:pPr>
        <w:pStyle w:val="FootnoteText"/>
      </w:pPr>
      <w:r>
        <w:rPr>
          <w:rStyle w:val="FootnoteReference"/>
        </w:rPr>
        <w:footnoteRef/>
      </w:r>
      <w:r>
        <w:t xml:space="preserve"> </w:t>
      </w:r>
      <w:r>
        <w:tab/>
        <w:t>Exhibits A14 and A17.</w:t>
      </w:r>
    </w:p>
  </w:footnote>
  <w:footnote w:id="86">
    <w:p w:rsidR="00000000" w:rsidRDefault="002A4783">
      <w:pPr>
        <w:pStyle w:val="FootnoteText"/>
      </w:pPr>
      <w:r>
        <w:rPr>
          <w:rStyle w:val="FootnoteReference"/>
        </w:rPr>
        <w:footnoteRef/>
      </w:r>
      <w:r>
        <w:t xml:space="preserve"> </w:t>
      </w:r>
      <w:r>
        <w:tab/>
        <w:t>Statutory declaration made on 23 December 2013 – Exhibit A19.</w:t>
      </w:r>
    </w:p>
  </w:footnote>
  <w:footnote w:id="87">
    <w:p w:rsidR="00000000" w:rsidRDefault="002A4783">
      <w:pPr>
        <w:pStyle w:val="FootnoteText"/>
      </w:pPr>
      <w:r>
        <w:rPr>
          <w:rStyle w:val="FootnoteReference"/>
        </w:rPr>
        <w:footnoteRef/>
      </w:r>
      <w:r>
        <w:t xml:space="preserve"> </w:t>
      </w:r>
      <w:r>
        <w:tab/>
        <w:t>Particulars of claim, paragraph 150.</w:t>
      </w:r>
    </w:p>
  </w:footnote>
  <w:footnote w:id="88">
    <w:p w:rsidR="00000000" w:rsidRDefault="002A4783">
      <w:pPr>
        <w:pStyle w:val="FootnoteText"/>
      </w:pPr>
      <w:r>
        <w:rPr>
          <w:rStyle w:val="FootnoteReference"/>
        </w:rPr>
        <w:footnoteRef/>
      </w:r>
      <w:r>
        <w:t xml:space="preserve"> </w:t>
      </w:r>
      <w:r>
        <w:tab/>
        <w:t xml:space="preserve">The materials included a copy of the statement of claim filed in proceedings between Ahmed Dini and others and individual police officers and the State of </w:t>
      </w:r>
      <w:smartTag w:uri="urn:schemas-microsoft-com:office:smarttags" w:element="State">
        <w:smartTag w:uri="urn:schemas-microsoft-com:office:smarttags" w:element="place">
          <w:r>
            <w:t>Victoria</w:t>
          </w:r>
        </w:smartTag>
      </w:smartTag>
      <w:r>
        <w:t>.  Reference was also made to proceedings in the name of Haile-Michael which I understand were settled on a confidential basis with no findings or determinations having been made by the Federal Court.</w:t>
      </w:r>
    </w:p>
  </w:footnote>
  <w:footnote w:id="89">
    <w:p w:rsidR="00000000" w:rsidRDefault="002A4783">
      <w:pPr>
        <w:pStyle w:val="FootnoteText"/>
      </w:pPr>
      <w:r>
        <w:rPr>
          <w:rStyle w:val="FootnoteReference"/>
        </w:rPr>
        <w:footnoteRef/>
      </w:r>
      <w:r>
        <w:t xml:space="preserve"> </w:t>
      </w:r>
      <w:r>
        <w:tab/>
      </w:r>
      <w:r>
        <w:rPr>
          <w:i/>
        </w:rPr>
        <w:t>Rights of passage – two years on: The experiences of Australian-Sudanese young people</w:t>
      </w:r>
      <w:r>
        <w:t>, 2010.</w:t>
      </w:r>
    </w:p>
  </w:footnote>
  <w:footnote w:id="90">
    <w:p w:rsidR="00000000" w:rsidRDefault="002A4783">
      <w:pPr>
        <w:pStyle w:val="FootnoteText"/>
      </w:pPr>
      <w:r>
        <w:rPr>
          <w:rStyle w:val="FootnoteReference"/>
        </w:rPr>
        <w:footnoteRef/>
      </w:r>
      <w:r>
        <w:t xml:space="preserve"> </w:t>
      </w:r>
      <w:r>
        <w:tab/>
        <w:t>Particulars of claim, paragraph 238-239(a).</w:t>
      </w:r>
    </w:p>
  </w:footnote>
  <w:footnote w:id="91">
    <w:p w:rsidR="00000000" w:rsidRDefault="002A4783">
      <w:pPr>
        <w:pStyle w:val="FootnoteText"/>
      </w:pPr>
      <w:r>
        <w:rPr>
          <w:rStyle w:val="FootnoteReference"/>
        </w:rPr>
        <w:footnoteRef/>
      </w:r>
      <w:r>
        <w:t xml:space="preserve"> </w:t>
      </w:r>
      <w:r>
        <w:tab/>
        <w:t>Particulars of claim, paragraph 239(b).</w:t>
      </w:r>
    </w:p>
  </w:footnote>
  <w:footnote w:id="92">
    <w:p w:rsidR="00000000" w:rsidRDefault="002A4783">
      <w:pPr>
        <w:pStyle w:val="FootnoteText"/>
      </w:pPr>
      <w:r>
        <w:rPr>
          <w:rStyle w:val="FootnoteReference"/>
        </w:rPr>
        <w:footnoteRef/>
      </w:r>
      <w:r>
        <w:t xml:space="preserve"> </w:t>
      </w:r>
      <w:r>
        <w:tab/>
        <w:t>Particulars of claim, paragraph 239(c).</w:t>
      </w:r>
    </w:p>
  </w:footnote>
  <w:footnote w:id="93">
    <w:p w:rsidR="00000000" w:rsidRDefault="002A4783">
      <w:pPr>
        <w:pStyle w:val="FootnoteText"/>
      </w:pPr>
      <w:r>
        <w:rPr>
          <w:rStyle w:val="FootnoteReference"/>
        </w:rPr>
        <w:footnoteRef/>
      </w:r>
      <w:r>
        <w:t xml:space="preserve"> </w:t>
      </w:r>
      <w:r>
        <w:tab/>
        <w:t>Transcript, page 179-180.</w:t>
      </w:r>
    </w:p>
  </w:footnote>
  <w:footnote w:id="94">
    <w:p w:rsidR="00000000" w:rsidRDefault="002A4783">
      <w:pPr>
        <w:pStyle w:val="FootnoteText"/>
      </w:pPr>
      <w:r>
        <w:rPr>
          <w:rStyle w:val="FootnoteReference"/>
        </w:rPr>
        <w:footnoteRef/>
      </w:r>
      <w:r>
        <w:t xml:space="preserve"> </w:t>
      </w:r>
      <w:r>
        <w:tab/>
        <w:t>Transcript, page 176.</w:t>
      </w:r>
    </w:p>
  </w:footnote>
  <w:footnote w:id="95">
    <w:p w:rsidR="00000000" w:rsidRDefault="002A4783" w:rsidP="00FE1961">
      <w:pPr>
        <w:pStyle w:val="FootnoteText"/>
      </w:pPr>
      <w:r>
        <w:rPr>
          <w:rStyle w:val="FootnoteReference"/>
        </w:rPr>
        <w:footnoteRef/>
      </w:r>
      <w:r>
        <w:t xml:space="preserve"> </w:t>
      </w:r>
      <w:r>
        <w:tab/>
        <w:t>Exhibits A30, A31 and A32.</w:t>
      </w:r>
    </w:p>
  </w:footnote>
  <w:footnote w:id="96">
    <w:p w:rsidR="00000000" w:rsidRDefault="002A4783">
      <w:pPr>
        <w:pStyle w:val="FootnoteText"/>
      </w:pPr>
      <w:r>
        <w:rPr>
          <w:rStyle w:val="FootnoteReference"/>
        </w:rPr>
        <w:footnoteRef/>
      </w:r>
      <w:r>
        <w:t xml:space="preserve"> </w:t>
      </w:r>
      <w:r>
        <w:tab/>
        <w:t xml:space="preserve">Bell J’s decision in </w:t>
      </w:r>
      <w:r>
        <w:rPr>
          <w:i/>
        </w:rPr>
        <w:t>Goode</w:t>
      </w:r>
      <w:r>
        <w:t>.</w:t>
      </w:r>
    </w:p>
  </w:footnote>
  <w:footnote w:id="97">
    <w:p w:rsidR="00000000" w:rsidRDefault="002A4783">
      <w:pPr>
        <w:pStyle w:val="FootnoteText"/>
      </w:pPr>
      <w:r>
        <w:rPr>
          <w:rStyle w:val="FootnoteReference"/>
        </w:rPr>
        <w:footnoteRef/>
      </w:r>
      <w:r>
        <w:t xml:space="preserve"> </w:t>
      </w:r>
      <w:r>
        <w:tab/>
        <w:t>Particulars of claim, paragraphs 239(d) and (e).</w:t>
      </w:r>
    </w:p>
  </w:footnote>
  <w:footnote w:id="98">
    <w:p w:rsidR="00000000" w:rsidRDefault="002A4783">
      <w:pPr>
        <w:pStyle w:val="FootnoteText"/>
      </w:pPr>
      <w:r>
        <w:rPr>
          <w:rStyle w:val="FootnoteReference"/>
        </w:rPr>
        <w:footnoteRef/>
      </w:r>
      <w:r>
        <w:t xml:space="preserve"> </w:t>
      </w:r>
      <w:r>
        <w:tab/>
        <w:t>Particulars of claim, paragraph 239(f).</w:t>
      </w:r>
    </w:p>
  </w:footnote>
  <w:footnote w:id="99">
    <w:p w:rsidR="00000000" w:rsidRDefault="002A4783">
      <w:pPr>
        <w:pStyle w:val="FootnoteText"/>
      </w:pPr>
      <w:r>
        <w:rPr>
          <w:rStyle w:val="FootnoteReference"/>
        </w:rPr>
        <w:footnoteRef/>
      </w:r>
      <w:r>
        <w:t xml:space="preserve"> </w:t>
      </w:r>
      <w:r>
        <w:tab/>
        <w:t>Particulars of claim, paragraph 239(f).</w:t>
      </w:r>
    </w:p>
  </w:footnote>
  <w:footnote w:id="100">
    <w:p w:rsidR="00000000" w:rsidRDefault="002A4783" w:rsidP="003407B8">
      <w:pPr>
        <w:pStyle w:val="FootnoteText"/>
      </w:pPr>
      <w:r>
        <w:rPr>
          <w:rStyle w:val="FootnoteReference"/>
        </w:rPr>
        <w:footnoteRef/>
      </w:r>
      <w:r>
        <w:t xml:space="preserve"> </w:t>
      </w:r>
      <w:r>
        <w:tab/>
        <w:t>The claims of discrimination rely on the attributes of race and/or physical features.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4282"/>
    <w:multiLevelType w:val="multilevel"/>
    <w:tmpl w:val="81B0A810"/>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81283"/>
    <w:multiLevelType w:val="hybridMultilevel"/>
    <w:tmpl w:val="11985D16"/>
    <w:lvl w:ilvl="0" w:tplc="6D527BE2">
      <w:start w:val="1"/>
      <w:numFmt w:val="decimal"/>
      <w:pStyle w:val="Para1"/>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B02290B6">
      <w:start w:val="1"/>
      <w:numFmt w:val="decimal"/>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893A7F"/>
    <w:multiLevelType w:val="hybridMultilevel"/>
    <w:tmpl w:val="A59A9106"/>
    <w:lvl w:ilvl="0" w:tplc="767AA104">
      <w:start w:val="1"/>
      <w:numFmt w:val="lowerLetter"/>
      <w:pStyle w:val="Para4"/>
      <w:lvlText w:val="%1"/>
      <w:lvlJc w:val="left"/>
      <w:pPr>
        <w:tabs>
          <w:tab w:val="num" w:pos="1134"/>
        </w:tabs>
        <w:ind w:left="1134" w:hanging="567"/>
      </w:pPr>
      <w:rPr>
        <w:rFonts w:cs="Times New Roman" w:hint="default"/>
      </w:rPr>
    </w:lvl>
    <w:lvl w:ilvl="1" w:tplc="EA08CFEC">
      <w:start w:val="1"/>
      <w:numFmt w:val="bullet"/>
      <w:pStyle w:val="Para5"/>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E0188D08">
      <w:start w:val="1"/>
      <w:numFmt w:val="lowerLetter"/>
      <w:pStyle w:val="Para4"/>
      <w:lvlText w:val="%5."/>
      <w:lvlJc w:val="left"/>
      <w:pPr>
        <w:tabs>
          <w:tab w:val="num" w:pos="1134"/>
        </w:tabs>
        <w:ind w:left="1134" w:hanging="567"/>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2A618D"/>
    <w:multiLevelType w:val="hybridMultilevel"/>
    <w:tmpl w:val="9EC46206"/>
    <w:lvl w:ilvl="0" w:tplc="CE9239F4">
      <w:start w:val="1"/>
      <w:numFmt w:val="lowerRoman"/>
      <w:pStyle w:val="Para3"/>
      <w:lvlText w:val="%1"/>
      <w:lvlJc w:val="left"/>
      <w:pPr>
        <w:tabs>
          <w:tab w:val="num" w:pos="1134"/>
        </w:tabs>
        <w:ind w:left="1134"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5633A84"/>
    <w:multiLevelType w:val="multilevel"/>
    <w:tmpl w:val="92D230AE"/>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E06E8C"/>
    <w:multiLevelType w:val="multilevel"/>
    <w:tmpl w:val="3A8A4D44"/>
    <w:lvl w:ilvl="0">
      <w:start w:val="1"/>
      <w:numFmt w:val="bullet"/>
      <w:lvlText w:val=""/>
      <w:lvlJc w:val="left"/>
      <w:pPr>
        <w:tabs>
          <w:tab w:val="num" w:pos="1134"/>
        </w:tabs>
        <w:ind w:left="1134" w:hanging="567"/>
      </w:pPr>
      <w:rPr>
        <w:rFonts w:ascii="Wingdings" w:hAnsi="Wingdings"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DC5CD2"/>
    <w:multiLevelType w:val="multilevel"/>
    <w:tmpl w:val="7D746F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0214EF0"/>
    <w:multiLevelType w:val="hybridMultilevel"/>
    <w:tmpl w:val="FCB65E0C"/>
    <w:lvl w:ilvl="0" w:tplc="6C48703E">
      <w:start w:val="1"/>
      <w:numFmt w:val="decimal"/>
      <w:lvlText w:val="%1."/>
      <w:lvlJc w:val="left"/>
      <w:pPr>
        <w:tabs>
          <w:tab w:val="num" w:pos="1080"/>
        </w:tabs>
        <w:ind w:left="1080" w:hanging="360"/>
      </w:pPr>
      <w:rPr>
        <w:rFonts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3C62CB"/>
    <w:multiLevelType w:val="multilevel"/>
    <w:tmpl w:val="7FFA07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46D1F26"/>
    <w:multiLevelType w:val="multilevel"/>
    <w:tmpl w:val="C9369B1C"/>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26442A77"/>
    <w:multiLevelType w:val="hybridMultilevel"/>
    <w:tmpl w:val="B69894E0"/>
    <w:lvl w:ilvl="0" w:tplc="EEA26ABC">
      <w:start w:val="10"/>
      <w:numFmt w:val="decimal"/>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231303"/>
    <w:multiLevelType w:val="hybridMultilevel"/>
    <w:tmpl w:val="3C8AD7B2"/>
    <w:lvl w:ilvl="0" w:tplc="3800A916">
      <w:start w:val="6"/>
      <w:numFmt w:val="decimal"/>
      <w:lvlText w:val="%1."/>
      <w:lvlJc w:val="left"/>
      <w:pPr>
        <w:tabs>
          <w:tab w:val="num" w:pos="1080"/>
        </w:tabs>
        <w:ind w:left="108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E569C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1A301F8"/>
    <w:multiLevelType w:val="hybridMultilevel"/>
    <w:tmpl w:val="81B0A810"/>
    <w:lvl w:ilvl="0" w:tplc="B338F3B0">
      <w:start w:val="1"/>
      <w:numFmt w:val="bullet"/>
      <w:pStyle w:val="Para5"/>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3176C7"/>
    <w:multiLevelType w:val="multilevel"/>
    <w:tmpl w:val="B2EE0958"/>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531"/>
        </w:tabs>
        <w:ind w:left="1531" w:hanging="39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43474812"/>
    <w:multiLevelType w:val="multilevel"/>
    <w:tmpl w:val="8D2094BC"/>
    <w:lvl w:ilvl="0">
      <w:start w:val="1"/>
      <w:numFmt w:val="decimal"/>
      <w:pStyle w:val="Order2"/>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4BF07D27"/>
    <w:multiLevelType w:val="multilevel"/>
    <w:tmpl w:val="C5D64AB4"/>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4C4826DE"/>
    <w:multiLevelType w:val="multilevel"/>
    <w:tmpl w:val="0AC2157E"/>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531"/>
        </w:tabs>
        <w:ind w:left="1531" w:hanging="397"/>
      </w:pPr>
      <w:rPr>
        <w:rFonts w:cs="Times New Roman" w:hint="default"/>
      </w:rPr>
    </w:lvl>
    <w:lvl w:ilvl="3">
      <w:start w:val="1"/>
      <w:numFmt w:val="bullet"/>
      <w:lvlText w:val=""/>
      <w:lvlJc w:val="left"/>
      <w:pPr>
        <w:tabs>
          <w:tab w:val="num" w:pos="1928"/>
        </w:tabs>
        <w:ind w:left="1928" w:hanging="397"/>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DB02408"/>
    <w:multiLevelType w:val="hybridMultilevel"/>
    <w:tmpl w:val="8C52BA3C"/>
    <w:lvl w:ilvl="0" w:tplc="874879C8">
      <w:start w:val="1"/>
      <w:numFmt w:val="lowerLetter"/>
      <w:lvlText w:val="(%1)"/>
      <w:lvlJc w:val="left"/>
      <w:pPr>
        <w:tabs>
          <w:tab w:val="num" w:pos="1494"/>
        </w:tabs>
        <w:ind w:left="1494" w:hanging="360"/>
      </w:pPr>
      <w:rPr>
        <w:rFonts w:cs="Times New Roman" w:hint="default"/>
      </w:rPr>
    </w:lvl>
    <w:lvl w:ilvl="1" w:tplc="0C090019" w:tentative="1">
      <w:start w:val="1"/>
      <w:numFmt w:val="lowerLetter"/>
      <w:lvlText w:val="%2."/>
      <w:lvlJc w:val="left"/>
      <w:pPr>
        <w:tabs>
          <w:tab w:val="num" w:pos="2214"/>
        </w:tabs>
        <w:ind w:left="2214" w:hanging="360"/>
      </w:pPr>
      <w:rPr>
        <w:rFonts w:cs="Times New Roman"/>
      </w:rPr>
    </w:lvl>
    <w:lvl w:ilvl="2" w:tplc="0C09001B" w:tentative="1">
      <w:start w:val="1"/>
      <w:numFmt w:val="lowerRoman"/>
      <w:lvlText w:val="%3."/>
      <w:lvlJc w:val="right"/>
      <w:pPr>
        <w:tabs>
          <w:tab w:val="num" w:pos="2934"/>
        </w:tabs>
        <w:ind w:left="2934" w:hanging="180"/>
      </w:pPr>
      <w:rPr>
        <w:rFonts w:cs="Times New Roman"/>
      </w:rPr>
    </w:lvl>
    <w:lvl w:ilvl="3" w:tplc="0C09000F" w:tentative="1">
      <w:start w:val="1"/>
      <w:numFmt w:val="decimal"/>
      <w:lvlText w:val="%4."/>
      <w:lvlJc w:val="left"/>
      <w:pPr>
        <w:tabs>
          <w:tab w:val="num" w:pos="3654"/>
        </w:tabs>
        <w:ind w:left="3654" w:hanging="360"/>
      </w:pPr>
      <w:rPr>
        <w:rFonts w:cs="Times New Roman"/>
      </w:rPr>
    </w:lvl>
    <w:lvl w:ilvl="4" w:tplc="0C090019" w:tentative="1">
      <w:start w:val="1"/>
      <w:numFmt w:val="lowerLetter"/>
      <w:lvlText w:val="%5."/>
      <w:lvlJc w:val="left"/>
      <w:pPr>
        <w:tabs>
          <w:tab w:val="num" w:pos="4374"/>
        </w:tabs>
        <w:ind w:left="4374" w:hanging="360"/>
      </w:pPr>
      <w:rPr>
        <w:rFonts w:cs="Times New Roman"/>
      </w:rPr>
    </w:lvl>
    <w:lvl w:ilvl="5" w:tplc="0C09001B" w:tentative="1">
      <w:start w:val="1"/>
      <w:numFmt w:val="lowerRoman"/>
      <w:lvlText w:val="%6."/>
      <w:lvlJc w:val="right"/>
      <w:pPr>
        <w:tabs>
          <w:tab w:val="num" w:pos="5094"/>
        </w:tabs>
        <w:ind w:left="5094" w:hanging="180"/>
      </w:pPr>
      <w:rPr>
        <w:rFonts w:cs="Times New Roman"/>
      </w:rPr>
    </w:lvl>
    <w:lvl w:ilvl="6" w:tplc="0C09000F" w:tentative="1">
      <w:start w:val="1"/>
      <w:numFmt w:val="decimal"/>
      <w:lvlText w:val="%7."/>
      <w:lvlJc w:val="left"/>
      <w:pPr>
        <w:tabs>
          <w:tab w:val="num" w:pos="5814"/>
        </w:tabs>
        <w:ind w:left="5814" w:hanging="360"/>
      </w:pPr>
      <w:rPr>
        <w:rFonts w:cs="Times New Roman"/>
      </w:rPr>
    </w:lvl>
    <w:lvl w:ilvl="7" w:tplc="0C090019" w:tentative="1">
      <w:start w:val="1"/>
      <w:numFmt w:val="lowerLetter"/>
      <w:lvlText w:val="%8."/>
      <w:lvlJc w:val="left"/>
      <w:pPr>
        <w:tabs>
          <w:tab w:val="num" w:pos="6534"/>
        </w:tabs>
        <w:ind w:left="6534" w:hanging="360"/>
      </w:pPr>
      <w:rPr>
        <w:rFonts w:cs="Times New Roman"/>
      </w:rPr>
    </w:lvl>
    <w:lvl w:ilvl="8" w:tplc="0C09001B" w:tentative="1">
      <w:start w:val="1"/>
      <w:numFmt w:val="lowerRoman"/>
      <w:lvlText w:val="%9."/>
      <w:lvlJc w:val="right"/>
      <w:pPr>
        <w:tabs>
          <w:tab w:val="num" w:pos="7254"/>
        </w:tabs>
        <w:ind w:left="7254" w:hanging="180"/>
      </w:pPr>
      <w:rPr>
        <w:rFonts w:cs="Times New Roman"/>
      </w:rPr>
    </w:lvl>
  </w:abstractNum>
  <w:abstractNum w:abstractNumId="19" w15:restartNumberingAfterBreak="0">
    <w:nsid w:val="54550459"/>
    <w:multiLevelType w:val="multilevel"/>
    <w:tmpl w:val="598EF216"/>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F8A777A"/>
    <w:multiLevelType w:val="multilevel"/>
    <w:tmpl w:val="4DF41220"/>
    <w:lvl w:ilvl="0">
      <w:start w:val="1"/>
      <w:numFmt w:val="lowerRoman"/>
      <w:lvlText w:val="%1."/>
      <w:lvlJc w:val="left"/>
      <w:pPr>
        <w:tabs>
          <w:tab w:val="num" w:pos="1134"/>
        </w:tabs>
        <w:ind w:left="1134" w:hanging="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675B5F7E"/>
    <w:multiLevelType w:val="multilevel"/>
    <w:tmpl w:val="4008F1A2"/>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134"/>
        </w:tabs>
        <w:ind w:left="1134" w:hanging="567"/>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D7864F7"/>
    <w:multiLevelType w:val="hybridMultilevel"/>
    <w:tmpl w:val="4DD8D500"/>
    <w:lvl w:ilvl="0" w:tplc="98A212C8">
      <w:numFmt w:val="bullet"/>
      <w:pStyle w:val="Quote3"/>
      <w:lvlText w:val=""/>
      <w:lvlJc w:val="left"/>
      <w:pPr>
        <w:tabs>
          <w:tab w:val="num" w:pos="1701"/>
        </w:tabs>
        <w:ind w:left="1701" w:hanging="567"/>
      </w:pPr>
      <w:rPr>
        <w:rFonts w:ascii="Symbol" w:eastAsia="Times New Roman"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99253B"/>
    <w:multiLevelType w:val="hybridMultilevel"/>
    <w:tmpl w:val="D90E8130"/>
    <w:lvl w:ilvl="0" w:tplc="73005FAC">
      <w:start w:val="30"/>
      <w:numFmt w:val="decimal"/>
      <w:lvlText w:val="%1."/>
      <w:lvlJc w:val="left"/>
      <w:pPr>
        <w:tabs>
          <w:tab w:val="num" w:pos="1440"/>
        </w:tabs>
        <w:ind w:left="144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5A579B5"/>
    <w:multiLevelType w:val="hybridMultilevel"/>
    <w:tmpl w:val="97063B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2"/>
  </w:num>
  <w:num w:numId="3">
    <w:abstractNumId w:val="16"/>
  </w:num>
  <w:num w:numId="4">
    <w:abstractNumId w:val="4"/>
  </w:num>
  <w:num w:numId="5">
    <w:abstractNumId w:val="21"/>
  </w:num>
  <w:num w:numId="6">
    <w:abstractNumId w:val="15"/>
  </w:num>
  <w:num w:numId="7">
    <w:abstractNumId w:val="15"/>
  </w:num>
  <w:num w:numId="8">
    <w:abstractNumId w:val="9"/>
  </w:num>
  <w:num w:numId="9">
    <w:abstractNumId w:val="3"/>
  </w:num>
  <w:num w:numId="10">
    <w:abstractNumId w:val="19"/>
  </w:num>
  <w:num w:numId="11">
    <w:abstractNumId w:val="1"/>
  </w:num>
  <w:num w:numId="12">
    <w:abstractNumId w:val="20"/>
  </w:num>
  <w:num w:numId="13">
    <w:abstractNumId w:val="5"/>
  </w:num>
  <w:num w:numId="14">
    <w:abstractNumId w:val="14"/>
  </w:num>
  <w:num w:numId="15">
    <w:abstractNumId w:val="17"/>
  </w:num>
  <w:num w:numId="16">
    <w:abstractNumId w:val="13"/>
  </w:num>
  <w:num w:numId="17">
    <w:abstractNumId w:val="0"/>
  </w:num>
  <w:num w:numId="18">
    <w:abstractNumId w:val="22"/>
  </w:num>
  <w:num w:numId="19">
    <w:abstractNumId w:val="7"/>
  </w:num>
  <w:num w:numId="20">
    <w:abstractNumId w:val="11"/>
  </w:num>
  <w:num w:numId="21">
    <w:abstractNumId w:val="10"/>
  </w:num>
  <w:num w:numId="22">
    <w:abstractNumId w:val="23"/>
  </w:num>
  <w:num w:numId="23">
    <w:abstractNumId w:val="18"/>
  </w:num>
  <w:num w:numId="24">
    <w:abstractNumId w:val="8"/>
    <w:lvlOverride w:ilvl="0">
      <w:startOverride w:val="1"/>
    </w:lvlOverride>
  </w:num>
  <w:num w:numId="25">
    <w:abstractNumId w:val="6"/>
    <w:lvlOverride w:ilvl="0">
      <w:startOverride w:val="2"/>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dgnword-docGUID" w:val="{FB7EA725-3619-4140-B977-7FDCB227C85D}"/>
    <w:docVar w:name="dgnword-eventsink" w:val="8642720"/>
  </w:docVars>
  <w:rsids>
    <w:rsidRoot w:val="00BF2FAE"/>
    <w:rsid w:val="00001393"/>
    <w:rsid w:val="00006E61"/>
    <w:rsid w:val="000153ED"/>
    <w:rsid w:val="000167F0"/>
    <w:rsid w:val="000169C8"/>
    <w:rsid w:val="0001703E"/>
    <w:rsid w:val="00030495"/>
    <w:rsid w:val="0003504E"/>
    <w:rsid w:val="000362E9"/>
    <w:rsid w:val="0004030A"/>
    <w:rsid w:val="000412EA"/>
    <w:rsid w:val="0004194B"/>
    <w:rsid w:val="00042DC9"/>
    <w:rsid w:val="00045342"/>
    <w:rsid w:val="00047409"/>
    <w:rsid w:val="00062447"/>
    <w:rsid w:val="0006646E"/>
    <w:rsid w:val="00070D94"/>
    <w:rsid w:val="00074536"/>
    <w:rsid w:val="00075CAA"/>
    <w:rsid w:val="000904EE"/>
    <w:rsid w:val="00090DDD"/>
    <w:rsid w:val="0009548A"/>
    <w:rsid w:val="000954BF"/>
    <w:rsid w:val="00097A56"/>
    <w:rsid w:val="000B6280"/>
    <w:rsid w:val="000C3872"/>
    <w:rsid w:val="000C3A0B"/>
    <w:rsid w:val="000C465F"/>
    <w:rsid w:val="000D091F"/>
    <w:rsid w:val="000D0D83"/>
    <w:rsid w:val="000D56AD"/>
    <w:rsid w:val="000F58D6"/>
    <w:rsid w:val="00110DC6"/>
    <w:rsid w:val="001150A6"/>
    <w:rsid w:val="001165D4"/>
    <w:rsid w:val="00136EA1"/>
    <w:rsid w:val="00150AC0"/>
    <w:rsid w:val="001562AC"/>
    <w:rsid w:val="0018019C"/>
    <w:rsid w:val="00180808"/>
    <w:rsid w:val="00187086"/>
    <w:rsid w:val="00193A11"/>
    <w:rsid w:val="0019547B"/>
    <w:rsid w:val="001D007E"/>
    <w:rsid w:val="001D47F2"/>
    <w:rsid w:val="001D550C"/>
    <w:rsid w:val="0020201E"/>
    <w:rsid w:val="00203021"/>
    <w:rsid w:val="00205CA8"/>
    <w:rsid w:val="00206A33"/>
    <w:rsid w:val="002213A7"/>
    <w:rsid w:val="00222D60"/>
    <w:rsid w:val="00240E56"/>
    <w:rsid w:val="00243DF4"/>
    <w:rsid w:val="0025306E"/>
    <w:rsid w:val="00255E29"/>
    <w:rsid w:val="00273B42"/>
    <w:rsid w:val="002839B4"/>
    <w:rsid w:val="002840FF"/>
    <w:rsid w:val="002A2D75"/>
    <w:rsid w:val="002A4737"/>
    <w:rsid w:val="002A4783"/>
    <w:rsid w:val="002A49DF"/>
    <w:rsid w:val="002C44BD"/>
    <w:rsid w:val="002C4A37"/>
    <w:rsid w:val="002C5884"/>
    <w:rsid w:val="002D2E88"/>
    <w:rsid w:val="002D397A"/>
    <w:rsid w:val="002E1DE7"/>
    <w:rsid w:val="002F460E"/>
    <w:rsid w:val="002F4E97"/>
    <w:rsid w:val="002F5990"/>
    <w:rsid w:val="00301070"/>
    <w:rsid w:val="00303750"/>
    <w:rsid w:val="00305EAC"/>
    <w:rsid w:val="00313FBB"/>
    <w:rsid w:val="00314A08"/>
    <w:rsid w:val="0033195F"/>
    <w:rsid w:val="003378DA"/>
    <w:rsid w:val="00337A48"/>
    <w:rsid w:val="003407B8"/>
    <w:rsid w:val="00344A9A"/>
    <w:rsid w:val="00374F9A"/>
    <w:rsid w:val="00375370"/>
    <w:rsid w:val="00381683"/>
    <w:rsid w:val="003A0987"/>
    <w:rsid w:val="003A4D25"/>
    <w:rsid w:val="003B616B"/>
    <w:rsid w:val="003C09B5"/>
    <w:rsid w:val="003C2302"/>
    <w:rsid w:val="003C4C4F"/>
    <w:rsid w:val="003C592E"/>
    <w:rsid w:val="003D790F"/>
    <w:rsid w:val="003E64D4"/>
    <w:rsid w:val="003E7B60"/>
    <w:rsid w:val="00405179"/>
    <w:rsid w:val="00426D46"/>
    <w:rsid w:val="0044619D"/>
    <w:rsid w:val="00451CD6"/>
    <w:rsid w:val="00467CE6"/>
    <w:rsid w:val="004733FF"/>
    <w:rsid w:val="00473D98"/>
    <w:rsid w:val="00477799"/>
    <w:rsid w:val="004779FE"/>
    <w:rsid w:val="00480E6F"/>
    <w:rsid w:val="00493D9D"/>
    <w:rsid w:val="00496252"/>
    <w:rsid w:val="004A4D78"/>
    <w:rsid w:val="004C4621"/>
    <w:rsid w:val="004C6771"/>
    <w:rsid w:val="004C7D3B"/>
    <w:rsid w:val="004D01EE"/>
    <w:rsid w:val="004D3BFA"/>
    <w:rsid w:val="004D660E"/>
    <w:rsid w:val="004F04EC"/>
    <w:rsid w:val="004F683D"/>
    <w:rsid w:val="004F756C"/>
    <w:rsid w:val="005029CF"/>
    <w:rsid w:val="00507600"/>
    <w:rsid w:val="0054332C"/>
    <w:rsid w:val="00554662"/>
    <w:rsid w:val="0055782C"/>
    <w:rsid w:val="005633E9"/>
    <w:rsid w:val="00570117"/>
    <w:rsid w:val="005701A9"/>
    <w:rsid w:val="005737B9"/>
    <w:rsid w:val="005903D0"/>
    <w:rsid w:val="005A001B"/>
    <w:rsid w:val="005A4825"/>
    <w:rsid w:val="005A5CE8"/>
    <w:rsid w:val="005A64C8"/>
    <w:rsid w:val="005D18C3"/>
    <w:rsid w:val="005D59FA"/>
    <w:rsid w:val="005E0119"/>
    <w:rsid w:val="005E2A5D"/>
    <w:rsid w:val="005F0B7C"/>
    <w:rsid w:val="005F517B"/>
    <w:rsid w:val="005F75A6"/>
    <w:rsid w:val="006254EB"/>
    <w:rsid w:val="0062662D"/>
    <w:rsid w:val="00640D71"/>
    <w:rsid w:val="00641DF7"/>
    <w:rsid w:val="00646D0D"/>
    <w:rsid w:val="00653B3E"/>
    <w:rsid w:val="00656A19"/>
    <w:rsid w:val="00675203"/>
    <w:rsid w:val="006D4A68"/>
    <w:rsid w:val="006D6414"/>
    <w:rsid w:val="006E31F3"/>
    <w:rsid w:val="006F2C6F"/>
    <w:rsid w:val="00700B5D"/>
    <w:rsid w:val="007144C0"/>
    <w:rsid w:val="00720741"/>
    <w:rsid w:val="00731B74"/>
    <w:rsid w:val="007321E4"/>
    <w:rsid w:val="007502D3"/>
    <w:rsid w:val="00752C0A"/>
    <w:rsid w:val="007550E8"/>
    <w:rsid w:val="007573D7"/>
    <w:rsid w:val="007663F8"/>
    <w:rsid w:val="00770216"/>
    <w:rsid w:val="00785076"/>
    <w:rsid w:val="00794787"/>
    <w:rsid w:val="007A12C8"/>
    <w:rsid w:val="007B02A0"/>
    <w:rsid w:val="007C42F0"/>
    <w:rsid w:val="007D6548"/>
    <w:rsid w:val="007F2002"/>
    <w:rsid w:val="008106D8"/>
    <w:rsid w:val="0081436F"/>
    <w:rsid w:val="00832414"/>
    <w:rsid w:val="008327A3"/>
    <w:rsid w:val="0083427B"/>
    <w:rsid w:val="00844590"/>
    <w:rsid w:val="00853C66"/>
    <w:rsid w:val="008557DA"/>
    <w:rsid w:val="00863096"/>
    <w:rsid w:val="00864728"/>
    <w:rsid w:val="00870EAB"/>
    <w:rsid w:val="00872723"/>
    <w:rsid w:val="008735A8"/>
    <w:rsid w:val="00876CD8"/>
    <w:rsid w:val="00884754"/>
    <w:rsid w:val="00886BD1"/>
    <w:rsid w:val="00891EB6"/>
    <w:rsid w:val="008972C3"/>
    <w:rsid w:val="008A29D5"/>
    <w:rsid w:val="008A4581"/>
    <w:rsid w:val="008B7DD5"/>
    <w:rsid w:val="008D4D29"/>
    <w:rsid w:val="008D5865"/>
    <w:rsid w:val="008D68DF"/>
    <w:rsid w:val="008E4B2E"/>
    <w:rsid w:val="008F0A53"/>
    <w:rsid w:val="009011AA"/>
    <w:rsid w:val="009037FA"/>
    <w:rsid w:val="0092461A"/>
    <w:rsid w:val="00926FFF"/>
    <w:rsid w:val="00931075"/>
    <w:rsid w:val="009539D8"/>
    <w:rsid w:val="009558D4"/>
    <w:rsid w:val="00962C2F"/>
    <w:rsid w:val="0096334F"/>
    <w:rsid w:val="009640A1"/>
    <w:rsid w:val="009823A9"/>
    <w:rsid w:val="009967C5"/>
    <w:rsid w:val="00996FB3"/>
    <w:rsid w:val="009A1887"/>
    <w:rsid w:val="009A38E9"/>
    <w:rsid w:val="009A5F3F"/>
    <w:rsid w:val="009A6891"/>
    <w:rsid w:val="009A6B5D"/>
    <w:rsid w:val="009D0E74"/>
    <w:rsid w:val="00A03E10"/>
    <w:rsid w:val="00A1456B"/>
    <w:rsid w:val="00A15AD0"/>
    <w:rsid w:val="00A25477"/>
    <w:rsid w:val="00A30E4B"/>
    <w:rsid w:val="00A37F11"/>
    <w:rsid w:val="00A43E7F"/>
    <w:rsid w:val="00A4638C"/>
    <w:rsid w:val="00A644DC"/>
    <w:rsid w:val="00A6589E"/>
    <w:rsid w:val="00A70B4B"/>
    <w:rsid w:val="00A738CD"/>
    <w:rsid w:val="00A806CA"/>
    <w:rsid w:val="00A85020"/>
    <w:rsid w:val="00A86B0A"/>
    <w:rsid w:val="00AB602B"/>
    <w:rsid w:val="00AB6F18"/>
    <w:rsid w:val="00AE0BCF"/>
    <w:rsid w:val="00AE3CE0"/>
    <w:rsid w:val="00AF7475"/>
    <w:rsid w:val="00B12AEB"/>
    <w:rsid w:val="00B3158C"/>
    <w:rsid w:val="00B403AA"/>
    <w:rsid w:val="00B41E95"/>
    <w:rsid w:val="00B423D3"/>
    <w:rsid w:val="00B4473B"/>
    <w:rsid w:val="00B46412"/>
    <w:rsid w:val="00B60994"/>
    <w:rsid w:val="00B61A55"/>
    <w:rsid w:val="00B65A97"/>
    <w:rsid w:val="00B67CA6"/>
    <w:rsid w:val="00B70F4E"/>
    <w:rsid w:val="00B96522"/>
    <w:rsid w:val="00BC4C75"/>
    <w:rsid w:val="00BF2FAE"/>
    <w:rsid w:val="00C025DC"/>
    <w:rsid w:val="00C04AAC"/>
    <w:rsid w:val="00C07336"/>
    <w:rsid w:val="00C13999"/>
    <w:rsid w:val="00C3562A"/>
    <w:rsid w:val="00C4781B"/>
    <w:rsid w:val="00C53A29"/>
    <w:rsid w:val="00C572CE"/>
    <w:rsid w:val="00C712B8"/>
    <w:rsid w:val="00C774FE"/>
    <w:rsid w:val="00C805B4"/>
    <w:rsid w:val="00C81B0A"/>
    <w:rsid w:val="00C81B92"/>
    <w:rsid w:val="00C8252D"/>
    <w:rsid w:val="00C9392E"/>
    <w:rsid w:val="00C96EE5"/>
    <w:rsid w:val="00CA0296"/>
    <w:rsid w:val="00CA02B6"/>
    <w:rsid w:val="00CA66EC"/>
    <w:rsid w:val="00CB0EA1"/>
    <w:rsid w:val="00CB167F"/>
    <w:rsid w:val="00CC2562"/>
    <w:rsid w:val="00CD7438"/>
    <w:rsid w:val="00CE1DFB"/>
    <w:rsid w:val="00CF2CA3"/>
    <w:rsid w:val="00D0609A"/>
    <w:rsid w:val="00D20FC9"/>
    <w:rsid w:val="00D218EF"/>
    <w:rsid w:val="00D22556"/>
    <w:rsid w:val="00D227AD"/>
    <w:rsid w:val="00D35861"/>
    <w:rsid w:val="00D36331"/>
    <w:rsid w:val="00D42C96"/>
    <w:rsid w:val="00D42CA6"/>
    <w:rsid w:val="00D433AA"/>
    <w:rsid w:val="00D50711"/>
    <w:rsid w:val="00D55DB6"/>
    <w:rsid w:val="00D706D8"/>
    <w:rsid w:val="00D72DB9"/>
    <w:rsid w:val="00D77E58"/>
    <w:rsid w:val="00D8777F"/>
    <w:rsid w:val="00D877C9"/>
    <w:rsid w:val="00D907B0"/>
    <w:rsid w:val="00D941C4"/>
    <w:rsid w:val="00D95B8A"/>
    <w:rsid w:val="00DA5538"/>
    <w:rsid w:val="00DA6959"/>
    <w:rsid w:val="00DA7CA4"/>
    <w:rsid w:val="00DB386A"/>
    <w:rsid w:val="00DC180A"/>
    <w:rsid w:val="00DD4A29"/>
    <w:rsid w:val="00DD509E"/>
    <w:rsid w:val="00DE6CE2"/>
    <w:rsid w:val="00DF4C85"/>
    <w:rsid w:val="00E030B2"/>
    <w:rsid w:val="00E07681"/>
    <w:rsid w:val="00E2587C"/>
    <w:rsid w:val="00E31982"/>
    <w:rsid w:val="00E34ECB"/>
    <w:rsid w:val="00E36D88"/>
    <w:rsid w:val="00E4458C"/>
    <w:rsid w:val="00E4591E"/>
    <w:rsid w:val="00E53B11"/>
    <w:rsid w:val="00E55E1A"/>
    <w:rsid w:val="00E60D88"/>
    <w:rsid w:val="00E624DC"/>
    <w:rsid w:val="00E626F4"/>
    <w:rsid w:val="00E63204"/>
    <w:rsid w:val="00E63D41"/>
    <w:rsid w:val="00E65D2C"/>
    <w:rsid w:val="00E77306"/>
    <w:rsid w:val="00E838A9"/>
    <w:rsid w:val="00E90381"/>
    <w:rsid w:val="00ED0EFA"/>
    <w:rsid w:val="00ED6CFC"/>
    <w:rsid w:val="00EE110E"/>
    <w:rsid w:val="00EF3726"/>
    <w:rsid w:val="00EF5092"/>
    <w:rsid w:val="00F171AB"/>
    <w:rsid w:val="00F25348"/>
    <w:rsid w:val="00F4294A"/>
    <w:rsid w:val="00F433E1"/>
    <w:rsid w:val="00F65861"/>
    <w:rsid w:val="00F660A5"/>
    <w:rsid w:val="00F77452"/>
    <w:rsid w:val="00F8170B"/>
    <w:rsid w:val="00F82752"/>
    <w:rsid w:val="00F944A6"/>
    <w:rsid w:val="00F94E3C"/>
    <w:rsid w:val="00F95357"/>
    <w:rsid w:val="00F97BA5"/>
    <w:rsid w:val="00FA33E9"/>
    <w:rsid w:val="00FB2D3D"/>
    <w:rsid w:val="00FD47E8"/>
    <w:rsid w:val="00FD74F4"/>
    <w:rsid w:val="00FE1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docId w15:val="{B12016B9-DBF0-43FB-9266-6C2AB5D0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6"/>
      <w:szCs w:val="26"/>
      <w:lang w:eastAsia="en-US"/>
    </w:rPr>
  </w:style>
  <w:style w:type="paragraph" w:styleId="Heading1">
    <w:name w:val="heading 1"/>
    <w:basedOn w:val="Normal"/>
    <w:next w:val="Para1"/>
    <w:link w:val="Heading1Char"/>
    <w:uiPriority w:val="99"/>
    <w:qFormat/>
    <w:pPr>
      <w:keepNext/>
      <w:spacing w:before="240" w:after="120"/>
      <w:jc w:val="center"/>
      <w:outlineLvl w:val="0"/>
    </w:pPr>
    <w:rPr>
      <w:rFonts w:ascii="Arial" w:hAnsi="Arial"/>
      <w:b/>
      <w:bCs/>
      <w:caps/>
      <w:sz w:val="24"/>
      <w:szCs w:val="24"/>
    </w:rPr>
  </w:style>
  <w:style w:type="paragraph" w:styleId="Heading2">
    <w:name w:val="heading 2"/>
    <w:basedOn w:val="Heading1"/>
    <w:next w:val="Para1"/>
    <w:link w:val="Heading2Char"/>
    <w:uiPriority w:val="99"/>
    <w:qFormat/>
    <w:pPr>
      <w:jc w:val="left"/>
      <w:outlineLvl w:val="1"/>
    </w:pPr>
    <w:rPr>
      <w:bCs w:val="0"/>
      <w:iCs/>
    </w:rPr>
  </w:style>
  <w:style w:type="paragraph" w:styleId="Heading3">
    <w:name w:val="heading 3"/>
    <w:basedOn w:val="Heading2"/>
    <w:next w:val="Para1"/>
    <w:link w:val="Heading3Char"/>
    <w:uiPriority w:val="99"/>
    <w:qFormat/>
    <w:pPr>
      <w:outlineLvl w:val="2"/>
    </w:pPr>
    <w:rPr>
      <w:bCs/>
      <w:caps w:val="0"/>
    </w:rPr>
  </w:style>
  <w:style w:type="paragraph" w:styleId="Heading4">
    <w:name w:val="heading 4"/>
    <w:basedOn w:val="Heading3"/>
    <w:next w:val="Normal"/>
    <w:link w:val="Heading4Char"/>
    <w:uiPriority w:val="99"/>
    <w:qFormat/>
    <w:pPr>
      <w:outlineLvl w:val="3"/>
    </w:pPr>
    <w:rPr>
      <w:b w:val="0"/>
      <w:bCs w:val="0"/>
      <w:szCs w:val="28"/>
      <w:u w:val="single"/>
    </w:rPr>
  </w:style>
  <w:style w:type="paragraph" w:styleId="Heading5">
    <w:name w:val="heading 5"/>
    <w:basedOn w:val="Heading4"/>
    <w:next w:val="Para1"/>
    <w:link w:val="Heading5Char"/>
    <w:uiPriority w:val="99"/>
    <w:qFormat/>
    <w:pPr>
      <w:spacing w:after="60"/>
      <w:outlineLvl w:val="4"/>
    </w:pPr>
    <w:rPr>
      <w:bCs/>
      <w:iCs w:val="0"/>
      <w:u w:val="none"/>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Quote1Char">
    <w:name w:val="Quote 1 Char"/>
    <w:link w:val="Quote1"/>
    <w:uiPriority w:val="99"/>
    <w:locked/>
    <w:rsid w:val="00EF3726"/>
    <w:rPr>
      <w:sz w:val="24"/>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paragraph" w:styleId="Footer">
    <w:name w:val="footer"/>
    <w:basedOn w:val="Normal"/>
    <w:link w:val="FooterChar"/>
    <w:uiPriority w:val="99"/>
    <w:pPr>
      <w:tabs>
        <w:tab w:val="center" w:pos="4896"/>
        <w:tab w:val="right" w:pos="9792"/>
      </w:tabs>
      <w:spacing w:before="60"/>
    </w:pPr>
    <w:rPr>
      <w:rFonts w:ascii="Arial" w:hAnsi="Arial"/>
      <w:sz w:val="20"/>
      <w:szCs w:val="20"/>
    </w:rPr>
  </w:style>
  <w:style w:type="character" w:customStyle="1" w:styleId="FooterChar">
    <w:name w:val="Footer Char"/>
    <w:basedOn w:val="DefaultParagraphFont"/>
    <w:link w:val="Footer"/>
    <w:uiPriority w:val="99"/>
    <w:semiHidden/>
    <w:rPr>
      <w:sz w:val="26"/>
      <w:szCs w:val="26"/>
      <w:lang w:eastAsia="en-US"/>
    </w:rPr>
  </w:style>
  <w:style w:type="character" w:styleId="PageNumber">
    <w:name w:val="page number"/>
    <w:basedOn w:val="DefaultParagraphFont"/>
    <w:uiPriority w:val="99"/>
    <w:rPr>
      <w:rFonts w:cs="Times New Roman"/>
    </w:rPr>
  </w:style>
  <w:style w:type="paragraph" w:customStyle="1" w:styleId="Para1">
    <w:name w:val="Para 1"/>
    <w:basedOn w:val="Normal"/>
    <w:link w:val="Para1Char"/>
    <w:uiPriority w:val="99"/>
    <w:pPr>
      <w:numPr>
        <w:numId w:val="11"/>
      </w:numPr>
      <w:spacing w:after="120" w:line="300" w:lineRule="atLeast"/>
    </w:pPr>
  </w:style>
  <w:style w:type="paragraph" w:customStyle="1" w:styleId="Para2">
    <w:name w:val="Para 2"/>
    <w:basedOn w:val="Para1"/>
    <w:uiPriority w:val="99"/>
    <w:pPr>
      <w:numPr>
        <w:numId w:val="0"/>
      </w:numPr>
      <w:ind w:left="567"/>
    </w:pPr>
  </w:style>
  <w:style w:type="paragraph" w:customStyle="1" w:styleId="Catchwords">
    <w:name w:val="Catchwords"/>
    <w:basedOn w:val="Normal"/>
    <w:uiPriority w:val="99"/>
    <w:pPr>
      <w:spacing w:before="100" w:after="100"/>
      <w:jc w:val="both"/>
    </w:pPr>
    <w:rPr>
      <w:sz w:val="20"/>
    </w:rPr>
  </w:style>
  <w:style w:type="paragraph" w:customStyle="1" w:styleId="Quote1">
    <w:name w:val="Quote 1"/>
    <w:basedOn w:val="Normal"/>
    <w:link w:val="Quote1Char"/>
    <w:uiPriority w:val="99"/>
    <w:pPr>
      <w:spacing w:after="120"/>
      <w:ind w:left="1134" w:right="567"/>
    </w:pPr>
    <w:rPr>
      <w:sz w:val="24"/>
      <w:szCs w:val="24"/>
    </w:rPr>
  </w:style>
  <w:style w:type="paragraph" w:customStyle="1" w:styleId="Quote2">
    <w:name w:val="Quote 2"/>
    <w:basedOn w:val="Quote1"/>
    <w:uiPriority w:val="99"/>
    <w:pPr>
      <w:ind w:left="1701" w:hanging="567"/>
    </w:pPr>
  </w:style>
  <w:style w:type="paragraph" w:customStyle="1" w:styleId="Para5">
    <w:name w:val="Para 5"/>
    <w:basedOn w:val="Para2"/>
    <w:uiPriority w:val="99"/>
    <w:pPr>
      <w:numPr>
        <w:numId w:val="16"/>
      </w:numPr>
    </w:pPr>
  </w:style>
  <w:style w:type="paragraph" w:customStyle="1" w:styleId="Para4">
    <w:name w:val="Para 4"/>
    <w:basedOn w:val="Para2"/>
    <w:uiPriority w:val="99"/>
    <w:pPr>
      <w:numPr>
        <w:numId w:val="1"/>
      </w:numPr>
    </w:pPr>
  </w:style>
  <w:style w:type="paragraph" w:customStyle="1" w:styleId="TitlePage1">
    <w:name w:val="Title Page 1"/>
    <w:basedOn w:val="Normal"/>
    <w:next w:val="Normal"/>
    <w:uiPriority w:val="99"/>
    <w:pPr>
      <w:spacing w:after="240"/>
    </w:pPr>
    <w:rPr>
      <w:rFonts w:ascii="Arial" w:hAnsi="Arial"/>
      <w:b/>
      <w:caps/>
      <w:sz w:val="24"/>
      <w:szCs w:val="24"/>
    </w:rPr>
  </w:style>
  <w:style w:type="paragraph" w:customStyle="1" w:styleId="TitlePage2">
    <w:name w:val="Title Page 2"/>
    <w:basedOn w:val="TitlePage1"/>
    <w:next w:val="Normal"/>
    <w:uiPriority w:val="99"/>
    <w:pPr>
      <w:spacing w:before="120" w:after="80"/>
    </w:pPr>
  </w:style>
  <w:style w:type="paragraph" w:customStyle="1" w:styleId="TitlePagetext">
    <w:name w:val="Title Page text"/>
    <w:basedOn w:val="Normal"/>
    <w:uiPriority w:val="99"/>
    <w:pPr>
      <w:spacing w:before="80" w:after="10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6"/>
      <w:szCs w:val="26"/>
      <w:lang w:eastAsia="en-US"/>
    </w:rPr>
  </w:style>
  <w:style w:type="paragraph" w:customStyle="1" w:styleId="NumberedOrder">
    <w:name w:val="Numbered Order"/>
    <w:basedOn w:val="Normal"/>
    <w:uiPriority w:val="99"/>
    <w:pPr>
      <w:spacing w:after="120" w:line="300" w:lineRule="atLeast"/>
    </w:pPr>
  </w:style>
  <w:style w:type="paragraph" w:styleId="FootnoteText">
    <w:name w:val="footnote text"/>
    <w:basedOn w:val="Normal"/>
    <w:link w:val="FootnoteTextChar1"/>
    <w:uiPriority w:val="99"/>
    <w:semiHidden/>
    <w:pPr>
      <w:ind w:left="567" w:hanging="567"/>
    </w:pPr>
    <w:rPr>
      <w:sz w:val="20"/>
      <w:szCs w:val="20"/>
    </w:rPr>
  </w:style>
  <w:style w:type="paragraph" w:customStyle="1" w:styleId="Quote3">
    <w:name w:val="Quote 3"/>
    <w:basedOn w:val="Quote2"/>
    <w:uiPriority w:val="99"/>
    <w:pPr>
      <w:numPr>
        <w:numId w:val="18"/>
      </w:numPr>
    </w:pPr>
  </w:style>
  <w:style w:type="character" w:styleId="FootnoteReference">
    <w:name w:val="footnote reference"/>
    <w:basedOn w:val="DefaultParagraphFont"/>
    <w:uiPriority w:val="99"/>
    <w:semiHidden/>
    <w:rPr>
      <w:vertAlign w:val="superscript"/>
    </w:rPr>
  </w:style>
  <w:style w:type="paragraph" w:customStyle="1" w:styleId="Order1">
    <w:name w:val="Order 1"/>
    <w:basedOn w:val="Normal"/>
    <w:uiPriority w:val="99"/>
    <w:pPr>
      <w:spacing w:after="120"/>
    </w:pPr>
  </w:style>
  <w:style w:type="paragraph" w:customStyle="1" w:styleId="Order2">
    <w:name w:val="Order 2"/>
    <w:basedOn w:val="Order1"/>
    <w:uiPriority w:val="99"/>
    <w:pPr>
      <w:numPr>
        <w:numId w:val="7"/>
      </w:numPr>
      <w:spacing w:line="300" w:lineRule="atLeast"/>
    </w:pPr>
  </w:style>
  <w:style w:type="paragraph" w:customStyle="1" w:styleId="StyleTitlePagetextRight">
    <w:name w:val="Style Title Page text + Right"/>
    <w:basedOn w:val="TitlePagetext"/>
    <w:uiPriority w:val="99"/>
    <w:pPr>
      <w:jc w:val="right"/>
    </w:pPr>
    <w:rPr>
      <w:szCs w:val="20"/>
    </w:rPr>
  </w:style>
  <w:style w:type="paragraph" w:customStyle="1" w:styleId="Para3">
    <w:name w:val="Para 3"/>
    <w:basedOn w:val="Para2"/>
    <w:uiPriority w:val="99"/>
    <w:pPr>
      <w:numPr>
        <w:numId w:val="9"/>
      </w:numPr>
    </w:pPr>
  </w:style>
  <w:style w:type="character" w:customStyle="1" w:styleId="FootnoteTextChar1">
    <w:name w:val="Footnote Text Char1"/>
    <w:link w:val="FootnoteText"/>
    <w:uiPriority w:val="99"/>
    <w:semiHidden/>
    <w:locked/>
    <w:rsid w:val="00E2587C"/>
    <w:rPr>
      <w:lang w:val="en-AU" w:eastAsia="en-US"/>
    </w:rPr>
  </w:style>
  <w:style w:type="paragraph" w:customStyle="1" w:styleId="TitlePage3">
    <w:name w:val="Title Page 3"/>
    <w:basedOn w:val="TitlePage2"/>
    <w:uiPriority w:val="99"/>
    <w:pPr>
      <w:spacing w:before="20" w:after="0"/>
      <w:jc w:val="right"/>
    </w:pPr>
    <w:rPr>
      <w:b w:val="0"/>
      <w:sz w:val="16"/>
    </w:rPr>
  </w:style>
  <w:style w:type="character" w:customStyle="1" w:styleId="FootnoteTextChar">
    <w:name w:val="Footnote Text Char"/>
    <w:uiPriority w:val="99"/>
    <w:semiHidden/>
    <w:locked/>
    <w:rsid w:val="00864728"/>
    <w:rPr>
      <w:lang w:val="en-AU" w:eastAsia="en-US"/>
    </w:rPr>
  </w:style>
  <w:style w:type="character" w:customStyle="1" w:styleId="Heading3Char">
    <w:name w:val="Heading 3 Char"/>
    <w:link w:val="Heading3"/>
    <w:uiPriority w:val="99"/>
    <w:semiHidden/>
    <w:locked/>
    <w:rsid w:val="00EF3726"/>
    <w:rPr>
      <w:rFonts w:ascii="Arial" w:hAnsi="Arial"/>
      <w:b/>
      <w:sz w:val="24"/>
      <w:lang w:val="en-AU" w:eastAsia="en-US"/>
    </w:rPr>
  </w:style>
  <w:style w:type="paragraph" w:customStyle="1" w:styleId="Default">
    <w:name w:val="Default"/>
    <w:uiPriority w:val="99"/>
    <w:rsid w:val="001D47F2"/>
    <w:pPr>
      <w:autoSpaceDE w:val="0"/>
      <w:autoSpaceDN w:val="0"/>
      <w:adjustRightInd w:val="0"/>
      <w:spacing w:after="0" w:line="240" w:lineRule="auto"/>
    </w:pPr>
    <w:rPr>
      <w:color w:val="000000"/>
      <w:sz w:val="24"/>
      <w:szCs w:val="24"/>
    </w:rPr>
  </w:style>
  <w:style w:type="character" w:customStyle="1" w:styleId="Para1Char">
    <w:name w:val="Para 1 Char"/>
    <w:link w:val="Para1"/>
    <w:uiPriority w:val="99"/>
    <w:locked/>
    <w:rsid w:val="001D47F2"/>
    <w:rPr>
      <w:sz w:val="26"/>
      <w:lang w:val="en-AU" w:eastAsia="en-US"/>
    </w:rPr>
  </w:style>
  <w:style w:type="table" w:styleId="TableGrid">
    <w:name w:val="Table Grid"/>
    <w:basedOn w:val="TableNormal"/>
    <w:uiPriority w:val="99"/>
    <w:rsid w:val="000B628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7E58"/>
    <w:pPr>
      <w:spacing w:before="100" w:beforeAutospacing="1" w:after="100" w:afterAutospacing="1"/>
    </w:pPr>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026777">
      <w:marLeft w:val="0"/>
      <w:marRight w:val="0"/>
      <w:marTop w:val="0"/>
      <w:marBottom w:val="0"/>
      <w:divBdr>
        <w:top w:val="none" w:sz="0" w:space="0" w:color="auto"/>
        <w:left w:val="none" w:sz="0" w:space="0" w:color="auto"/>
        <w:bottom w:val="none" w:sz="0" w:space="0" w:color="auto"/>
        <w:right w:val="none" w:sz="0" w:space="0" w:color="auto"/>
      </w:divBdr>
    </w:div>
    <w:div w:id="834026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emplate\VCAT\_VCAT%20Order%20&amp;%20Reasons%20V3a%20(Univer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_VCAT Order &amp; Reasons V3a (Universal).dot</Template>
  <TotalTime>1</TotalTime>
  <Pages>47</Pages>
  <Words>19435</Words>
  <Characters>91886</Characters>
  <Application>Microsoft Office Word</Application>
  <DocSecurity>0</DocSecurity>
  <Lines>1981</Lines>
  <Paragraphs>526</Paragraphs>
  <ScaleCrop>false</ScaleCrop>
  <Company/>
  <LinksUpToDate>false</LinksUpToDate>
  <CharactersWithSpaces>111487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CIVIL AND ADMINISTRATIVE TRIBUNAL</dc:title>
  <dc:subject/>
  <dc:creator>RBLOXWIC</dc:creator>
  <cp:keywords/>
  <dc:description/>
  <cp:lastModifiedBy>Kristina R Hoel (DJCS)</cp:lastModifiedBy>
  <cp:revision>2</cp:revision>
  <cp:lastPrinted>2015-06-22T06:49:00Z</cp:lastPrinted>
  <dcterms:created xsi:type="dcterms:W3CDTF">2020-02-17T00:46:00Z</dcterms:created>
  <dcterms:modified xsi:type="dcterms:W3CDTF">2020-02-17T00:46:00Z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