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6E47D" w14:textId="77777777" w:rsidR="005B5F9C" w:rsidRDefault="005B5F9C" w:rsidP="00B43BAB">
      <w:pPr>
        <w:pStyle w:val="VEOHRCBodytext"/>
        <w:keepNext w:val="0"/>
        <w:rPr>
          <w:rFonts w:cs="Arial"/>
          <w:sz w:val="22"/>
          <w:szCs w:val="22"/>
        </w:rPr>
      </w:pPr>
      <w:bookmarkStart w:id="0" w:name="_Toc362962399"/>
    </w:p>
    <w:p w14:paraId="1D478F7D" w14:textId="520A4D5E" w:rsidR="00B43BAB" w:rsidRPr="004E2B42" w:rsidRDefault="00397886" w:rsidP="00B43BAB">
      <w:pPr>
        <w:pStyle w:val="VEOHRCBodytext"/>
        <w:keepNext w:val="0"/>
        <w:rPr>
          <w:rFonts w:cs="Arial"/>
          <w:sz w:val="22"/>
          <w:szCs w:val="22"/>
        </w:rPr>
      </w:pPr>
      <w:r>
        <w:rPr>
          <w:rFonts w:cs="Arial"/>
          <w:sz w:val="22"/>
          <w:szCs w:val="22"/>
        </w:rPr>
        <w:t>2</w:t>
      </w:r>
      <w:r w:rsidR="00B43BAB" w:rsidRPr="004E2B42">
        <w:rPr>
          <w:rFonts w:cs="Arial"/>
          <w:sz w:val="22"/>
          <w:szCs w:val="22"/>
        </w:rPr>
        <w:t xml:space="preserve"> October 2019</w:t>
      </w:r>
    </w:p>
    <w:p w14:paraId="5D585DB0" w14:textId="77777777" w:rsidR="00B43BAB" w:rsidRPr="004E2B42" w:rsidRDefault="00B43BAB" w:rsidP="00B43BAB">
      <w:pPr>
        <w:pStyle w:val="VEOHRCBodytext"/>
        <w:keepNext w:val="0"/>
        <w:rPr>
          <w:rFonts w:cs="Arial"/>
          <w:sz w:val="22"/>
          <w:szCs w:val="22"/>
        </w:rPr>
      </w:pPr>
    </w:p>
    <w:p w14:paraId="0C1EC7D8" w14:textId="77777777" w:rsidR="00A2050F" w:rsidRDefault="00B43BAB" w:rsidP="00A2050F">
      <w:pPr>
        <w:pStyle w:val="VEOHRCBodytext"/>
        <w:keepNext w:val="0"/>
        <w:spacing w:before="0" w:after="0"/>
        <w:rPr>
          <w:rFonts w:cs="Arial"/>
          <w:sz w:val="22"/>
          <w:szCs w:val="22"/>
        </w:rPr>
      </w:pPr>
      <w:r w:rsidRPr="004E2B42">
        <w:rPr>
          <w:rFonts w:cs="Arial"/>
          <w:sz w:val="22"/>
          <w:szCs w:val="22"/>
        </w:rPr>
        <w:t>Human Rights Unit, Integrity Law Branch</w:t>
      </w:r>
    </w:p>
    <w:p w14:paraId="220F1A62" w14:textId="1F8AD5E0" w:rsidR="00B43BAB" w:rsidRDefault="00B43BAB" w:rsidP="00A2050F">
      <w:pPr>
        <w:pStyle w:val="VEOHRCBodytext"/>
        <w:keepNext w:val="0"/>
        <w:spacing w:before="0" w:after="0"/>
        <w:rPr>
          <w:rFonts w:cs="Arial"/>
          <w:sz w:val="22"/>
          <w:szCs w:val="22"/>
        </w:rPr>
      </w:pPr>
      <w:r w:rsidRPr="004E2B42">
        <w:rPr>
          <w:rFonts w:cs="Arial"/>
          <w:sz w:val="22"/>
          <w:szCs w:val="22"/>
        </w:rPr>
        <w:t>Integrity and Security Division</w:t>
      </w:r>
      <w:r w:rsidRPr="004E2B42">
        <w:rPr>
          <w:rFonts w:cs="Arial"/>
          <w:sz w:val="22"/>
          <w:szCs w:val="22"/>
        </w:rPr>
        <w:br/>
        <w:t>Attorney-General’s Department</w:t>
      </w:r>
      <w:r w:rsidRPr="003D618D">
        <w:rPr>
          <w:rFonts w:cs="Arial"/>
          <w:sz w:val="20"/>
          <w:szCs w:val="20"/>
        </w:rPr>
        <w:br/>
      </w:r>
      <w:hyperlink r:id="rId8" w:history="1">
        <w:r w:rsidRPr="004E2B42">
          <w:rPr>
            <w:rStyle w:val="Hyperlink"/>
            <w:rFonts w:cs="Arial"/>
            <w:sz w:val="22"/>
            <w:szCs w:val="22"/>
          </w:rPr>
          <w:t>FoRConsultation@ag.gov.au</w:t>
        </w:r>
      </w:hyperlink>
      <w:r w:rsidRPr="004E2B42">
        <w:rPr>
          <w:rFonts w:cs="Arial"/>
          <w:sz w:val="22"/>
          <w:szCs w:val="22"/>
        </w:rPr>
        <w:t xml:space="preserve"> </w:t>
      </w:r>
    </w:p>
    <w:p w14:paraId="2C3BA900" w14:textId="77777777" w:rsidR="00A2050F" w:rsidRPr="004E2B42" w:rsidRDefault="00A2050F" w:rsidP="00A2050F">
      <w:pPr>
        <w:pStyle w:val="VEOHRCBodytext"/>
        <w:keepNext w:val="0"/>
        <w:spacing w:before="0" w:after="0"/>
        <w:rPr>
          <w:rFonts w:cs="Arial"/>
          <w:sz w:val="22"/>
          <w:szCs w:val="22"/>
        </w:rPr>
      </w:pPr>
    </w:p>
    <w:p w14:paraId="3873D53A" w14:textId="77777777" w:rsidR="00B43BAB" w:rsidRPr="005B5F9C" w:rsidRDefault="00B43BAB" w:rsidP="00B43BAB">
      <w:pPr>
        <w:pStyle w:val="VEOHRCBodytext"/>
        <w:keepNext w:val="0"/>
        <w:rPr>
          <w:rFonts w:cs="Arial"/>
          <w:b/>
          <w:sz w:val="22"/>
          <w:szCs w:val="20"/>
        </w:rPr>
      </w:pPr>
      <w:r w:rsidRPr="005B5F9C">
        <w:rPr>
          <w:rFonts w:cs="Arial"/>
          <w:b/>
          <w:sz w:val="22"/>
          <w:szCs w:val="20"/>
        </w:rPr>
        <w:t>BY EMAIL</w:t>
      </w:r>
    </w:p>
    <w:p w14:paraId="4EC7F1AE" w14:textId="77777777" w:rsidR="00B43BAB" w:rsidRPr="00980402" w:rsidRDefault="00B43BAB" w:rsidP="00B43BAB">
      <w:pPr>
        <w:pStyle w:val="VEOHRCBodytext"/>
        <w:keepNext w:val="0"/>
        <w:rPr>
          <w:rFonts w:cs="Arial"/>
          <w:sz w:val="22"/>
          <w:szCs w:val="22"/>
        </w:rPr>
      </w:pPr>
    </w:p>
    <w:p w14:paraId="7A040A74" w14:textId="7D77D6EC" w:rsidR="00397886" w:rsidRDefault="009863FF" w:rsidP="00B43BAB">
      <w:pPr>
        <w:pStyle w:val="VEOHRCBodytext"/>
        <w:keepNext w:val="0"/>
        <w:rPr>
          <w:rFonts w:cs="Arial"/>
          <w:sz w:val="22"/>
          <w:szCs w:val="22"/>
        </w:rPr>
      </w:pPr>
      <w:r>
        <w:rPr>
          <w:rFonts w:cs="Arial"/>
          <w:sz w:val="22"/>
          <w:szCs w:val="22"/>
        </w:rPr>
        <w:t xml:space="preserve">To Whom It May Concern </w:t>
      </w:r>
    </w:p>
    <w:p w14:paraId="0D231781" w14:textId="2E9FB4E6" w:rsidR="00C845C5" w:rsidRDefault="00B43BAB" w:rsidP="00F01DFA">
      <w:pPr>
        <w:pStyle w:val="VEOHRCHeading3"/>
        <w:rPr>
          <w:sz w:val="22"/>
          <w:szCs w:val="22"/>
        </w:rPr>
      </w:pPr>
      <w:r w:rsidRPr="00980402">
        <w:rPr>
          <w:sz w:val="22"/>
          <w:szCs w:val="22"/>
        </w:rPr>
        <w:t>Submission regarding the exposure draft of the Religious Discrimination Bill</w:t>
      </w:r>
    </w:p>
    <w:p w14:paraId="2019B15C" w14:textId="1749A07F" w:rsidR="00AA0D1A" w:rsidRDefault="00B43BAB" w:rsidP="00B43BAB">
      <w:pPr>
        <w:pStyle w:val="VEOHRCBodytext"/>
        <w:keepNext w:val="0"/>
        <w:rPr>
          <w:rFonts w:cs="Arial"/>
          <w:sz w:val="22"/>
          <w:szCs w:val="22"/>
        </w:rPr>
      </w:pPr>
      <w:r w:rsidRPr="00980402">
        <w:rPr>
          <w:rFonts w:cs="Arial"/>
          <w:sz w:val="22"/>
          <w:szCs w:val="22"/>
        </w:rPr>
        <w:t>The Victorian Equal Opportunity and Human Rights Commission welcomes the opportunity to respond to the Religious Discrimination Bill 2019 (</w:t>
      </w:r>
      <w:proofErr w:type="spellStart"/>
      <w:r w:rsidRPr="00980402">
        <w:rPr>
          <w:rFonts w:cs="Arial"/>
          <w:sz w:val="22"/>
          <w:szCs w:val="22"/>
        </w:rPr>
        <w:t>Cth</w:t>
      </w:r>
      <w:proofErr w:type="spellEnd"/>
      <w:r w:rsidRPr="00980402">
        <w:rPr>
          <w:rFonts w:cs="Arial"/>
          <w:sz w:val="22"/>
          <w:szCs w:val="22"/>
        </w:rPr>
        <w:t>) exposure draft.</w:t>
      </w:r>
    </w:p>
    <w:p w14:paraId="7E9EE6B3" w14:textId="77777777" w:rsidR="006A0C4C" w:rsidRPr="00980402" w:rsidRDefault="006A0C4C" w:rsidP="00B43BAB">
      <w:pPr>
        <w:pStyle w:val="VEOHRCBodytext"/>
        <w:keepNext w:val="0"/>
        <w:rPr>
          <w:rFonts w:cs="Arial"/>
          <w:sz w:val="22"/>
          <w:szCs w:val="22"/>
        </w:rPr>
      </w:pPr>
    </w:p>
    <w:p w14:paraId="0E512DE5" w14:textId="77777777" w:rsidR="00B43BAB" w:rsidRPr="00980402" w:rsidRDefault="00B43BAB" w:rsidP="00B43BAB">
      <w:pPr>
        <w:pStyle w:val="VEOHRCBodytext"/>
        <w:keepNext w:val="0"/>
        <w:rPr>
          <w:rFonts w:cs="Arial"/>
          <w:b/>
          <w:sz w:val="22"/>
          <w:szCs w:val="22"/>
        </w:rPr>
      </w:pPr>
      <w:r w:rsidRPr="00980402">
        <w:rPr>
          <w:rFonts w:cs="Arial"/>
          <w:b/>
          <w:sz w:val="22"/>
          <w:szCs w:val="22"/>
        </w:rPr>
        <w:t>Summary</w:t>
      </w:r>
    </w:p>
    <w:p w14:paraId="5D7E9154" w14:textId="77EB0A33" w:rsidR="00DB59EA" w:rsidRDefault="00DB59EA" w:rsidP="00DB59EA">
      <w:pPr>
        <w:pStyle w:val="VEOHRCBodytext"/>
        <w:keepNext w:val="0"/>
        <w:rPr>
          <w:rFonts w:cs="Arial"/>
          <w:sz w:val="22"/>
          <w:szCs w:val="22"/>
        </w:rPr>
      </w:pPr>
      <w:bookmarkStart w:id="1" w:name="_Hlk19875504"/>
      <w:r w:rsidRPr="00980402">
        <w:rPr>
          <w:rFonts w:cs="Arial"/>
          <w:sz w:val="22"/>
          <w:szCs w:val="22"/>
        </w:rPr>
        <w:t xml:space="preserve">As an independent statutory agency responsible for </w:t>
      </w:r>
      <w:r w:rsidR="00C20AF6">
        <w:rPr>
          <w:rFonts w:cs="Arial"/>
          <w:sz w:val="22"/>
          <w:szCs w:val="22"/>
        </w:rPr>
        <w:t>protecting and promoting</w:t>
      </w:r>
      <w:r w:rsidRPr="00980402">
        <w:rPr>
          <w:rFonts w:cs="Arial"/>
          <w:sz w:val="22"/>
          <w:szCs w:val="22"/>
        </w:rPr>
        <w:t xml:space="preserve"> human rights in Victoria,</w:t>
      </w:r>
      <w:r w:rsidRPr="00980402">
        <w:rPr>
          <w:rStyle w:val="EndnoteReference"/>
          <w:rFonts w:cs="Arial"/>
          <w:sz w:val="22"/>
          <w:szCs w:val="22"/>
        </w:rPr>
        <w:endnoteReference w:id="1"/>
      </w:r>
      <w:r w:rsidRPr="00980402">
        <w:rPr>
          <w:rFonts w:cs="Arial"/>
          <w:sz w:val="22"/>
          <w:szCs w:val="22"/>
        </w:rPr>
        <w:t xml:space="preserve"> we support the protection of all rights, including freedom of thought, conscience, religion and belief</w:t>
      </w:r>
      <w:r w:rsidR="001D13CA">
        <w:rPr>
          <w:rFonts w:cs="Arial"/>
          <w:sz w:val="22"/>
          <w:szCs w:val="22"/>
        </w:rPr>
        <w:t xml:space="preserve"> and freedom from discrimination on the basis of religious belief or activity.</w:t>
      </w:r>
      <w:r w:rsidR="00FF13B1" w:rsidRPr="00980402">
        <w:rPr>
          <w:rStyle w:val="EndnoteReference"/>
          <w:rFonts w:cs="Arial"/>
          <w:sz w:val="22"/>
          <w:szCs w:val="22"/>
        </w:rPr>
        <w:endnoteReference w:id="2"/>
      </w:r>
      <w:r w:rsidR="001D13CA">
        <w:rPr>
          <w:rFonts w:cs="Arial"/>
          <w:sz w:val="22"/>
          <w:szCs w:val="22"/>
        </w:rPr>
        <w:t xml:space="preserve"> </w:t>
      </w:r>
      <w:r w:rsidRPr="00980402">
        <w:rPr>
          <w:rFonts w:cs="Arial"/>
          <w:sz w:val="22"/>
          <w:szCs w:val="22"/>
        </w:rPr>
        <w:t>Religion can play an important role in the lives of individuals and this freedom is a key feature of contemporary society and human rights law.</w:t>
      </w:r>
      <w:r w:rsidRPr="00980402">
        <w:rPr>
          <w:rStyle w:val="EndnoteReference"/>
          <w:rFonts w:cs="Arial"/>
          <w:sz w:val="22"/>
          <w:szCs w:val="22"/>
        </w:rPr>
        <w:endnoteReference w:id="3"/>
      </w:r>
      <w:r w:rsidRPr="00980402">
        <w:rPr>
          <w:rFonts w:cs="Arial"/>
          <w:sz w:val="22"/>
          <w:szCs w:val="22"/>
        </w:rPr>
        <w:t xml:space="preserve"> </w:t>
      </w:r>
      <w:r w:rsidR="00D21805" w:rsidRPr="00980402">
        <w:rPr>
          <w:rFonts w:cs="Arial"/>
          <w:sz w:val="22"/>
          <w:szCs w:val="22"/>
        </w:rPr>
        <w:t>Rights</w:t>
      </w:r>
      <w:r w:rsidR="00D21805">
        <w:rPr>
          <w:rFonts w:cs="Arial"/>
          <w:sz w:val="22"/>
          <w:szCs w:val="22"/>
        </w:rPr>
        <w:t>, however,</w:t>
      </w:r>
      <w:r w:rsidR="00D21805" w:rsidRPr="00980402">
        <w:rPr>
          <w:rFonts w:cs="Arial"/>
          <w:sz w:val="22"/>
          <w:szCs w:val="22"/>
        </w:rPr>
        <w:t xml:space="preserve"> ma</w:t>
      </w:r>
      <w:r w:rsidR="00D21805">
        <w:rPr>
          <w:rFonts w:cs="Arial"/>
          <w:sz w:val="22"/>
          <w:szCs w:val="22"/>
        </w:rPr>
        <w:t xml:space="preserve">y </w:t>
      </w:r>
      <w:r w:rsidR="00D21805" w:rsidRPr="00980402">
        <w:rPr>
          <w:rFonts w:cs="Arial"/>
          <w:sz w:val="22"/>
          <w:szCs w:val="22"/>
        </w:rPr>
        <w:t>be limited in some circumstances</w:t>
      </w:r>
      <w:r w:rsidR="00D21805">
        <w:rPr>
          <w:rFonts w:cs="Arial"/>
          <w:sz w:val="22"/>
          <w:szCs w:val="22"/>
        </w:rPr>
        <w:t xml:space="preserve"> </w:t>
      </w:r>
      <w:r w:rsidR="00D21805" w:rsidRPr="00980402">
        <w:rPr>
          <w:rFonts w:cs="Arial"/>
          <w:sz w:val="22"/>
          <w:szCs w:val="22"/>
        </w:rPr>
        <w:t>including</w:t>
      </w:r>
      <w:r w:rsidR="00D21805">
        <w:rPr>
          <w:rFonts w:cs="Arial"/>
          <w:sz w:val="22"/>
          <w:szCs w:val="22"/>
        </w:rPr>
        <w:t xml:space="preserve"> </w:t>
      </w:r>
      <w:r w:rsidR="00D21805" w:rsidRPr="00980402">
        <w:rPr>
          <w:rFonts w:cs="Arial"/>
          <w:sz w:val="22"/>
          <w:szCs w:val="22"/>
        </w:rPr>
        <w:t>when they need to be balance</w:t>
      </w:r>
      <w:r w:rsidR="00D21805">
        <w:rPr>
          <w:rFonts w:cs="Arial"/>
          <w:sz w:val="22"/>
          <w:szCs w:val="22"/>
        </w:rPr>
        <w:t>d to</w:t>
      </w:r>
      <w:r w:rsidR="00D21805" w:rsidRPr="00980402">
        <w:rPr>
          <w:rFonts w:cs="Arial"/>
          <w:sz w:val="22"/>
          <w:szCs w:val="22"/>
        </w:rPr>
        <w:t xml:space="preserve"> protect and promot</w:t>
      </w:r>
      <w:r w:rsidR="00D21805">
        <w:rPr>
          <w:rFonts w:cs="Arial"/>
          <w:sz w:val="22"/>
          <w:szCs w:val="22"/>
        </w:rPr>
        <w:t xml:space="preserve">e </w:t>
      </w:r>
      <w:r w:rsidR="00D21805" w:rsidRPr="00980402">
        <w:rPr>
          <w:rFonts w:cs="Arial"/>
          <w:sz w:val="22"/>
          <w:szCs w:val="22"/>
        </w:rPr>
        <w:t>other rights</w:t>
      </w:r>
      <w:r w:rsidR="00D21805">
        <w:rPr>
          <w:rFonts w:cs="Arial"/>
          <w:sz w:val="22"/>
          <w:szCs w:val="22"/>
        </w:rPr>
        <w:t>, including to protect other groups from discrimination</w:t>
      </w:r>
      <w:r w:rsidRPr="00980402">
        <w:rPr>
          <w:rFonts w:cs="Arial"/>
          <w:sz w:val="22"/>
          <w:szCs w:val="22"/>
        </w:rPr>
        <w:t>.</w:t>
      </w:r>
      <w:r w:rsidRPr="00980402">
        <w:rPr>
          <w:rStyle w:val="EndnoteReference"/>
          <w:rFonts w:cs="Arial"/>
          <w:sz w:val="22"/>
          <w:szCs w:val="22"/>
        </w:rPr>
        <w:endnoteReference w:id="4"/>
      </w:r>
    </w:p>
    <w:p w14:paraId="4E7977DD" w14:textId="7172532C" w:rsidR="00805A99" w:rsidRPr="00347252" w:rsidRDefault="00A12BB5" w:rsidP="00805A99">
      <w:pPr>
        <w:pStyle w:val="BodyText"/>
        <w:rPr>
          <w:rFonts w:cs="Arial"/>
          <w:szCs w:val="22"/>
          <w:lang w:eastAsia="en-AU"/>
        </w:rPr>
      </w:pPr>
      <w:r>
        <w:rPr>
          <w:rFonts w:cs="Arial"/>
          <w:szCs w:val="22"/>
          <w:lang w:eastAsia="en-AU"/>
        </w:rPr>
        <w:t xml:space="preserve">The Commission </w:t>
      </w:r>
      <w:r w:rsidR="00F732A5" w:rsidRPr="00980402">
        <w:rPr>
          <w:rFonts w:cs="Arial"/>
          <w:szCs w:val="22"/>
          <w:lang w:eastAsia="en-AU"/>
        </w:rPr>
        <w:t xml:space="preserve">supports conventional religious </w:t>
      </w:r>
      <w:r w:rsidR="006D7584">
        <w:rPr>
          <w:rFonts w:cs="Arial"/>
          <w:szCs w:val="22"/>
          <w:lang w:eastAsia="en-AU"/>
        </w:rPr>
        <w:t>anti</w:t>
      </w:r>
      <w:r w:rsidR="001D13CA">
        <w:rPr>
          <w:rFonts w:cs="Arial"/>
          <w:szCs w:val="22"/>
          <w:lang w:eastAsia="en-AU"/>
        </w:rPr>
        <w:t>-</w:t>
      </w:r>
      <w:r w:rsidR="006D7584">
        <w:rPr>
          <w:rFonts w:cs="Arial"/>
          <w:szCs w:val="22"/>
          <w:lang w:eastAsia="en-AU"/>
        </w:rPr>
        <w:t xml:space="preserve">discrimination </w:t>
      </w:r>
      <w:r w:rsidR="00F732A5" w:rsidRPr="00980402">
        <w:rPr>
          <w:rFonts w:cs="Arial"/>
          <w:szCs w:val="22"/>
          <w:lang w:eastAsia="en-AU"/>
        </w:rPr>
        <w:t xml:space="preserve">protections in the </w:t>
      </w:r>
      <w:r w:rsidR="00805A99" w:rsidRPr="00347252">
        <w:rPr>
          <w:rFonts w:cs="Arial"/>
          <w:szCs w:val="22"/>
          <w:lang w:eastAsia="en-AU"/>
        </w:rPr>
        <w:t>exposure draft</w:t>
      </w:r>
      <w:r w:rsidR="000D697C">
        <w:rPr>
          <w:rFonts w:cs="Arial"/>
          <w:szCs w:val="22"/>
          <w:lang w:eastAsia="en-AU"/>
        </w:rPr>
        <w:t xml:space="preserve"> such as </w:t>
      </w:r>
      <w:r w:rsidR="00F01DFA">
        <w:rPr>
          <w:rFonts w:cs="Arial"/>
          <w:szCs w:val="22"/>
          <w:lang w:eastAsia="en-AU"/>
        </w:rPr>
        <w:t>the prohibition on direct and indirect discrimination on the ground of religious belief or activity (</w:t>
      </w:r>
      <w:r w:rsidR="000D697C">
        <w:rPr>
          <w:rFonts w:cs="Arial"/>
          <w:szCs w:val="22"/>
          <w:lang w:eastAsia="en-AU"/>
        </w:rPr>
        <w:t>including</w:t>
      </w:r>
      <w:r w:rsidR="00F01DFA">
        <w:rPr>
          <w:rFonts w:cs="Arial"/>
          <w:szCs w:val="22"/>
          <w:lang w:eastAsia="en-AU"/>
        </w:rPr>
        <w:t xml:space="preserve"> by people who are atheists or agnostics) </w:t>
      </w:r>
      <w:r w:rsidR="00AA0D1A">
        <w:rPr>
          <w:rFonts w:cs="Arial"/>
          <w:szCs w:val="22"/>
          <w:lang w:eastAsia="en-AU"/>
        </w:rPr>
        <w:t xml:space="preserve">as </w:t>
      </w:r>
      <w:r w:rsidR="00F01DFA">
        <w:rPr>
          <w:rFonts w:cs="Arial"/>
          <w:szCs w:val="22"/>
          <w:lang w:eastAsia="en-AU"/>
        </w:rPr>
        <w:t>set out in similar terms to</w:t>
      </w:r>
      <w:r w:rsidR="000D697C">
        <w:rPr>
          <w:rFonts w:cs="Arial"/>
          <w:szCs w:val="22"/>
          <w:lang w:eastAsia="en-AU"/>
        </w:rPr>
        <w:t xml:space="preserve"> protections in</w:t>
      </w:r>
      <w:r w:rsidR="00F01DFA">
        <w:rPr>
          <w:rFonts w:cs="Arial"/>
          <w:szCs w:val="22"/>
          <w:lang w:eastAsia="en-AU"/>
        </w:rPr>
        <w:t xml:space="preserve"> </w:t>
      </w:r>
      <w:r w:rsidR="000D697C">
        <w:rPr>
          <w:rFonts w:cs="Arial"/>
          <w:szCs w:val="22"/>
          <w:lang w:eastAsia="en-AU"/>
        </w:rPr>
        <w:t>other federal discrimination laws.</w:t>
      </w:r>
      <w:r w:rsidR="000D697C">
        <w:rPr>
          <w:rStyle w:val="EndnoteReference"/>
          <w:rFonts w:cs="Arial"/>
          <w:szCs w:val="22"/>
          <w:lang w:eastAsia="en-AU"/>
        </w:rPr>
        <w:endnoteReference w:id="5"/>
      </w:r>
      <w:r w:rsidR="000D697C">
        <w:rPr>
          <w:rFonts w:cs="Arial"/>
          <w:szCs w:val="22"/>
          <w:lang w:eastAsia="en-AU"/>
        </w:rPr>
        <w:t xml:space="preserve"> </w:t>
      </w:r>
      <w:r w:rsidR="003142AA">
        <w:rPr>
          <w:rFonts w:cs="Arial"/>
          <w:szCs w:val="22"/>
          <w:lang w:eastAsia="en-AU"/>
        </w:rPr>
        <w:t xml:space="preserve">However, </w:t>
      </w:r>
      <w:r w:rsidR="00805A99" w:rsidRPr="00347252">
        <w:rPr>
          <w:rFonts w:cs="Arial"/>
          <w:szCs w:val="22"/>
          <w:lang w:eastAsia="en-AU"/>
        </w:rPr>
        <w:t xml:space="preserve">we are </w:t>
      </w:r>
      <w:r w:rsidR="00B43BAB" w:rsidRPr="00347252">
        <w:rPr>
          <w:rFonts w:cs="Arial"/>
          <w:szCs w:val="22"/>
        </w:rPr>
        <w:t>concerned that the exposure draft unjustly privileges religious belief and activity over</w:t>
      </w:r>
      <w:r w:rsidR="00B93BDC">
        <w:rPr>
          <w:rFonts w:cs="Arial"/>
          <w:szCs w:val="22"/>
        </w:rPr>
        <w:t xml:space="preserve"> </w:t>
      </w:r>
      <w:r w:rsidR="00AA0D1A">
        <w:rPr>
          <w:rFonts w:cs="Arial"/>
          <w:szCs w:val="22"/>
        </w:rPr>
        <w:t>o</w:t>
      </w:r>
      <w:r w:rsidR="00B93BDC">
        <w:rPr>
          <w:rFonts w:cs="Arial"/>
          <w:szCs w:val="22"/>
        </w:rPr>
        <w:t>the</w:t>
      </w:r>
      <w:r w:rsidR="00AA0D1A">
        <w:rPr>
          <w:rFonts w:cs="Arial"/>
          <w:szCs w:val="22"/>
        </w:rPr>
        <w:t>r</w:t>
      </w:r>
      <w:r w:rsidR="00B93BDC">
        <w:rPr>
          <w:rFonts w:cs="Arial"/>
          <w:szCs w:val="22"/>
        </w:rPr>
        <w:t xml:space="preserve"> rights</w:t>
      </w:r>
      <w:r w:rsidR="00B43BAB" w:rsidRPr="00347252">
        <w:rPr>
          <w:rFonts w:cs="Arial"/>
          <w:szCs w:val="22"/>
        </w:rPr>
        <w:t xml:space="preserve"> and does not appropriately balance rights. The effects are that it risks undermining </w:t>
      </w:r>
      <w:r w:rsidR="0055214F">
        <w:rPr>
          <w:rFonts w:cs="Arial"/>
          <w:szCs w:val="22"/>
        </w:rPr>
        <w:t xml:space="preserve">some </w:t>
      </w:r>
      <w:r w:rsidR="00B43BAB" w:rsidRPr="00347252">
        <w:rPr>
          <w:rFonts w:cs="Arial"/>
          <w:szCs w:val="22"/>
        </w:rPr>
        <w:t xml:space="preserve">rights in practice – including access to safe and inclusive workplaces and health services – as well as </w:t>
      </w:r>
      <w:r w:rsidR="002A038D" w:rsidRPr="00347252">
        <w:rPr>
          <w:rFonts w:cs="Arial"/>
          <w:szCs w:val="22"/>
        </w:rPr>
        <w:t xml:space="preserve">undermining </w:t>
      </w:r>
      <w:r w:rsidR="00B43BAB" w:rsidRPr="00347252">
        <w:rPr>
          <w:rFonts w:cs="Arial"/>
          <w:szCs w:val="22"/>
        </w:rPr>
        <w:t xml:space="preserve">existing </w:t>
      </w:r>
      <w:r>
        <w:rPr>
          <w:rFonts w:cs="Arial"/>
          <w:szCs w:val="22"/>
        </w:rPr>
        <w:t xml:space="preserve">federal and state and territory </w:t>
      </w:r>
      <w:r w:rsidR="00B43BAB" w:rsidRPr="00347252">
        <w:rPr>
          <w:rFonts w:cs="Arial"/>
          <w:szCs w:val="22"/>
        </w:rPr>
        <w:t>anti-discrimination laws.</w:t>
      </w:r>
      <w:r w:rsidR="00805A99" w:rsidRPr="00347252">
        <w:rPr>
          <w:rFonts w:cs="Arial"/>
          <w:szCs w:val="22"/>
        </w:rPr>
        <w:t xml:space="preserve"> </w:t>
      </w:r>
      <w:r w:rsidR="001D13CA" w:rsidRPr="00347252">
        <w:rPr>
          <w:rFonts w:cs="Arial"/>
          <w:szCs w:val="22"/>
        </w:rPr>
        <w:t>The</w:t>
      </w:r>
      <w:r w:rsidR="006D7584" w:rsidRPr="00347252">
        <w:rPr>
          <w:rFonts w:cs="Arial"/>
          <w:szCs w:val="22"/>
        </w:rPr>
        <w:t xml:space="preserve"> complexity </w:t>
      </w:r>
      <w:r w:rsidR="00035DB1" w:rsidRPr="00347252">
        <w:rPr>
          <w:rFonts w:cs="Arial"/>
          <w:szCs w:val="22"/>
        </w:rPr>
        <w:t>and ambiguity</w:t>
      </w:r>
      <w:r w:rsidR="001D13CA" w:rsidRPr="00347252">
        <w:rPr>
          <w:rFonts w:cs="Arial"/>
          <w:szCs w:val="22"/>
        </w:rPr>
        <w:t xml:space="preserve"> of the exposure draft</w:t>
      </w:r>
      <w:r w:rsidR="00035DB1" w:rsidRPr="00347252">
        <w:rPr>
          <w:rFonts w:cs="Arial"/>
          <w:szCs w:val="22"/>
        </w:rPr>
        <w:t>, particularly as it relates to state and territory anti-discrimination laws</w:t>
      </w:r>
      <w:r w:rsidR="001D13CA" w:rsidRPr="00347252">
        <w:rPr>
          <w:rFonts w:cs="Arial"/>
          <w:szCs w:val="22"/>
        </w:rPr>
        <w:t>,</w:t>
      </w:r>
      <w:r w:rsidR="006D7584" w:rsidRPr="00347252">
        <w:rPr>
          <w:rFonts w:cs="Arial"/>
          <w:szCs w:val="22"/>
        </w:rPr>
        <w:t xml:space="preserve"> will </w:t>
      </w:r>
      <w:r w:rsidR="00805A99" w:rsidRPr="00347252">
        <w:rPr>
          <w:rFonts w:cs="Arial"/>
          <w:szCs w:val="22"/>
          <w:lang w:eastAsia="en-AU"/>
        </w:rPr>
        <w:t xml:space="preserve">create uncertainty </w:t>
      </w:r>
      <w:r w:rsidR="001D13CA" w:rsidRPr="00347252">
        <w:rPr>
          <w:rFonts w:cs="Arial"/>
          <w:szCs w:val="22"/>
          <w:lang w:eastAsia="en-AU"/>
        </w:rPr>
        <w:t xml:space="preserve">and confusion </w:t>
      </w:r>
      <w:r w:rsidR="00805A99" w:rsidRPr="00347252">
        <w:rPr>
          <w:rFonts w:cs="Arial"/>
          <w:szCs w:val="22"/>
          <w:lang w:eastAsia="en-AU"/>
        </w:rPr>
        <w:t xml:space="preserve">for </w:t>
      </w:r>
      <w:r w:rsidR="006D7584" w:rsidRPr="00347252">
        <w:rPr>
          <w:rFonts w:cs="Arial"/>
          <w:szCs w:val="22"/>
          <w:lang w:eastAsia="en-AU"/>
        </w:rPr>
        <w:t xml:space="preserve">individuals, </w:t>
      </w:r>
      <w:r w:rsidR="00805A99" w:rsidRPr="00347252">
        <w:rPr>
          <w:rFonts w:cs="Arial"/>
          <w:szCs w:val="22"/>
          <w:lang w:eastAsia="en-AU"/>
        </w:rPr>
        <w:t>workplaces and healthcare providers.</w:t>
      </w:r>
    </w:p>
    <w:p w14:paraId="37C4D865" w14:textId="52642B2C" w:rsidR="00B43BAB" w:rsidRPr="00347252" w:rsidRDefault="00C20AF6" w:rsidP="00B43BAB">
      <w:pPr>
        <w:pStyle w:val="VEOHRCBodytext"/>
        <w:keepNext w:val="0"/>
        <w:rPr>
          <w:rFonts w:cs="Arial"/>
          <w:sz w:val="22"/>
          <w:szCs w:val="22"/>
        </w:rPr>
      </w:pPr>
      <w:r>
        <w:rPr>
          <w:rFonts w:cs="Arial"/>
          <w:sz w:val="22"/>
          <w:szCs w:val="22"/>
        </w:rPr>
        <w:t>In summary w</w:t>
      </w:r>
      <w:r w:rsidR="00B43BAB" w:rsidRPr="00347252">
        <w:rPr>
          <w:rFonts w:cs="Arial"/>
          <w:sz w:val="22"/>
          <w:szCs w:val="22"/>
        </w:rPr>
        <w:t xml:space="preserve">e are concerned that the </w:t>
      </w:r>
      <w:r w:rsidR="009863FF">
        <w:rPr>
          <w:rFonts w:cs="Arial"/>
          <w:sz w:val="22"/>
          <w:szCs w:val="22"/>
        </w:rPr>
        <w:t xml:space="preserve">exposure </w:t>
      </w:r>
      <w:r w:rsidR="00B43BAB" w:rsidRPr="00347252">
        <w:rPr>
          <w:rFonts w:cs="Arial"/>
          <w:sz w:val="22"/>
          <w:szCs w:val="22"/>
        </w:rPr>
        <w:t>draft:</w:t>
      </w:r>
    </w:p>
    <w:p w14:paraId="15AE5E0E" w14:textId="70BB36A1" w:rsidR="00B43BAB" w:rsidRPr="00347252" w:rsidRDefault="00B43BAB" w:rsidP="00B43BAB">
      <w:pPr>
        <w:pStyle w:val="VEOHRCBodytext"/>
        <w:keepNext w:val="0"/>
        <w:numPr>
          <w:ilvl w:val="0"/>
          <w:numId w:val="28"/>
        </w:numPr>
        <w:rPr>
          <w:rFonts w:cs="Arial"/>
          <w:sz w:val="22"/>
          <w:szCs w:val="22"/>
        </w:rPr>
      </w:pPr>
      <w:bookmarkStart w:id="2" w:name="_Hlk19873810"/>
      <w:bookmarkEnd w:id="1"/>
      <w:r w:rsidRPr="00347252">
        <w:rPr>
          <w:rFonts w:cs="Arial"/>
          <w:sz w:val="22"/>
          <w:szCs w:val="22"/>
        </w:rPr>
        <w:t xml:space="preserve">privileges religious expression over anti-discrimination protections for </w:t>
      </w:r>
      <w:r w:rsidR="006D7584" w:rsidRPr="00347252">
        <w:rPr>
          <w:rFonts w:cs="Arial"/>
          <w:sz w:val="22"/>
          <w:szCs w:val="22"/>
        </w:rPr>
        <w:t xml:space="preserve">other groups, particularly </w:t>
      </w:r>
      <w:r w:rsidRPr="00347252">
        <w:rPr>
          <w:rFonts w:cs="Arial"/>
          <w:sz w:val="22"/>
          <w:szCs w:val="22"/>
        </w:rPr>
        <w:t>lesbian, gay, bisexual, trans</w:t>
      </w:r>
      <w:r w:rsidR="00C1035C" w:rsidRPr="00347252">
        <w:rPr>
          <w:rFonts w:cs="Arial"/>
          <w:sz w:val="22"/>
          <w:szCs w:val="22"/>
        </w:rPr>
        <w:t xml:space="preserve">, </w:t>
      </w:r>
      <w:r w:rsidRPr="00347252">
        <w:rPr>
          <w:rFonts w:cs="Arial"/>
          <w:sz w:val="22"/>
          <w:szCs w:val="22"/>
        </w:rPr>
        <w:t xml:space="preserve">intersex </w:t>
      </w:r>
      <w:r w:rsidR="00C1035C" w:rsidRPr="00347252">
        <w:rPr>
          <w:rFonts w:cs="Arial"/>
          <w:sz w:val="22"/>
          <w:szCs w:val="22"/>
        </w:rPr>
        <w:t xml:space="preserve">or queer </w:t>
      </w:r>
      <w:r w:rsidRPr="00347252">
        <w:rPr>
          <w:rFonts w:cs="Arial"/>
          <w:sz w:val="22"/>
          <w:szCs w:val="22"/>
        </w:rPr>
        <w:t>people</w:t>
      </w:r>
      <w:r w:rsidR="00C1035C" w:rsidRPr="00347252">
        <w:rPr>
          <w:rFonts w:cs="Arial"/>
          <w:sz w:val="22"/>
          <w:szCs w:val="22"/>
        </w:rPr>
        <w:t xml:space="preserve"> (LGBTIQ)</w:t>
      </w:r>
      <w:r w:rsidR="00D21805">
        <w:rPr>
          <w:rFonts w:cs="Arial"/>
          <w:sz w:val="22"/>
          <w:szCs w:val="22"/>
        </w:rPr>
        <w:t xml:space="preserve"> and</w:t>
      </w:r>
      <w:r w:rsidRPr="00347252">
        <w:rPr>
          <w:rFonts w:cs="Arial"/>
          <w:sz w:val="22"/>
          <w:szCs w:val="22"/>
        </w:rPr>
        <w:t xml:space="preserve"> women, and undermines the coherence of Australia’s anti-discrimination framework, by overriding state and territory law (cl 41)</w:t>
      </w:r>
    </w:p>
    <w:p w14:paraId="06CA5C76" w14:textId="5C7C6016" w:rsidR="00B43BAB" w:rsidRPr="004E2B42" w:rsidRDefault="00B43BAB" w:rsidP="00B43BAB">
      <w:pPr>
        <w:pStyle w:val="VEOHRCBodytext"/>
        <w:keepNext w:val="0"/>
        <w:numPr>
          <w:ilvl w:val="0"/>
          <w:numId w:val="28"/>
        </w:numPr>
        <w:rPr>
          <w:rFonts w:eastAsia="Times New Roman" w:cs="Arial"/>
          <w:color w:val="000000" w:themeColor="text1"/>
          <w:sz w:val="22"/>
          <w:szCs w:val="22"/>
        </w:rPr>
      </w:pPr>
      <w:r w:rsidRPr="00347252">
        <w:rPr>
          <w:rFonts w:cs="Arial"/>
          <w:color w:val="000000" w:themeColor="text1"/>
          <w:sz w:val="22"/>
          <w:szCs w:val="22"/>
        </w:rPr>
        <w:lastRenderedPageBreak/>
        <w:t>restricts the ability to create safe and inclusive workplaces, by preventing employers from imposing reasonable conduct rules on employees’ religious expression</w:t>
      </w:r>
      <w:r w:rsidR="009576A6" w:rsidRPr="00347252">
        <w:rPr>
          <w:rFonts w:cs="Arial"/>
          <w:color w:val="000000" w:themeColor="text1"/>
          <w:sz w:val="22"/>
          <w:szCs w:val="22"/>
        </w:rPr>
        <w:t xml:space="preserve"> outside of </w:t>
      </w:r>
      <w:r w:rsidR="00256174" w:rsidRPr="00347252">
        <w:rPr>
          <w:rFonts w:cs="Arial"/>
          <w:color w:val="000000" w:themeColor="text1"/>
          <w:sz w:val="22"/>
          <w:szCs w:val="22"/>
        </w:rPr>
        <w:t>work hours</w:t>
      </w:r>
      <w:r w:rsidRPr="00347252">
        <w:rPr>
          <w:rFonts w:eastAsia="Times New Roman" w:cs="Arial"/>
          <w:color w:val="000000" w:themeColor="text1"/>
          <w:sz w:val="22"/>
          <w:szCs w:val="22"/>
        </w:rPr>
        <w:t xml:space="preserve"> </w:t>
      </w:r>
      <w:r w:rsidRPr="00347252">
        <w:rPr>
          <w:rFonts w:cs="Arial"/>
          <w:color w:val="000000" w:themeColor="text1"/>
          <w:sz w:val="22"/>
          <w:szCs w:val="22"/>
        </w:rPr>
        <w:t>(cl 8(3)-(4))</w:t>
      </w:r>
    </w:p>
    <w:p w14:paraId="1E007A5E" w14:textId="03B368B7" w:rsidR="00AA1998" w:rsidRDefault="00AA1998" w:rsidP="00AA1998">
      <w:pPr>
        <w:pStyle w:val="VEOHRCBodytext"/>
        <w:keepNext w:val="0"/>
        <w:numPr>
          <w:ilvl w:val="0"/>
          <w:numId w:val="28"/>
        </w:numPr>
        <w:rPr>
          <w:rFonts w:cs="Arial"/>
          <w:sz w:val="22"/>
          <w:szCs w:val="22"/>
        </w:rPr>
      </w:pPr>
      <w:r w:rsidRPr="00347252">
        <w:rPr>
          <w:rFonts w:cs="Arial"/>
          <w:sz w:val="22"/>
          <w:szCs w:val="22"/>
        </w:rPr>
        <w:t xml:space="preserve">undermines access to safe and inclusive health services and creates a risk of confusion among health providers seeking to comply with </w:t>
      </w:r>
      <w:r w:rsidR="00D21805">
        <w:rPr>
          <w:rFonts w:cs="Arial"/>
          <w:sz w:val="22"/>
          <w:szCs w:val="22"/>
        </w:rPr>
        <w:t xml:space="preserve">existing </w:t>
      </w:r>
      <w:r w:rsidR="00AA0D1A">
        <w:rPr>
          <w:rFonts w:cs="Arial"/>
          <w:sz w:val="22"/>
          <w:szCs w:val="22"/>
        </w:rPr>
        <w:t xml:space="preserve">conscientious objection </w:t>
      </w:r>
      <w:r w:rsidRPr="00347252">
        <w:rPr>
          <w:rFonts w:cs="Arial"/>
          <w:sz w:val="22"/>
          <w:szCs w:val="22"/>
        </w:rPr>
        <w:t>law</w:t>
      </w:r>
      <w:r w:rsidR="00D21805">
        <w:rPr>
          <w:rFonts w:cs="Arial"/>
          <w:sz w:val="22"/>
          <w:szCs w:val="22"/>
        </w:rPr>
        <w:t>s and policy directives, and where no state and territory conscientious objection laws exist, it</w:t>
      </w:r>
      <w:r>
        <w:rPr>
          <w:rFonts w:cs="Arial"/>
          <w:sz w:val="22"/>
          <w:szCs w:val="22"/>
        </w:rPr>
        <w:t xml:space="preserve"> </w:t>
      </w:r>
      <w:r w:rsidR="00D21805">
        <w:rPr>
          <w:rFonts w:cs="Arial"/>
          <w:sz w:val="22"/>
          <w:szCs w:val="22"/>
        </w:rPr>
        <w:t xml:space="preserve">introduces </w:t>
      </w:r>
      <w:r>
        <w:rPr>
          <w:rFonts w:cs="Arial"/>
          <w:sz w:val="22"/>
          <w:szCs w:val="22"/>
        </w:rPr>
        <w:t xml:space="preserve">broad conscientious </w:t>
      </w:r>
      <w:r w:rsidR="00D21805">
        <w:rPr>
          <w:rFonts w:cs="Arial"/>
          <w:sz w:val="22"/>
          <w:szCs w:val="22"/>
        </w:rPr>
        <w:t xml:space="preserve">objection </w:t>
      </w:r>
      <w:r>
        <w:rPr>
          <w:rFonts w:cs="Arial"/>
          <w:sz w:val="22"/>
          <w:szCs w:val="22"/>
        </w:rPr>
        <w:t xml:space="preserve">provisions without appropriate safeguards or regulation (cl 8(5) 8(6)) </w:t>
      </w:r>
    </w:p>
    <w:p w14:paraId="779F0A9A" w14:textId="0456131F" w:rsidR="0083260A" w:rsidRPr="004E2B42" w:rsidRDefault="0083260A" w:rsidP="00AA1998">
      <w:pPr>
        <w:pStyle w:val="VEOHRCBodytext"/>
        <w:keepNext w:val="0"/>
        <w:numPr>
          <w:ilvl w:val="0"/>
          <w:numId w:val="28"/>
        </w:numPr>
        <w:rPr>
          <w:rFonts w:cs="Arial"/>
          <w:sz w:val="22"/>
          <w:szCs w:val="22"/>
        </w:rPr>
      </w:pPr>
      <w:r>
        <w:rPr>
          <w:rFonts w:cs="Arial"/>
          <w:sz w:val="22"/>
          <w:szCs w:val="22"/>
        </w:rPr>
        <w:t>prevents employers from deciding compliance with certain employee conduct rules (that extend to conduct outside of work or deal with conscientious objection) are inherent requirements of the job, restricting their ability to</w:t>
      </w:r>
      <w:r w:rsidR="00F8145E">
        <w:rPr>
          <w:rFonts w:cs="Arial"/>
          <w:sz w:val="22"/>
          <w:szCs w:val="22"/>
        </w:rPr>
        <w:t xml:space="preserve"> make employment decisions consistent with the promotion of the mission, values or human rights culture of the organisation or service (cl 31(6) – (7))</w:t>
      </w:r>
    </w:p>
    <w:p w14:paraId="6A671E63" w14:textId="3A82BAFD" w:rsidR="00B574E7" w:rsidRPr="004E2B42" w:rsidRDefault="00B574E7" w:rsidP="00397886">
      <w:pPr>
        <w:pStyle w:val="VEOHRCBodytext"/>
        <w:keepNext w:val="0"/>
        <w:numPr>
          <w:ilvl w:val="0"/>
          <w:numId w:val="28"/>
        </w:numPr>
        <w:rPr>
          <w:rFonts w:cs="Arial"/>
          <w:sz w:val="22"/>
          <w:szCs w:val="22"/>
        </w:rPr>
      </w:pPr>
      <w:r>
        <w:rPr>
          <w:rFonts w:cs="Arial"/>
          <w:sz w:val="22"/>
          <w:szCs w:val="22"/>
        </w:rPr>
        <w:t>departs from traditional anti-discrimination law by defining persons as including religious bodies or institutions</w:t>
      </w:r>
      <w:r w:rsidR="00D21805">
        <w:rPr>
          <w:rFonts w:cs="Arial"/>
          <w:sz w:val="22"/>
          <w:szCs w:val="22"/>
        </w:rPr>
        <w:t xml:space="preserve"> (cl 5)</w:t>
      </w:r>
      <w:r>
        <w:rPr>
          <w:rFonts w:cs="Arial"/>
          <w:sz w:val="22"/>
          <w:szCs w:val="22"/>
        </w:rPr>
        <w:t xml:space="preserve">, </w:t>
      </w:r>
      <w:r w:rsidR="00D21805">
        <w:rPr>
          <w:rFonts w:cs="Arial"/>
          <w:sz w:val="22"/>
          <w:szCs w:val="22"/>
        </w:rPr>
        <w:t>affording</w:t>
      </w:r>
      <w:r w:rsidR="00AA0D1A">
        <w:rPr>
          <w:rFonts w:cs="Arial"/>
          <w:sz w:val="22"/>
          <w:szCs w:val="22"/>
        </w:rPr>
        <w:t xml:space="preserve"> religious businesses </w:t>
      </w:r>
      <w:r>
        <w:rPr>
          <w:rFonts w:cs="Arial"/>
          <w:sz w:val="22"/>
          <w:szCs w:val="22"/>
        </w:rPr>
        <w:t>protections against discrimination ordinarily provided only to individual persons</w:t>
      </w:r>
    </w:p>
    <w:p w14:paraId="1C49C56E" w14:textId="70F3A157" w:rsidR="00B43BAB" w:rsidRPr="00980402" w:rsidRDefault="00B43BAB" w:rsidP="00B43BAB">
      <w:pPr>
        <w:pStyle w:val="VEOHRCBodytext"/>
        <w:keepNext w:val="0"/>
        <w:numPr>
          <w:ilvl w:val="0"/>
          <w:numId w:val="28"/>
        </w:numPr>
        <w:rPr>
          <w:rFonts w:cs="Arial"/>
          <w:sz w:val="22"/>
          <w:szCs w:val="22"/>
        </w:rPr>
      </w:pPr>
      <w:r w:rsidRPr="00347252">
        <w:rPr>
          <w:rFonts w:cs="Arial"/>
          <w:sz w:val="22"/>
          <w:szCs w:val="22"/>
        </w:rPr>
        <w:t>elevates the rights of religious bodies over those of individuals and other bodies</w:t>
      </w:r>
      <w:r w:rsidR="00B574E7">
        <w:rPr>
          <w:rFonts w:cs="Arial"/>
          <w:sz w:val="22"/>
          <w:szCs w:val="22"/>
        </w:rPr>
        <w:t xml:space="preserve"> by </w:t>
      </w:r>
      <w:r w:rsidRPr="00980402">
        <w:rPr>
          <w:rFonts w:cs="Arial"/>
          <w:sz w:val="22"/>
          <w:szCs w:val="22"/>
        </w:rPr>
        <w:t>expanding when they can lawfully discriminate based on religious belief or activity (</w:t>
      </w:r>
      <w:r w:rsidR="00B574E7">
        <w:rPr>
          <w:rFonts w:cs="Arial"/>
          <w:sz w:val="22"/>
          <w:szCs w:val="22"/>
        </w:rPr>
        <w:t xml:space="preserve">cl </w:t>
      </w:r>
      <w:r w:rsidRPr="00980402">
        <w:rPr>
          <w:rFonts w:cs="Arial"/>
          <w:sz w:val="22"/>
          <w:szCs w:val="22"/>
        </w:rPr>
        <w:t>10(2)).</w:t>
      </w:r>
    </w:p>
    <w:bookmarkEnd w:id="2"/>
    <w:p w14:paraId="25EFF768" w14:textId="6B869A8A" w:rsidR="00206FA6" w:rsidRDefault="0055214F" w:rsidP="00B574E7">
      <w:pPr>
        <w:pStyle w:val="VEOHRCBodytext"/>
        <w:keepNext w:val="0"/>
        <w:rPr>
          <w:rFonts w:cs="Arial"/>
          <w:sz w:val="22"/>
          <w:szCs w:val="22"/>
        </w:rPr>
      </w:pPr>
      <w:r>
        <w:rPr>
          <w:rFonts w:cs="Arial"/>
          <w:sz w:val="22"/>
          <w:szCs w:val="22"/>
        </w:rPr>
        <w:t>T</w:t>
      </w:r>
      <w:r w:rsidR="00B43BAB" w:rsidRPr="00980402">
        <w:rPr>
          <w:rFonts w:cs="Arial"/>
          <w:sz w:val="22"/>
          <w:szCs w:val="22"/>
        </w:rPr>
        <w:t xml:space="preserve">he Commission encourages the Attorney-General to consider any concerns regarding the adequacy of current protections of the freedom of thought, conscience, religion and belief in the context of the need for a comprehensive national bill of rights, having regard to the need to carefully balance </w:t>
      </w:r>
      <w:r w:rsidR="00B43BAB" w:rsidRPr="00347252">
        <w:rPr>
          <w:rFonts w:cs="Arial"/>
          <w:sz w:val="22"/>
          <w:szCs w:val="22"/>
        </w:rPr>
        <w:t xml:space="preserve">rights. </w:t>
      </w:r>
      <w:r>
        <w:rPr>
          <w:rFonts w:cs="Arial"/>
          <w:sz w:val="22"/>
          <w:szCs w:val="22"/>
        </w:rPr>
        <w:t>We</w:t>
      </w:r>
      <w:r w:rsidR="00B43BAB" w:rsidRPr="00347252">
        <w:rPr>
          <w:rFonts w:cs="Arial"/>
          <w:sz w:val="22"/>
          <w:szCs w:val="22"/>
        </w:rPr>
        <w:t xml:space="preserve"> recommend that the Attorney-General removes clauses 41</w:t>
      </w:r>
      <w:r w:rsidR="004C01B6">
        <w:rPr>
          <w:rFonts w:cs="Arial"/>
          <w:sz w:val="22"/>
          <w:szCs w:val="22"/>
        </w:rPr>
        <w:t>,</w:t>
      </w:r>
      <w:r w:rsidR="00B43BAB" w:rsidRPr="00347252">
        <w:rPr>
          <w:rFonts w:cs="Arial"/>
          <w:sz w:val="22"/>
          <w:szCs w:val="22"/>
        </w:rPr>
        <w:t xml:space="preserve"> 8(3)-8(6) </w:t>
      </w:r>
      <w:r w:rsidR="004C01B6">
        <w:rPr>
          <w:rFonts w:cs="Arial"/>
          <w:sz w:val="22"/>
          <w:szCs w:val="22"/>
        </w:rPr>
        <w:t xml:space="preserve">and 31(6)-(7) </w:t>
      </w:r>
      <w:r w:rsidR="00B43BAB" w:rsidRPr="00347252">
        <w:rPr>
          <w:rFonts w:cs="Arial"/>
          <w:sz w:val="22"/>
          <w:szCs w:val="22"/>
        </w:rPr>
        <w:t>from the exposure draft</w:t>
      </w:r>
      <w:r w:rsidR="004C01B6">
        <w:rPr>
          <w:rFonts w:cs="Arial"/>
          <w:sz w:val="22"/>
          <w:szCs w:val="22"/>
        </w:rPr>
        <w:t xml:space="preserve">, </w:t>
      </w:r>
      <w:r w:rsidR="00B43BAB" w:rsidRPr="00347252">
        <w:rPr>
          <w:rFonts w:cs="Arial"/>
          <w:sz w:val="22"/>
          <w:szCs w:val="22"/>
        </w:rPr>
        <w:t>amends clause 5 to include only natural persons in the definition of the term ‘person’</w:t>
      </w:r>
      <w:r w:rsidR="004C01B6">
        <w:rPr>
          <w:rFonts w:cs="Arial"/>
          <w:sz w:val="22"/>
          <w:szCs w:val="22"/>
        </w:rPr>
        <w:t xml:space="preserve"> and limits the scope of the general religious exemption in clause 10</w:t>
      </w:r>
      <w:r w:rsidR="00B43BAB" w:rsidRPr="00347252">
        <w:rPr>
          <w:rFonts w:cs="Arial"/>
          <w:sz w:val="22"/>
          <w:szCs w:val="22"/>
        </w:rPr>
        <w:t>.</w:t>
      </w:r>
      <w:bookmarkStart w:id="3" w:name="_Hlk19888197"/>
      <w:r w:rsidR="00AA0D1A">
        <w:rPr>
          <w:rFonts w:cs="Arial"/>
          <w:sz w:val="22"/>
          <w:szCs w:val="22"/>
        </w:rPr>
        <w:t xml:space="preserve"> The Bill should not be introduced into Parliament in its current form. </w:t>
      </w:r>
    </w:p>
    <w:p w14:paraId="728453A7" w14:textId="77777777" w:rsidR="005B5F9C" w:rsidRDefault="005B5F9C" w:rsidP="00B574E7">
      <w:pPr>
        <w:pStyle w:val="VEOHRCBodytext"/>
        <w:keepNext w:val="0"/>
        <w:rPr>
          <w:b/>
          <w:sz w:val="22"/>
        </w:rPr>
      </w:pPr>
    </w:p>
    <w:p w14:paraId="36E1BB31" w14:textId="1CD6ABAA" w:rsidR="00B43BAB" w:rsidRPr="00B574E7" w:rsidRDefault="00B43BAB" w:rsidP="00B574E7">
      <w:pPr>
        <w:pStyle w:val="VEOHRCBodytext"/>
        <w:keepNext w:val="0"/>
        <w:rPr>
          <w:b/>
          <w:sz w:val="22"/>
        </w:rPr>
      </w:pPr>
      <w:r w:rsidRPr="00B574E7">
        <w:rPr>
          <w:b/>
          <w:sz w:val="22"/>
        </w:rPr>
        <w:t>Legal framework</w:t>
      </w:r>
    </w:p>
    <w:p w14:paraId="0CD70FB6" w14:textId="76DE5A8E" w:rsidR="00B43BAB" w:rsidRPr="00F8145E" w:rsidRDefault="00B43BAB" w:rsidP="00B43BAB">
      <w:pPr>
        <w:pStyle w:val="VEOHRCBodytext"/>
        <w:keepNext w:val="0"/>
        <w:rPr>
          <w:rFonts w:cs="Arial"/>
          <w:sz w:val="22"/>
          <w:szCs w:val="22"/>
        </w:rPr>
      </w:pPr>
      <w:r w:rsidRPr="00F8145E">
        <w:rPr>
          <w:rFonts w:cs="Arial"/>
          <w:sz w:val="22"/>
          <w:szCs w:val="22"/>
        </w:rPr>
        <w:t>Victorian law protects an individual’s right to hold a religious belief – or no religious belief – and practice that belief</w:t>
      </w:r>
      <w:r w:rsidR="009576A6" w:rsidRPr="00F8145E">
        <w:rPr>
          <w:rFonts w:cs="Arial"/>
          <w:sz w:val="22"/>
          <w:szCs w:val="22"/>
        </w:rPr>
        <w:t xml:space="preserve"> free from discrimination and vilification</w:t>
      </w:r>
      <w:r w:rsidRPr="00F8145E">
        <w:rPr>
          <w:rFonts w:cs="Arial"/>
          <w:sz w:val="22"/>
          <w:szCs w:val="22"/>
        </w:rPr>
        <w:t xml:space="preserve">. </w:t>
      </w:r>
    </w:p>
    <w:p w14:paraId="0A891DB0" w14:textId="3625434A" w:rsidR="00AA0D1A" w:rsidRDefault="00B43BAB" w:rsidP="00F8145E">
      <w:pPr>
        <w:pStyle w:val="VEOHRCBodytext"/>
        <w:keepNext w:val="0"/>
        <w:numPr>
          <w:ilvl w:val="0"/>
          <w:numId w:val="30"/>
        </w:numPr>
        <w:spacing w:before="120" w:line="23" w:lineRule="atLeast"/>
        <w:ind w:left="357" w:hanging="357"/>
        <w:rPr>
          <w:rFonts w:cs="Arial"/>
          <w:sz w:val="22"/>
          <w:szCs w:val="22"/>
        </w:rPr>
      </w:pPr>
      <w:r w:rsidRPr="00F8145E">
        <w:rPr>
          <w:rFonts w:cs="Arial"/>
          <w:sz w:val="22"/>
          <w:szCs w:val="22"/>
        </w:rPr>
        <w:t xml:space="preserve">The </w:t>
      </w:r>
      <w:r w:rsidRPr="00F8145E">
        <w:rPr>
          <w:rFonts w:cs="Arial"/>
          <w:i/>
          <w:sz w:val="22"/>
          <w:szCs w:val="22"/>
        </w:rPr>
        <w:t>Equal Opportunity Act 2010</w:t>
      </w:r>
      <w:r w:rsidRPr="00F8145E">
        <w:rPr>
          <w:rFonts w:cs="Arial"/>
          <w:sz w:val="22"/>
          <w:szCs w:val="22"/>
        </w:rPr>
        <w:t xml:space="preserve"> makes it unlawful to discriminate against a person in certain areas of public life based on ‘religious belief or activity’</w:t>
      </w:r>
      <w:r w:rsidR="002A55C2">
        <w:rPr>
          <w:rFonts w:cs="Arial"/>
          <w:sz w:val="22"/>
          <w:szCs w:val="22"/>
        </w:rPr>
        <w:t>.</w:t>
      </w:r>
      <w:r w:rsidRPr="00F8145E">
        <w:rPr>
          <w:rFonts w:cs="Arial"/>
          <w:sz w:val="22"/>
          <w:szCs w:val="22"/>
          <w:vertAlign w:val="superscript"/>
        </w:rPr>
        <w:endnoteReference w:id="6"/>
      </w:r>
      <w:r w:rsidR="00F8145E" w:rsidRPr="00F8145E">
        <w:rPr>
          <w:rFonts w:cs="Arial"/>
          <w:sz w:val="22"/>
          <w:szCs w:val="22"/>
        </w:rPr>
        <w:t xml:space="preserve"> </w:t>
      </w:r>
    </w:p>
    <w:p w14:paraId="7208C659" w14:textId="288ED4DE" w:rsidR="00B43BAB" w:rsidRPr="00F8145E" w:rsidRDefault="00B43BAB" w:rsidP="00F8145E">
      <w:pPr>
        <w:pStyle w:val="VEOHRCBodytext"/>
        <w:keepNext w:val="0"/>
        <w:numPr>
          <w:ilvl w:val="0"/>
          <w:numId w:val="30"/>
        </w:numPr>
        <w:spacing w:before="120" w:line="23" w:lineRule="atLeast"/>
        <w:ind w:left="357" w:hanging="357"/>
        <w:rPr>
          <w:rFonts w:cs="Arial"/>
          <w:sz w:val="22"/>
          <w:szCs w:val="22"/>
        </w:rPr>
      </w:pPr>
      <w:r w:rsidRPr="00F8145E">
        <w:rPr>
          <w:rFonts w:cs="Arial"/>
          <w:sz w:val="22"/>
          <w:szCs w:val="22"/>
        </w:rPr>
        <w:t xml:space="preserve">The </w:t>
      </w:r>
      <w:r w:rsidRPr="00F8145E">
        <w:rPr>
          <w:rFonts w:cs="Arial"/>
          <w:i/>
          <w:sz w:val="22"/>
          <w:szCs w:val="22"/>
        </w:rPr>
        <w:t xml:space="preserve">Racial and Religious Tolerance Act 2001 </w:t>
      </w:r>
      <w:r w:rsidRPr="00F8145E">
        <w:rPr>
          <w:rFonts w:cs="Arial"/>
          <w:sz w:val="22"/>
          <w:szCs w:val="22"/>
        </w:rPr>
        <w:t>prohibits religious vilification.</w:t>
      </w:r>
      <w:r w:rsidRPr="00F8145E">
        <w:rPr>
          <w:rStyle w:val="EndnoteReference"/>
          <w:rFonts w:cs="Arial"/>
          <w:sz w:val="22"/>
          <w:szCs w:val="22"/>
        </w:rPr>
        <w:endnoteReference w:id="7"/>
      </w:r>
      <w:r w:rsidRPr="00F8145E">
        <w:rPr>
          <w:rFonts w:cs="Arial"/>
          <w:sz w:val="22"/>
          <w:szCs w:val="22"/>
        </w:rPr>
        <w:t xml:space="preserve"> </w:t>
      </w:r>
    </w:p>
    <w:p w14:paraId="55AE30FA" w14:textId="07B3646F" w:rsidR="00B43BAB" w:rsidRPr="00F8145E" w:rsidRDefault="00B43BAB" w:rsidP="00B43BAB">
      <w:pPr>
        <w:pStyle w:val="VEOHRCBodytext"/>
        <w:keepNext w:val="0"/>
        <w:numPr>
          <w:ilvl w:val="0"/>
          <w:numId w:val="30"/>
        </w:numPr>
        <w:rPr>
          <w:rFonts w:cs="Arial"/>
          <w:sz w:val="22"/>
          <w:szCs w:val="22"/>
        </w:rPr>
      </w:pPr>
      <w:r w:rsidRPr="00F8145E">
        <w:rPr>
          <w:rFonts w:cs="Arial"/>
          <w:sz w:val="22"/>
          <w:szCs w:val="22"/>
        </w:rPr>
        <w:t xml:space="preserve">The </w:t>
      </w:r>
      <w:r w:rsidRPr="00F8145E">
        <w:rPr>
          <w:rFonts w:cs="Arial"/>
          <w:i/>
          <w:sz w:val="22"/>
          <w:szCs w:val="22"/>
        </w:rPr>
        <w:t>Charter of Human Rights and Responsibilities Act 2006</w:t>
      </w:r>
      <w:r w:rsidRPr="00F8145E">
        <w:rPr>
          <w:rFonts w:cs="Arial"/>
          <w:sz w:val="22"/>
          <w:szCs w:val="22"/>
        </w:rPr>
        <w:t xml:space="preserve"> protects the freedom of thought, conscience, religion and belief by recognising the right to have or adopt a religion or belief and demonstrate that religion or belief in worsh</w:t>
      </w:r>
      <w:r w:rsidR="002446BF" w:rsidRPr="00F8145E">
        <w:rPr>
          <w:rFonts w:cs="Arial"/>
          <w:sz w:val="22"/>
          <w:szCs w:val="22"/>
        </w:rPr>
        <w:t>i</w:t>
      </w:r>
      <w:r w:rsidRPr="00F8145E">
        <w:rPr>
          <w:rFonts w:cs="Arial"/>
          <w:sz w:val="22"/>
          <w:szCs w:val="22"/>
        </w:rPr>
        <w:t>p, observance, practice and teaching.</w:t>
      </w:r>
      <w:r w:rsidRPr="00F8145E">
        <w:rPr>
          <w:rStyle w:val="EndnoteReference"/>
          <w:rFonts w:cs="Arial"/>
          <w:sz w:val="22"/>
          <w:szCs w:val="22"/>
        </w:rPr>
        <w:endnoteReference w:id="8"/>
      </w:r>
      <w:r w:rsidRPr="00F8145E">
        <w:rPr>
          <w:rFonts w:cs="Arial"/>
          <w:sz w:val="22"/>
          <w:szCs w:val="22"/>
        </w:rPr>
        <w:t xml:space="preserve"> </w:t>
      </w:r>
    </w:p>
    <w:bookmarkEnd w:id="3"/>
    <w:p w14:paraId="617F66B0" w14:textId="2740F005" w:rsidR="00D24300" w:rsidRDefault="00F8145E" w:rsidP="00C1035C">
      <w:pPr>
        <w:pStyle w:val="VEOHRCBodytext"/>
        <w:keepNext w:val="0"/>
        <w:rPr>
          <w:rFonts w:cs="Arial"/>
          <w:sz w:val="22"/>
          <w:szCs w:val="22"/>
        </w:rPr>
      </w:pPr>
      <w:r w:rsidRPr="00F8145E">
        <w:rPr>
          <w:rFonts w:cs="Arial"/>
          <w:sz w:val="22"/>
          <w:szCs w:val="22"/>
        </w:rPr>
        <w:t xml:space="preserve">The Commission can receive and conciliate complaints of </w:t>
      </w:r>
      <w:r w:rsidR="00A60ADA">
        <w:rPr>
          <w:rFonts w:cs="Arial"/>
          <w:sz w:val="22"/>
          <w:szCs w:val="22"/>
        </w:rPr>
        <w:t xml:space="preserve">religious </w:t>
      </w:r>
      <w:r w:rsidRPr="00F8145E">
        <w:rPr>
          <w:rFonts w:cs="Arial"/>
          <w:sz w:val="22"/>
          <w:szCs w:val="22"/>
        </w:rPr>
        <w:t xml:space="preserve">discrimination or </w:t>
      </w:r>
      <w:r w:rsidR="00A60ADA">
        <w:rPr>
          <w:rFonts w:cs="Arial"/>
          <w:sz w:val="22"/>
          <w:szCs w:val="22"/>
        </w:rPr>
        <w:t>vilification</w:t>
      </w:r>
      <w:r w:rsidRPr="00F8145E">
        <w:rPr>
          <w:rFonts w:cs="Arial"/>
          <w:sz w:val="22"/>
          <w:szCs w:val="22"/>
        </w:rPr>
        <w:t xml:space="preserve"> that arise under the Equal Opportunity Act or Racial and Religious Tolerance Act. </w:t>
      </w:r>
      <w:r w:rsidRPr="00F8145E">
        <w:rPr>
          <w:rFonts w:cs="Arial"/>
          <w:color w:val="000000" w:themeColor="text1"/>
          <w:sz w:val="22"/>
          <w:szCs w:val="22"/>
        </w:rPr>
        <w:t>In 2018-2019 the Commission received 56 complaints o</w:t>
      </w:r>
      <w:r>
        <w:rPr>
          <w:rFonts w:cs="Arial"/>
          <w:color w:val="000000" w:themeColor="text1"/>
          <w:sz w:val="22"/>
          <w:szCs w:val="22"/>
        </w:rPr>
        <w:t xml:space="preserve">f religious </w:t>
      </w:r>
      <w:r w:rsidRPr="00F8145E">
        <w:rPr>
          <w:rFonts w:cs="Arial"/>
          <w:color w:val="000000" w:themeColor="text1"/>
          <w:sz w:val="22"/>
          <w:szCs w:val="22"/>
        </w:rPr>
        <w:t xml:space="preserve">discrimination </w:t>
      </w:r>
      <w:r>
        <w:rPr>
          <w:rFonts w:cs="Arial"/>
          <w:color w:val="000000" w:themeColor="text1"/>
          <w:sz w:val="22"/>
          <w:szCs w:val="22"/>
        </w:rPr>
        <w:t>and</w:t>
      </w:r>
      <w:r w:rsidRPr="00F8145E">
        <w:rPr>
          <w:rFonts w:cs="Arial"/>
          <w:color w:val="000000" w:themeColor="text1"/>
          <w:sz w:val="22"/>
          <w:szCs w:val="22"/>
        </w:rPr>
        <w:t xml:space="preserve"> </w:t>
      </w:r>
      <w:r>
        <w:rPr>
          <w:rFonts w:cs="Arial"/>
          <w:sz w:val="22"/>
          <w:szCs w:val="22"/>
        </w:rPr>
        <w:t>s</w:t>
      </w:r>
      <w:r w:rsidRPr="00F8145E">
        <w:rPr>
          <w:rFonts w:cs="Arial"/>
          <w:sz w:val="22"/>
          <w:szCs w:val="22"/>
        </w:rPr>
        <w:t>ince its introduction, we have received an average of 15 complaints</w:t>
      </w:r>
      <w:r>
        <w:rPr>
          <w:rFonts w:cs="Arial"/>
          <w:sz w:val="22"/>
          <w:szCs w:val="22"/>
        </w:rPr>
        <w:t xml:space="preserve"> of religious vilification</w:t>
      </w:r>
      <w:r w:rsidRPr="00F8145E">
        <w:rPr>
          <w:rFonts w:cs="Arial"/>
          <w:sz w:val="22"/>
          <w:szCs w:val="22"/>
        </w:rPr>
        <w:t xml:space="preserve"> per year (as at 12 June 2019</w:t>
      </w:r>
      <w:r>
        <w:rPr>
          <w:rFonts w:cs="Arial"/>
          <w:sz w:val="22"/>
          <w:szCs w:val="22"/>
        </w:rPr>
        <w:t>). Complaints that</w:t>
      </w:r>
      <w:r w:rsidR="00735CD1">
        <w:rPr>
          <w:rFonts w:cs="Arial"/>
          <w:sz w:val="22"/>
          <w:szCs w:val="22"/>
        </w:rPr>
        <w:t xml:space="preserve"> cannot be resolved through conciliation</w:t>
      </w:r>
      <w:r>
        <w:rPr>
          <w:rFonts w:cs="Arial"/>
          <w:sz w:val="22"/>
          <w:szCs w:val="22"/>
        </w:rPr>
        <w:t xml:space="preserve"> can be lodged with the Victorian Civil and Administrative Tribunal (a no</w:t>
      </w:r>
      <w:r w:rsidR="00AA0D1A">
        <w:rPr>
          <w:rFonts w:cs="Arial"/>
          <w:sz w:val="22"/>
          <w:szCs w:val="22"/>
        </w:rPr>
        <w:t xml:space="preserve"> </w:t>
      </w:r>
      <w:r>
        <w:rPr>
          <w:rFonts w:cs="Arial"/>
          <w:sz w:val="22"/>
          <w:szCs w:val="22"/>
        </w:rPr>
        <w:t>costs jurisdiction) for a</w:t>
      </w:r>
      <w:r w:rsidR="00A60ADA">
        <w:rPr>
          <w:rFonts w:cs="Arial"/>
          <w:sz w:val="22"/>
          <w:szCs w:val="22"/>
        </w:rPr>
        <w:t xml:space="preserve"> legally enforceable decision. </w:t>
      </w:r>
      <w:r w:rsidR="00B43BAB" w:rsidRPr="00980402">
        <w:rPr>
          <w:rFonts w:cs="Arial"/>
          <w:sz w:val="22"/>
          <w:szCs w:val="22"/>
        </w:rPr>
        <w:t xml:space="preserve">Other state and territories also provide protections against discrimination, hate speech and vilification, including </w:t>
      </w:r>
      <w:proofErr w:type="gramStart"/>
      <w:r w:rsidR="00B43BAB" w:rsidRPr="00980402">
        <w:rPr>
          <w:rFonts w:cs="Arial"/>
          <w:sz w:val="22"/>
          <w:szCs w:val="22"/>
        </w:rPr>
        <w:t>on the basis of</w:t>
      </w:r>
      <w:proofErr w:type="gramEnd"/>
      <w:r w:rsidR="00B43BAB" w:rsidRPr="00980402">
        <w:rPr>
          <w:rFonts w:cs="Arial"/>
          <w:sz w:val="22"/>
          <w:szCs w:val="22"/>
        </w:rPr>
        <w:t xml:space="preserve"> religious belief or activity</w:t>
      </w:r>
      <w:r w:rsidR="00B43BAB" w:rsidRPr="00AB641B">
        <w:rPr>
          <w:rFonts w:cs="Arial"/>
          <w:sz w:val="22"/>
          <w:szCs w:val="22"/>
        </w:rPr>
        <w:t>.</w:t>
      </w:r>
      <w:r w:rsidR="00B43BAB" w:rsidRPr="00AB641B">
        <w:rPr>
          <w:rStyle w:val="EndnoteReference"/>
          <w:rFonts w:cs="Arial"/>
          <w:sz w:val="22"/>
          <w:szCs w:val="22"/>
        </w:rPr>
        <w:endnoteReference w:id="9"/>
      </w:r>
      <w:r w:rsidR="00C1035C">
        <w:rPr>
          <w:rFonts w:cs="Arial"/>
          <w:sz w:val="22"/>
          <w:szCs w:val="22"/>
        </w:rPr>
        <w:t xml:space="preserve"> </w:t>
      </w:r>
      <w:r w:rsidR="00B43BAB" w:rsidRPr="00980402">
        <w:rPr>
          <w:rFonts w:cs="Arial"/>
          <w:sz w:val="22"/>
          <w:szCs w:val="22"/>
        </w:rPr>
        <w:t xml:space="preserve">Despite </w:t>
      </w:r>
      <w:r w:rsidR="00B93BDC">
        <w:rPr>
          <w:rFonts w:cs="Arial"/>
          <w:sz w:val="22"/>
          <w:szCs w:val="22"/>
        </w:rPr>
        <w:t>existing</w:t>
      </w:r>
      <w:r w:rsidR="00B43BAB" w:rsidRPr="00980402">
        <w:rPr>
          <w:rFonts w:cs="Arial"/>
          <w:sz w:val="22"/>
          <w:szCs w:val="22"/>
        </w:rPr>
        <w:t xml:space="preserve"> protections, discrimination, hate speech and vilification remain an ongoing threat for religious (and other) communities in Australia</w:t>
      </w:r>
      <w:r w:rsidR="00A26952">
        <w:rPr>
          <w:rFonts w:cs="Arial"/>
          <w:sz w:val="22"/>
          <w:szCs w:val="22"/>
        </w:rPr>
        <w:t xml:space="preserve">, particularly minority </w:t>
      </w:r>
      <w:r w:rsidR="008C4671">
        <w:rPr>
          <w:rFonts w:cs="Arial"/>
          <w:sz w:val="22"/>
          <w:szCs w:val="22"/>
        </w:rPr>
        <w:t>groups</w:t>
      </w:r>
      <w:r w:rsidR="00B43BAB" w:rsidRPr="00980402">
        <w:rPr>
          <w:rFonts w:cs="Arial"/>
          <w:sz w:val="22"/>
          <w:szCs w:val="22"/>
        </w:rPr>
        <w:t>.</w:t>
      </w:r>
      <w:r w:rsidR="00B43BAB" w:rsidRPr="00980402">
        <w:rPr>
          <w:rStyle w:val="EndnoteReference"/>
          <w:rFonts w:cs="Arial"/>
          <w:sz w:val="22"/>
          <w:szCs w:val="22"/>
        </w:rPr>
        <w:endnoteReference w:id="10"/>
      </w:r>
      <w:r w:rsidR="00B43BAB" w:rsidRPr="00980402">
        <w:rPr>
          <w:rFonts w:cs="Arial"/>
          <w:sz w:val="22"/>
          <w:szCs w:val="22"/>
        </w:rPr>
        <w:t xml:space="preserve"> </w:t>
      </w:r>
    </w:p>
    <w:p w14:paraId="30618314" w14:textId="6E3EE589" w:rsidR="00735CD1" w:rsidRDefault="00793561" w:rsidP="00B43BAB">
      <w:pPr>
        <w:pStyle w:val="VEOHRCBodytext"/>
        <w:keepNext w:val="0"/>
        <w:rPr>
          <w:rFonts w:cs="Arial"/>
          <w:sz w:val="22"/>
          <w:szCs w:val="22"/>
        </w:rPr>
      </w:pPr>
      <w:r>
        <w:rPr>
          <w:rFonts w:cs="Arial"/>
          <w:sz w:val="22"/>
          <w:szCs w:val="22"/>
        </w:rPr>
        <w:t xml:space="preserve">For this reason, the Commission welcomes </w:t>
      </w:r>
      <w:r w:rsidR="006F3382">
        <w:rPr>
          <w:rFonts w:cs="Arial"/>
          <w:sz w:val="22"/>
          <w:szCs w:val="22"/>
        </w:rPr>
        <w:t>federal</w:t>
      </w:r>
      <w:r w:rsidR="00A26952">
        <w:rPr>
          <w:rFonts w:cs="Arial"/>
          <w:sz w:val="22"/>
          <w:szCs w:val="22"/>
        </w:rPr>
        <w:t xml:space="preserve"> </w:t>
      </w:r>
      <w:r w:rsidR="00C1035C">
        <w:rPr>
          <w:rFonts w:cs="Arial"/>
          <w:sz w:val="22"/>
          <w:szCs w:val="22"/>
        </w:rPr>
        <w:t>legislation that</w:t>
      </w:r>
      <w:r w:rsidR="00A26952">
        <w:rPr>
          <w:rFonts w:cs="Arial"/>
          <w:sz w:val="22"/>
          <w:szCs w:val="22"/>
        </w:rPr>
        <w:t xml:space="preserve"> </w:t>
      </w:r>
      <w:r>
        <w:rPr>
          <w:rFonts w:cs="Arial"/>
          <w:sz w:val="22"/>
          <w:szCs w:val="22"/>
        </w:rPr>
        <w:t>protect</w:t>
      </w:r>
      <w:r w:rsidR="00A26952">
        <w:rPr>
          <w:rFonts w:cs="Arial"/>
          <w:sz w:val="22"/>
          <w:szCs w:val="22"/>
        </w:rPr>
        <w:t>s</w:t>
      </w:r>
      <w:r>
        <w:rPr>
          <w:rFonts w:cs="Arial"/>
          <w:sz w:val="22"/>
          <w:szCs w:val="22"/>
        </w:rPr>
        <w:t xml:space="preserve"> </w:t>
      </w:r>
      <w:r w:rsidR="006A368D">
        <w:rPr>
          <w:rFonts w:cs="Arial"/>
          <w:sz w:val="22"/>
          <w:szCs w:val="22"/>
        </w:rPr>
        <w:t xml:space="preserve">against </w:t>
      </w:r>
      <w:r>
        <w:rPr>
          <w:rFonts w:cs="Arial"/>
          <w:sz w:val="22"/>
          <w:szCs w:val="22"/>
        </w:rPr>
        <w:t xml:space="preserve">discrimination </w:t>
      </w:r>
      <w:proofErr w:type="gramStart"/>
      <w:r>
        <w:rPr>
          <w:rFonts w:cs="Arial"/>
          <w:sz w:val="22"/>
          <w:szCs w:val="22"/>
        </w:rPr>
        <w:t>on the basis of</w:t>
      </w:r>
      <w:proofErr w:type="gramEnd"/>
      <w:r w:rsidR="006A368D">
        <w:rPr>
          <w:rFonts w:cs="Arial"/>
          <w:sz w:val="22"/>
          <w:szCs w:val="22"/>
        </w:rPr>
        <w:t xml:space="preserve"> </w:t>
      </w:r>
      <w:r>
        <w:rPr>
          <w:rFonts w:cs="Arial"/>
          <w:sz w:val="22"/>
          <w:szCs w:val="22"/>
        </w:rPr>
        <w:t>religious belief of activity</w:t>
      </w:r>
      <w:r w:rsidR="00A26952">
        <w:rPr>
          <w:rFonts w:cs="Arial"/>
          <w:sz w:val="22"/>
          <w:szCs w:val="22"/>
        </w:rPr>
        <w:t xml:space="preserve">. </w:t>
      </w:r>
      <w:r w:rsidR="00C1035C">
        <w:rPr>
          <w:rFonts w:cs="Arial"/>
          <w:sz w:val="22"/>
          <w:szCs w:val="22"/>
        </w:rPr>
        <w:t>The Commission</w:t>
      </w:r>
      <w:r w:rsidR="00A26952">
        <w:rPr>
          <w:rFonts w:cs="Arial"/>
          <w:sz w:val="22"/>
          <w:szCs w:val="22"/>
        </w:rPr>
        <w:t xml:space="preserve"> support</w:t>
      </w:r>
      <w:r w:rsidR="00C1035C">
        <w:rPr>
          <w:rFonts w:cs="Arial"/>
          <w:sz w:val="22"/>
          <w:szCs w:val="22"/>
        </w:rPr>
        <w:t>s</w:t>
      </w:r>
      <w:r w:rsidR="00A26952">
        <w:rPr>
          <w:rFonts w:cs="Arial"/>
          <w:sz w:val="22"/>
          <w:szCs w:val="22"/>
        </w:rPr>
        <w:t xml:space="preserve"> </w:t>
      </w:r>
      <w:r w:rsidR="00A60ADA">
        <w:rPr>
          <w:rFonts w:cs="Arial"/>
          <w:sz w:val="22"/>
          <w:szCs w:val="22"/>
        </w:rPr>
        <w:t xml:space="preserve">the introduction of federal </w:t>
      </w:r>
      <w:r w:rsidR="00A26952">
        <w:rPr>
          <w:rFonts w:cs="Arial"/>
          <w:sz w:val="22"/>
          <w:szCs w:val="22"/>
        </w:rPr>
        <w:t>legislation</w:t>
      </w:r>
      <w:r w:rsidR="006A368D">
        <w:rPr>
          <w:rFonts w:cs="Arial"/>
          <w:sz w:val="22"/>
          <w:szCs w:val="22"/>
        </w:rPr>
        <w:t xml:space="preserve"> in similar terms to </w:t>
      </w:r>
      <w:r w:rsidR="00C1035C">
        <w:rPr>
          <w:rFonts w:cs="Arial"/>
          <w:sz w:val="22"/>
          <w:szCs w:val="22"/>
        </w:rPr>
        <w:t xml:space="preserve">existing </w:t>
      </w:r>
      <w:r>
        <w:rPr>
          <w:rFonts w:cs="Arial"/>
          <w:sz w:val="22"/>
          <w:szCs w:val="22"/>
        </w:rPr>
        <w:t xml:space="preserve">state and territory anti-discrimination </w:t>
      </w:r>
      <w:r w:rsidR="006A368D">
        <w:rPr>
          <w:rFonts w:cs="Arial"/>
          <w:sz w:val="22"/>
          <w:szCs w:val="22"/>
        </w:rPr>
        <w:t>law</w:t>
      </w:r>
      <w:r>
        <w:rPr>
          <w:rFonts w:cs="Arial"/>
          <w:sz w:val="22"/>
          <w:szCs w:val="22"/>
        </w:rPr>
        <w:t xml:space="preserve"> and</w:t>
      </w:r>
      <w:r w:rsidR="00035DB1">
        <w:rPr>
          <w:rFonts w:cs="Arial"/>
          <w:sz w:val="22"/>
          <w:szCs w:val="22"/>
        </w:rPr>
        <w:t xml:space="preserve"> </w:t>
      </w:r>
      <w:r w:rsidR="00761ABA">
        <w:rPr>
          <w:rFonts w:cs="Arial"/>
          <w:sz w:val="22"/>
          <w:szCs w:val="22"/>
        </w:rPr>
        <w:t>co</w:t>
      </w:r>
      <w:r w:rsidR="00035DB1">
        <w:rPr>
          <w:rFonts w:cs="Arial"/>
          <w:sz w:val="22"/>
          <w:szCs w:val="22"/>
        </w:rPr>
        <w:t>nsistent with</w:t>
      </w:r>
      <w:r w:rsidR="006A368D">
        <w:rPr>
          <w:rFonts w:cs="Arial"/>
          <w:sz w:val="22"/>
          <w:szCs w:val="22"/>
        </w:rPr>
        <w:t xml:space="preserve"> the</w:t>
      </w:r>
      <w:r w:rsidR="00035DB1">
        <w:rPr>
          <w:rFonts w:cs="Arial"/>
          <w:sz w:val="22"/>
          <w:szCs w:val="22"/>
        </w:rPr>
        <w:t xml:space="preserve"> </w:t>
      </w:r>
      <w:r w:rsidR="00C1035C">
        <w:rPr>
          <w:rFonts w:cs="Arial"/>
          <w:sz w:val="22"/>
          <w:szCs w:val="22"/>
        </w:rPr>
        <w:t xml:space="preserve">structure and coverage of </w:t>
      </w:r>
      <w:r w:rsidR="008E6115">
        <w:rPr>
          <w:rFonts w:cs="Arial"/>
          <w:sz w:val="22"/>
          <w:szCs w:val="22"/>
        </w:rPr>
        <w:t xml:space="preserve">the </w:t>
      </w:r>
      <w:r>
        <w:rPr>
          <w:rFonts w:cs="Arial"/>
          <w:sz w:val="22"/>
          <w:szCs w:val="22"/>
        </w:rPr>
        <w:t xml:space="preserve">four </w:t>
      </w:r>
      <w:r w:rsidR="0076743D">
        <w:rPr>
          <w:rFonts w:cs="Arial"/>
          <w:sz w:val="22"/>
          <w:szCs w:val="22"/>
        </w:rPr>
        <w:t>Commonwealth</w:t>
      </w:r>
      <w:r>
        <w:rPr>
          <w:rFonts w:cs="Arial"/>
          <w:sz w:val="22"/>
          <w:szCs w:val="22"/>
        </w:rPr>
        <w:t xml:space="preserve"> anti-discrimination laws.</w:t>
      </w:r>
      <w:r w:rsidR="0076743D">
        <w:rPr>
          <w:rStyle w:val="EndnoteReference"/>
          <w:rFonts w:cs="Arial"/>
          <w:sz w:val="22"/>
          <w:szCs w:val="22"/>
        </w:rPr>
        <w:endnoteReference w:id="11"/>
      </w:r>
      <w:r w:rsidR="00C20AF6">
        <w:rPr>
          <w:rFonts w:cs="Arial"/>
          <w:sz w:val="22"/>
          <w:szCs w:val="22"/>
        </w:rPr>
        <w:t xml:space="preserve"> </w:t>
      </w:r>
      <w:r w:rsidR="00A60ADA">
        <w:rPr>
          <w:rFonts w:cs="Arial"/>
          <w:sz w:val="22"/>
          <w:szCs w:val="22"/>
        </w:rPr>
        <w:t xml:space="preserve">Such legislation should be complementary to and operate concurrently with state and territory laws – for example, </w:t>
      </w:r>
      <w:r w:rsidR="006F3382">
        <w:rPr>
          <w:rFonts w:cs="Arial"/>
          <w:sz w:val="22"/>
          <w:szCs w:val="22"/>
        </w:rPr>
        <w:t xml:space="preserve">by </w:t>
      </w:r>
      <w:r w:rsidR="00A60ADA">
        <w:rPr>
          <w:rFonts w:cs="Arial"/>
          <w:sz w:val="22"/>
          <w:szCs w:val="22"/>
        </w:rPr>
        <w:t xml:space="preserve">enabling a person to consider which jurisdiction to lodge their complaint. </w:t>
      </w:r>
    </w:p>
    <w:p w14:paraId="285EA1C3" w14:textId="77777777" w:rsidR="00206FA6" w:rsidRDefault="00C20AF6" w:rsidP="00B43BAB">
      <w:pPr>
        <w:pStyle w:val="VEOHRCBodytext"/>
        <w:keepNext w:val="0"/>
        <w:rPr>
          <w:rFonts w:cs="Arial"/>
          <w:sz w:val="22"/>
          <w:szCs w:val="22"/>
        </w:rPr>
      </w:pPr>
      <w:r>
        <w:rPr>
          <w:rFonts w:cs="Arial"/>
          <w:sz w:val="22"/>
          <w:szCs w:val="22"/>
        </w:rPr>
        <w:lastRenderedPageBreak/>
        <w:t>To the extent</w:t>
      </w:r>
      <w:r w:rsidR="006A368D">
        <w:rPr>
          <w:rFonts w:cs="Arial"/>
          <w:sz w:val="22"/>
          <w:szCs w:val="22"/>
        </w:rPr>
        <w:t xml:space="preserve"> </w:t>
      </w:r>
      <w:r>
        <w:rPr>
          <w:rFonts w:cs="Arial"/>
          <w:sz w:val="22"/>
          <w:szCs w:val="22"/>
        </w:rPr>
        <w:t>that</w:t>
      </w:r>
      <w:r w:rsidR="00990B9A">
        <w:rPr>
          <w:rFonts w:cs="Arial"/>
          <w:sz w:val="22"/>
          <w:szCs w:val="22"/>
        </w:rPr>
        <w:t xml:space="preserve"> there are concerns about </w:t>
      </w:r>
      <w:r w:rsidR="009659FF">
        <w:rPr>
          <w:rFonts w:cs="Arial"/>
          <w:sz w:val="22"/>
          <w:szCs w:val="22"/>
        </w:rPr>
        <w:t xml:space="preserve">the adequacy of protections for </w:t>
      </w:r>
      <w:r w:rsidR="00990B9A">
        <w:rPr>
          <w:rFonts w:cs="Arial"/>
          <w:sz w:val="22"/>
          <w:szCs w:val="22"/>
        </w:rPr>
        <w:t xml:space="preserve">religious freedoms, these should be addressed through a </w:t>
      </w:r>
      <w:r w:rsidR="009659FF">
        <w:rPr>
          <w:rFonts w:cs="Arial"/>
          <w:sz w:val="22"/>
          <w:szCs w:val="22"/>
        </w:rPr>
        <w:t xml:space="preserve">comprehensive </w:t>
      </w:r>
      <w:r w:rsidR="00990B9A">
        <w:rPr>
          <w:rFonts w:cs="Arial"/>
          <w:sz w:val="22"/>
          <w:szCs w:val="22"/>
        </w:rPr>
        <w:t xml:space="preserve">federal human rights </w:t>
      </w:r>
      <w:r w:rsidR="00981954">
        <w:rPr>
          <w:rFonts w:cs="Arial"/>
          <w:sz w:val="22"/>
          <w:szCs w:val="22"/>
        </w:rPr>
        <w:t>process</w:t>
      </w:r>
      <w:r w:rsidR="00B43BAB" w:rsidRPr="00347252">
        <w:rPr>
          <w:rFonts w:cs="Arial"/>
          <w:sz w:val="22"/>
          <w:szCs w:val="22"/>
        </w:rPr>
        <w:t>.</w:t>
      </w:r>
      <w:r w:rsidR="00B43BAB" w:rsidRPr="00347252">
        <w:rPr>
          <w:rStyle w:val="EndnoteReference"/>
          <w:rFonts w:cs="Arial"/>
          <w:sz w:val="22"/>
          <w:szCs w:val="22"/>
        </w:rPr>
        <w:endnoteReference w:id="12"/>
      </w:r>
      <w:r w:rsidR="00B43BAB" w:rsidRPr="00347252">
        <w:rPr>
          <w:rFonts w:cs="Arial"/>
          <w:sz w:val="22"/>
          <w:szCs w:val="22"/>
        </w:rPr>
        <w:t xml:space="preserve"> </w:t>
      </w:r>
      <w:r w:rsidR="001D13CA" w:rsidRPr="004E2B42">
        <w:rPr>
          <w:rFonts w:cs="Arial"/>
          <w:sz w:val="22"/>
          <w:szCs w:val="22"/>
        </w:rPr>
        <w:t xml:space="preserve">As discussed further below, the Commission does not support </w:t>
      </w:r>
      <w:r w:rsidR="008C4671" w:rsidRPr="004E2B42">
        <w:rPr>
          <w:rFonts w:cs="Arial"/>
          <w:sz w:val="22"/>
          <w:szCs w:val="22"/>
        </w:rPr>
        <w:t xml:space="preserve">provisions within the exposure draft </w:t>
      </w:r>
      <w:r w:rsidR="00720892" w:rsidRPr="004E2B42">
        <w:rPr>
          <w:rFonts w:cs="Arial"/>
          <w:sz w:val="22"/>
          <w:szCs w:val="22"/>
        </w:rPr>
        <w:t xml:space="preserve">(cl 41) </w:t>
      </w:r>
      <w:r w:rsidR="008C4671" w:rsidRPr="004E2B42">
        <w:rPr>
          <w:rFonts w:cs="Arial"/>
          <w:sz w:val="22"/>
          <w:szCs w:val="22"/>
        </w:rPr>
        <w:t xml:space="preserve">that </w:t>
      </w:r>
      <w:r w:rsidR="001D13CA" w:rsidRPr="004E2B42">
        <w:rPr>
          <w:rFonts w:cs="Arial"/>
          <w:sz w:val="22"/>
          <w:szCs w:val="22"/>
        </w:rPr>
        <w:t>override state and territory anti-discrimination provisions</w:t>
      </w:r>
      <w:r w:rsidR="008C4671" w:rsidRPr="004E2B42">
        <w:rPr>
          <w:rFonts w:cs="Arial"/>
          <w:sz w:val="22"/>
          <w:szCs w:val="22"/>
        </w:rPr>
        <w:t>, or undermine the sovereign</w:t>
      </w:r>
      <w:r w:rsidR="00720892" w:rsidRPr="004E2B42">
        <w:rPr>
          <w:rFonts w:cs="Arial"/>
          <w:sz w:val="22"/>
          <w:szCs w:val="22"/>
        </w:rPr>
        <w:t xml:space="preserve">ty of </w:t>
      </w:r>
      <w:r w:rsidR="008C4671" w:rsidRPr="004E2B42">
        <w:rPr>
          <w:rFonts w:cs="Arial"/>
          <w:sz w:val="22"/>
          <w:szCs w:val="22"/>
        </w:rPr>
        <w:t>state and territory governments to make laws.</w:t>
      </w:r>
    </w:p>
    <w:p w14:paraId="216E1F75" w14:textId="77777777" w:rsidR="005B5F9C" w:rsidRDefault="005B5F9C" w:rsidP="00206FA6">
      <w:pPr>
        <w:pStyle w:val="BodyText"/>
        <w:rPr>
          <w:b/>
        </w:rPr>
      </w:pPr>
    </w:p>
    <w:p w14:paraId="782F56F4" w14:textId="598A15AB" w:rsidR="00B43BAB" w:rsidRPr="00206FA6" w:rsidRDefault="007C0E81" w:rsidP="00206FA6">
      <w:pPr>
        <w:pStyle w:val="BodyText"/>
        <w:rPr>
          <w:b/>
        </w:rPr>
      </w:pPr>
      <w:r w:rsidRPr="00206FA6">
        <w:rPr>
          <w:b/>
        </w:rPr>
        <w:t>Statement</w:t>
      </w:r>
      <w:r w:rsidR="00944B52" w:rsidRPr="00206FA6">
        <w:rPr>
          <w:b/>
        </w:rPr>
        <w:t>s</w:t>
      </w:r>
      <w:r w:rsidRPr="00206FA6">
        <w:rPr>
          <w:b/>
        </w:rPr>
        <w:t xml:space="preserve"> of belief provisions privilege religious expression over</w:t>
      </w:r>
      <w:r w:rsidR="00A705FD" w:rsidRPr="00206FA6">
        <w:rPr>
          <w:b/>
        </w:rPr>
        <w:t xml:space="preserve"> </w:t>
      </w:r>
      <w:r w:rsidRPr="00206FA6">
        <w:rPr>
          <w:b/>
        </w:rPr>
        <w:t>discrimination protections</w:t>
      </w:r>
      <w:r w:rsidR="00A705FD" w:rsidRPr="00206FA6">
        <w:rPr>
          <w:b/>
        </w:rPr>
        <w:t xml:space="preserve"> </w:t>
      </w:r>
    </w:p>
    <w:p w14:paraId="0A1C3634" w14:textId="498EF216" w:rsidR="007C0E81" w:rsidRPr="00980402" w:rsidRDefault="007C0E81" w:rsidP="00B43BAB">
      <w:pPr>
        <w:pStyle w:val="VEOHRCBodytext"/>
        <w:keepNext w:val="0"/>
        <w:rPr>
          <w:rFonts w:cs="Arial"/>
          <w:sz w:val="22"/>
          <w:szCs w:val="22"/>
        </w:rPr>
      </w:pPr>
      <w:r w:rsidRPr="00980402">
        <w:rPr>
          <w:rFonts w:cs="Arial"/>
          <w:sz w:val="22"/>
          <w:szCs w:val="22"/>
        </w:rPr>
        <w:t xml:space="preserve">Clause 41(1) </w:t>
      </w:r>
      <w:r w:rsidR="0055214F">
        <w:rPr>
          <w:rFonts w:cs="Arial"/>
          <w:sz w:val="22"/>
          <w:szCs w:val="22"/>
        </w:rPr>
        <w:t xml:space="preserve">of the exposure draft </w:t>
      </w:r>
      <w:r w:rsidRPr="00980402">
        <w:rPr>
          <w:rFonts w:cs="Arial"/>
          <w:sz w:val="22"/>
          <w:szCs w:val="22"/>
        </w:rPr>
        <w:t xml:space="preserve">provides that </w:t>
      </w:r>
      <w:r w:rsidR="00B574E7">
        <w:rPr>
          <w:rFonts w:cs="Arial"/>
          <w:sz w:val="22"/>
          <w:szCs w:val="22"/>
        </w:rPr>
        <w:t>“</w:t>
      </w:r>
      <w:r w:rsidRPr="00980402">
        <w:rPr>
          <w:rFonts w:cs="Arial"/>
          <w:sz w:val="22"/>
          <w:szCs w:val="22"/>
        </w:rPr>
        <w:t>statements of belief” do not constitute discrimination for the purposes of anti-discrimination law. Clause 5 defines a statement of belief as where a statement:</w:t>
      </w:r>
    </w:p>
    <w:p w14:paraId="10651A85" w14:textId="72D69EA5" w:rsidR="007C0E81" w:rsidRPr="00980402" w:rsidRDefault="007C0E81" w:rsidP="007C0E81">
      <w:pPr>
        <w:pStyle w:val="VEOHRCBodytext"/>
        <w:keepNext w:val="0"/>
        <w:numPr>
          <w:ilvl w:val="0"/>
          <w:numId w:val="33"/>
        </w:numPr>
        <w:rPr>
          <w:rFonts w:cs="Arial"/>
          <w:sz w:val="22"/>
          <w:szCs w:val="22"/>
        </w:rPr>
      </w:pPr>
      <w:r w:rsidRPr="00980402">
        <w:rPr>
          <w:rFonts w:cs="Arial"/>
          <w:sz w:val="22"/>
          <w:szCs w:val="22"/>
        </w:rPr>
        <w:t>is of a religious belief held by a person; and</w:t>
      </w:r>
    </w:p>
    <w:p w14:paraId="2E910C84" w14:textId="6D8FA580" w:rsidR="007C0E81" w:rsidRPr="00980402" w:rsidRDefault="007C0E81" w:rsidP="007C0E81">
      <w:pPr>
        <w:pStyle w:val="VEOHRCBodytext"/>
        <w:keepNext w:val="0"/>
        <w:numPr>
          <w:ilvl w:val="0"/>
          <w:numId w:val="33"/>
        </w:numPr>
        <w:rPr>
          <w:rFonts w:cs="Arial"/>
          <w:sz w:val="22"/>
          <w:szCs w:val="22"/>
        </w:rPr>
      </w:pPr>
      <w:r w:rsidRPr="00980402">
        <w:rPr>
          <w:rFonts w:cs="Arial"/>
          <w:sz w:val="22"/>
          <w:szCs w:val="22"/>
        </w:rPr>
        <w:t>is made by the person in good faith; and</w:t>
      </w:r>
    </w:p>
    <w:p w14:paraId="3ACD1583" w14:textId="2527306C" w:rsidR="007C0E81" w:rsidRPr="00980402" w:rsidRDefault="007C0E81" w:rsidP="007C0E81">
      <w:pPr>
        <w:pStyle w:val="VEOHRCBodytext"/>
        <w:keepNext w:val="0"/>
        <w:numPr>
          <w:ilvl w:val="0"/>
          <w:numId w:val="33"/>
        </w:numPr>
        <w:rPr>
          <w:rFonts w:cs="Arial"/>
          <w:sz w:val="22"/>
          <w:szCs w:val="22"/>
        </w:rPr>
      </w:pPr>
      <w:r w:rsidRPr="00980402">
        <w:rPr>
          <w:rFonts w:cs="Arial"/>
          <w:sz w:val="22"/>
          <w:szCs w:val="22"/>
        </w:rPr>
        <w:t xml:space="preserve">is of a belief that may reasonably be regarded as being in accordance with the doctrines, tenets, beliefs or teachings of the religion. </w:t>
      </w:r>
    </w:p>
    <w:p w14:paraId="104B5DCC" w14:textId="3796B58C" w:rsidR="001F6CC7" w:rsidRPr="00980402" w:rsidRDefault="007C0E81" w:rsidP="001F6CC7">
      <w:pPr>
        <w:pStyle w:val="VEOHRCBodytext"/>
        <w:keepNext w:val="0"/>
        <w:rPr>
          <w:rFonts w:cs="Arial"/>
          <w:sz w:val="22"/>
          <w:szCs w:val="22"/>
        </w:rPr>
      </w:pPr>
      <w:r w:rsidRPr="00980402">
        <w:rPr>
          <w:rFonts w:cs="Arial"/>
          <w:sz w:val="22"/>
          <w:szCs w:val="22"/>
        </w:rPr>
        <w:t>Th</w:t>
      </w:r>
      <w:r w:rsidR="008C4671">
        <w:rPr>
          <w:rFonts w:cs="Arial"/>
          <w:sz w:val="22"/>
          <w:szCs w:val="22"/>
        </w:rPr>
        <w:t xml:space="preserve">is provision </w:t>
      </w:r>
      <w:r w:rsidR="002F5E93">
        <w:rPr>
          <w:rFonts w:cs="Arial"/>
          <w:sz w:val="22"/>
          <w:szCs w:val="22"/>
        </w:rPr>
        <w:t xml:space="preserve">also </w:t>
      </w:r>
      <w:r w:rsidR="00720892">
        <w:rPr>
          <w:rFonts w:cs="Arial"/>
          <w:sz w:val="22"/>
          <w:szCs w:val="22"/>
        </w:rPr>
        <w:t>applies to</w:t>
      </w:r>
      <w:r w:rsidR="008C4671">
        <w:rPr>
          <w:rFonts w:cs="Arial"/>
          <w:sz w:val="22"/>
          <w:szCs w:val="22"/>
        </w:rPr>
        <w:t xml:space="preserve"> </w:t>
      </w:r>
      <w:r w:rsidRPr="00980402">
        <w:rPr>
          <w:rFonts w:cs="Arial"/>
          <w:sz w:val="22"/>
          <w:szCs w:val="22"/>
        </w:rPr>
        <w:t xml:space="preserve">statements </w:t>
      </w:r>
      <w:r w:rsidR="008C4671">
        <w:rPr>
          <w:rFonts w:cs="Arial"/>
          <w:sz w:val="22"/>
          <w:szCs w:val="22"/>
        </w:rPr>
        <w:t>made by</w:t>
      </w:r>
      <w:r w:rsidRPr="00980402">
        <w:rPr>
          <w:rFonts w:cs="Arial"/>
          <w:sz w:val="22"/>
          <w:szCs w:val="22"/>
        </w:rPr>
        <w:t xml:space="preserve"> </w:t>
      </w:r>
      <w:r w:rsidRPr="00BE4C1C">
        <w:rPr>
          <w:rFonts w:cs="Arial"/>
          <w:sz w:val="22"/>
          <w:szCs w:val="22"/>
        </w:rPr>
        <w:t>non-religious</w:t>
      </w:r>
      <w:r w:rsidR="006F3382">
        <w:rPr>
          <w:rFonts w:cs="Arial"/>
          <w:sz w:val="22"/>
          <w:szCs w:val="22"/>
        </w:rPr>
        <w:t xml:space="preserve"> persons</w:t>
      </w:r>
      <w:r w:rsidRPr="00BE4C1C">
        <w:rPr>
          <w:rFonts w:cs="Arial"/>
          <w:sz w:val="22"/>
          <w:szCs w:val="22"/>
        </w:rPr>
        <w:t>, but</w:t>
      </w:r>
      <w:r w:rsidR="00C028A8">
        <w:rPr>
          <w:rFonts w:cs="Arial"/>
          <w:sz w:val="22"/>
          <w:szCs w:val="22"/>
        </w:rPr>
        <w:t xml:space="preserve"> </w:t>
      </w:r>
      <w:r w:rsidR="00A84705">
        <w:rPr>
          <w:rFonts w:cs="Arial"/>
          <w:sz w:val="22"/>
          <w:szCs w:val="22"/>
        </w:rPr>
        <w:t>requires</w:t>
      </w:r>
      <w:r w:rsidR="00C028A8">
        <w:rPr>
          <w:rFonts w:cs="Arial"/>
          <w:sz w:val="22"/>
          <w:szCs w:val="22"/>
        </w:rPr>
        <w:t xml:space="preserve"> that</w:t>
      </w:r>
      <w:r w:rsidRPr="00980402">
        <w:rPr>
          <w:rFonts w:cs="Arial"/>
          <w:sz w:val="22"/>
          <w:szCs w:val="22"/>
        </w:rPr>
        <w:t xml:space="preserve"> the statement must</w:t>
      </w:r>
      <w:r w:rsidR="00835409">
        <w:rPr>
          <w:rFonts w:cs="Arial"/>
          <w:sz w:val="22"/>
          <w:szCs w:val="22"/>
        </w:rPr>
        <w:t xml:space="preserve"> directly arise from t</w:t>
      </w:r>
      <w:r w:rsidR="00C028A8">
        <w:rPr>
          <w:rFonts w:cs="Arial"/>
          <w:sz w:val="22"/>
          <w:szCs w:val="22"/>
        </w:rPr>
        <w:t xml:space="preserve">he fact that the person does not hold a religious belief, and the statement must be </w:t>
      </w:r>
      <w:r w:rsidRPr="00C028A8">
        <w:rPr>
          <w:rFonts w:cs="Arial"/>
          <w:sz w:val="22"/>
          <w:szCs w:val="22"/>
        </w:rPr>
        <w:t>about religion</w:t>
      </w:r>
      <w:r w:rsidRPr="00980402">
        <w:rPr>
          <w:rFonts w:cs="Arial"/>
          <w:sz w:val="22"/>
          <w:szCs w:val="22"/>
        </w:rPr>
        <w:t>.</w:t>
      </w:r>
      <w:r w:rsidRPr="00980402">
        <w:rPr>
          <w:rStyle w:val="EndnoteReference"/>
          <w:rFonts w:cs="Arial"/>
          <w:sz w:val="22"/>
          <w:szCs w:val="22"/>
        </w:rPr>
        <w:endnoteReference w:id="13"/>
      </w:r>
      <w:r w:rsidR="008C4671">
        <w:rPr>
          <w:rFonts w:cs="Arial"/>
          <w:sz w:val="22"/>
          <w:szCs w:val="22"/>
        </w:rPr>
        <w:t xml:space="preserve"> </w:t>
      </w:r>
      <w:r w:rsidR="00290D28">
        <w:rPr>
          <w:rFonts w:cs="Arial"/>
          <w:sz w:val="22"/>
          <w:szCs w:val="22"/>
        </w:rPr>
        <w:t xml:space="preserve">Religious statements of belief, on the other hand, need only </w:t>
      </w:r>
      <w:r w:rsidR="00736F3E">
        <w:rPr>
          <w:rFonts w:cs="Arial"/>
          <w:sz w:val="22"/>
          <w:szCs w:val="22"/>
        </w:rPr>
        <w:t xml:space="preserve">‘be </w:t>
      </w:r>
      <w:r w:rsidR="00736F3E" w:rsidRPr="004E2B42">
        <w:rPr>
          <w:rFonts w:cs="Arial"/>
          <w:i/>
          <w:sz w:val="22"/>
          <w:szCs w:val="22"/>
        </w:rPr>
        <w:t>reasonably regarded</w:t>
      </w:r>
      <w:r w:rsidR="00736F3E">
        <w:rPr>
          <w:rFonts w:cs="Arial"/>
          <w:sz w:val="22"/>
          <w:szCs w:val="22"/>
        </w:rPr>
        <w:t xml:space="preserve"> as being in accordance with the doctrines, tenets, beliefs or teaching of the religion’</w:t>
      </w:r>
      <w:r w:rsidR="00CD4F8F">
        <w:rPr>
          <w:rFonts w:cs="Arial"/>
          <w:sz w:val="22"/>
          <w:szCs w:val="22"/>
        </w:rPr>
        <w:t xml:space="preserve">- a </w:t>
      </w:r>
      <w:r w:rsidR="00C41D2F">
        <w:rPr>
          <w:rFonts w:cs="Arial"/>
          <w:sz w:val="22"/>
          <w:szCs w:val="22"/>
        </w:rPr>
        <w:t>broader test</w:t>
      </w:r>
      <w:r w:rsidR="00A84705">
        <w:rPr>
          <w:rFonts w:cs="Arial"/>
          <w:sz w:val="22"/>
          <w:szCs w:val="22"/>
        </w:rPr>
        <w:t xml:space="preserve">, for example, </w:t>
      </w:r>
      <w:r w:rsidR="00C41D2F">
        <w:rPr>
          <w:rFonts w:cs="Arial"/>
          <w:sz w:val="22"/>
          <w:szCs w:val="22"/>
        </w:rPr>
        <w:t>than</w:t>
      </w:r>
      <w:r w:rsidR="00A84705">
        <w:rPr>
          <w:rFonts w:cs="Arial"/>
          <w:sz w:val="22"/>
          <w:szCs w:val="22"/>
        </w:rPr>
        <w:t xml:space="preserve"> those</w:t>
      </w:r>
      <w:r w:rsidR="00C41D2F">
        <w:rPr>
          <w:rFonts w:cs="Arial"/>
          <w:sz w:val="22"/>
          <w:szCs w:val="22"/>
        </w:rPr>
        <w:t xml:space="preserve"> afforded to religious bodies under other religious </w:t>
      </w:r>
      <w:r w:rsidR="008879DE">
        <w:rPr>
          <w:rFonts w:cs="Arial"/>
          <w:sz w:val="22"/>
          <w:szCs w:val="22"/>
        </w:rPr>
        <w:t>exemptions</w:t>
      </w:r>
      <w:r w:rsidR="00CD4F8F">
        <w:rPr>
          <w:rFonts w:cs="Arial"/>
          <w:sz w:val="22"/>
          <w:szCs w:val="22"/>
        </w:rPr>
        <w:t>.</w:t>
      </w:r>
      <w:r w:rsidR="00C41D2F">
        <w:rPr>
          <w:rStyle w:val="EndnoteReference"/>
          <w:rFonts w:cs="Arial"/>
          <w:sz w:val="22"/>
          <w:szCs w:val="22"/>
        </w:rPr>
        <w:endnoteReference w:id="14"/>
      </w:r>
      <w:r w:rsidR="00CD4F8F">
        <w:rPr>
          <w:rFonts w:cs="Arial"/>
          <w:sz w:val="22"/>
          <w:szCs w:val="22"/>
        </w:rPr>
        <w:t xml:space="preserve"> </w:t>
      </w:r>
      <w:r w:rsidR="00A84705" w:rsidRPr="00980402">
        <w:rPr>
          <w:rFonts w:cs="Arial"/>
          <w:sz w:val="22"/>
          <w:szCs w:val="22"/>
        </w:rPr>
        <w:t xml:space="preserve">This means the scope of protected speech for non-religious </w:t>
      </w:r>
      <w:r w:rsidR="00091467">
        <w:rPr>
          <w:rFonts w:cs="Arial"/>
          <w:sz w:val="22"/>
          <w:szCs w:val="22"/>
        </w:rPr>
        <w:t>statements</w:t>
      </w:r>
      <w:r w:rsidR="00A84705" w:rsidRPr="00980402">
        <w:rPr>
          <w:rFonts w:cs="Arial"/>
          <w:sz w:val="22"/>
          <w:szCs w:val="22"/>
        </w:rPr>
        <w:t xml:space="preserve"> </w:t>
      </w:r>
      <w:r w:rsidR="00A84705">
        <w:rPr>
          <w:rFonts w:cs="Arial"/>
          <w:sz w:val="22"/>
          <w:szCs w:val="22"/>
        </w:rPr>
        <w:t xml:space="preserve">is narrower </w:t>
      </w:r>
      <w:r w:rsidR="00A84705" w:rsidRPr="00980402">
        <w:rPr>
          <w:rFonts w:cs="Arial"/>
          <w:sz w:val="22"/>
          <w:szCs w:val="22"/>
        </w:rPr>
        <w:t>than religious</w:t>
      </w:r>
      <w:r w:rsidR="00091467">
        <w:rPr>
          <w:rFonts w:cs="Arial"/>
          <w:sz w:val="22"/>
          <w:szCs w:val="22"/>
        </w:rPr>
        <w:t>ly motivated statements.</w:t>
      </w:r>
    </w:p>
    <w:p w14:paraId="4B03CA52" w14:textId="79B8279E" w:rsidR="00657857" w:rsidRPr="00980402" w:rsidRDefault="001F6CC7" w:rsidP="00657857">
      <w:pPr>
        <w:pStyle w:val="VEOHRCBodytext"/>
        <w:keepNext w:val="0"/>
        <w:rPr>
          <w:rFonts w:cs="Arial"/>
          <w:sz w:val="22"/>
          <w:szCs w:val="22"/>
        </w:rPr>
      </w:pPr>
      <w:r w:rsidRPr="00980402">
        <w:rPr>
          <w:rFonts w:cs="Arial"/>
          <w:sz w:val="22"/>
          <w:szCs w:val="22"/>
        </w:rPr>
        <w:t xml:space="preserve">The Commission has concerns that this </w:t>
      </w:r>
      <w:r w:rsidR="00657857" w:rsidRPr="00980402">
        <w:rPr>
          <w:rFonts w:cs="Arial"/>
          <w:sz w:val="22"/>
          <w:szCs w:val="22"/>
        </w:rPr>
        <w:t xml:space="preserve">provision fails to appropriately balance the right to religious expression </w:t>
      </w:r>
      <w:r w:rsidR="006F3382">
        <w:rPr>
          <w:rFonts w:cs="Arial"/>
          <w:sz w:val="22"/>
          <w:szCs w:val="22"/>
        </w:rPr>
        <w:t xml:space="preserve">with </w:t>
      </w:r>
      <w:r w:rsidR="00657857" w:rsidRPr="00980402">
        <w:rPr>
          <w:rFonts w:cs="Arial"/>
          <w:sz w:val="22"/>
          <w:szCs w:val="22"/>
        </w:rPr>
        <w:t>the right to be free from discrimination. This balancing act is a feature of modern human rights law</w:t>
      </w:r>
      <w:r w:rsidR="008E6115">
        <w:rPr>
          <w:rFonts w:cs="Arial"/>
          <w:sz w:val="22"/>
          <w:szCs w:val="22"/>
        </w:rPr>
        <w:t xml:space="preserve">. </w:t>
      </w:r>
      <w:r w:rsidR="00657857" w:rsidRPr="00980402">
        <w:rPr>
          <w:rFonts w:cs="Arial"/>
          <w:sz w:val="22"/>
          <w:szCs w:val="22"/>
        </w:rPr>
        <w:t xml:space="preserve">For </w:t>
      </w:r>
      <w:r w:rsidR="00062877" w:rsidRPr="00980402">
        <w:rPr>
          <w:rFonts w:cs="Arial"/>
          <w:sz w:val="22"/>
          <w:szCs w:val="22"/>
        </w:rPr>
        <w:t>instance,</w:t>
      </w:r>
      <w:r w:rsidR="00657857" w:rsidRPr="00980402">
        <w:rPr>
          <w:rFonts w:cs="Arial"/>
          <w:sz w:val="22"/>
          <w:szCs w:val="22"/>
        </w:rPr>
        <w:t xml:space="preserve"> </w:t>
      </w:r>
      <w:r w:rsidR="00062877" w:rsidRPr="00980402">
        <w:rPr>
          <w:rFonts w:cs="Arial"/>
          <w:sz w:val="22"/>
          <w:szCs w:val="22"/>
        </w:rPr>
        <w:t>A</w:t>
      </w:r>
      <w:r w:rsidR="00657857" w:rsidRPr="00980402">
        <w:rPr>
          <w:rFonts w:cs="Arial"/>
          <w:sz w:val="22"/>
          <w:szCs w:val="22"/>
        </w:rPr>
        <w:t>rticle 18</w:t>
      </w:r>
      <w:r w:rsidR="00C13979">
        <w:rPr>
          <w:rFonts w:cs="Arial"/>
          <w:sz w:val="22"/>
          <w:szCs w:val="22"/>
        </w:rPr>
        <w:t>(</w:t>
      </w:r>
      <w:r w:rsidR="00657857" w:rsidRPr="00980402">
        <w:rPr>
          <w:rFonts w:cs="Arial"/>
          <w:sz w:val="22"/>
          <w:szCs w:val="22"/>
        </w:rPr>
        <w:t>3</w:t>
      </w:r>
      <w:r w:rsidR="00C13979">
        <w:rPr>
          <w:rFonts w:cs="Arial"/>
          <w:sz w:val="22"/>
          <w:szCs w:val="22"/>
        </w:rPr>
        <w:t>)</w:t>
      </w:r>
      <w:r w:rsidR="00657857" w:rsidRPr="00980402">
        <w:rPr>
          <w:rFonts w:cs="Arial"/>
          <w:sz w:val="22"/>
          <w:szCs w:val="22"/>
        </w:rPr>
        <w:t xml:space="preserve"> of the </w:t>
      </w:r>
      <w:r w:rsidR="00657857" w:rsidRPr="00980402">
        <w:rPr>
          <w:rFonts w:cs="Arial"/>
          <w:i/>
          <w:sz w:val="22"/>
          <w:szCs w:val="22"/>
        </w:rPr>
        <w:t>International Covenant on Civil and Political Rights</w:t>
      </w:r>
      <w:r w:rsidR="00657857" w:rsidRPr="00980402">
        <w:rPr>
          <w:rFonts w:cs="Arial"/>
          <w:sz w:val="22"/>
          <w:szCs w:val="22"/>
        </w:rPr>
        <w:t xml:space="preserve"> provides:</w:t>
      </w:r>
    </w:p>
    <w:p w14:paraId="6B759AAE" w14:textId="1E64E59A" w:rsidR="00657857" w:rsidRPr="00980402" w:rsidRDefault="00657857" w:rsidP="00657857">
      <w:pPr>
        <w:pStyle w:val="BodyText"/>
        <w:ind w:left="720"/>
        <w:rPr>
          <w:rFonts w:cs="Arial"/>
          <w:szCs w:val="22"/>
        </w:rPr>
      </w:pPr>
      <w:r w:rsidRPr="00980402">
        <w:rPr>
          <w:rFonts w:cs="Arial"/>
          <w:szCs w:val="22"/>
        </w:rPr>
        <w:t>‘Freedom to manifest one's religion or beliefs may be subject only to such limitations as are prescribed by law and are necessary to protect public safety, order, health, or morals or the fundamental rights and freedoms of others.’</w:t>
      </w:r>
    </w:p>
    <w:p w14:paraId="7FBE49E7" w14:textId="77777777" w:rsidR="00BB5331" w:rsidRPr="00980402" w:rsidRDefault="00657857" w:rsidP="001F6CC7">
      <w:pPr>
        <w:pStyle w:val="VEOHRCBodytext"/>
        <w:keepNext w:val="0"/>
        <w:rPr>
          <w:rFonts w:cs="Arial"/>
          <w:sz w:val="22"/>
          <w:szCs w:val="22"/>
        </w:rPr>
      </w:pPr>
      <w:r w:rsidRPr="00980402">
        <w:rPr>
          <w:rFonts w:cs="Arial"/>
          <w:sz w:val="22"/>
          <w:szCs w:val="22"/>
        </w:rPr>
        <w:t>However, by carving out special exceptions for religious belief, this provision privileges religious expression over the right to be free from discrimination.</w:t>
      </w:r>
      <w:r w:rsidR="00125596" w:rsidRPr="00980402">
        <w:rPr>
          <w:rStyle w:val="EndnoteReference"/>
          <w:rFonts w:cs="Arial"/>
          <w:sz w:val="22"/>
          <w:szCs w:val="22"/>
        </w:rPr>
        <w:endnoteReference w:id="15"/>
      </w:r>
      <w:r w:rsidRPr="00980402">
        <w:rPr>
          <w:rFonts w:cs="Arial"/>
          <w:sz w:val="22"/>
          <w:szCs w:val="22"/>
        </w:rPr>
        <w:t xml:space="preserve"> </w:t>
      </w:r>
      <w:r w:rsidR="00125596" w:rsidRPr="00980402">
        <w:rPr>
          <w:rFonts w:cs="Arial"/>
          <w:sz w:val="22"/>
          <w:szCs w:val="22"/>
        </w:rPr>
        <w:t xml:space="preserve">This imbalance is two-fold. First, it makes some groups, </w:t>
      </w:r>
      <w:r w:rsidR="008E6115">
        <w:rPr>
          <w:rFonts w:cs="Arial"/>
          <w:sz w:val="22"/>
          <w:szCs w:val="22"/>
        </w:rPr>
        <w:t>such as</w:t>
      </w:r>
      <w:r w:rsidR="00125596" w:rsidRPr="00980402">
        <w:rPr>
          <w:rFonts w:cs="Arial"/>
          <w:sz w:val="22"/>
          <w:szCs w:val="22"/>
        </w:rPr>
        <w:t xml:space="preserve"> LGBTI</w:t>
      </w:r>
      <w:r w:rsidR="008C4671">
        <w:rPr>
          <w:rFonts w:cs="Arial"/>
          <w:sz w:val="22"/>
          <w:szCs w:val="22"/>
        </w:rPr>
        <w:t>Q</w:t>
      </w:r>
      <w:r w:rsidR="00125596" w:rsidRPr="00980402">
        <w:rPr>
          <w:rFonts w:cs="Arial"/>
          <w:sz w:val="22"/>
          <w:szCs w:val="22"/>
        </w:rPr>
        <w:t xml:space="preserve"> </w:t>
      </w:r>
      <w:r w:rsidR="00CB346E">
        <w:rPr>
          <w:rFonts w:cs="Arial"/>
          <w:sz w:val="22"/>
          <w:szCs w:val="22"/>
        </w:rPr>
        <w:t>people</w:t>
      </w:r>
      <w:r w:rsidR="00125596" w:rsidRPr="00980402">
        <w:rPr>
          <w:rFonts w:cs="Arial"/>
          <w:sz w:val="22"/>
          <w:szCs w:val="22"/>
        </w:rPr>
        <w:t>, more vulnerable to religiously motivated hate speech by reducing protections for them.</w:t>
      </w:r>
      <w:r w:rsidR="0000454D">
        <w:rPr>
          <w:rFonts w:cs="Arial"/>
          <w:sz w:val="22"/>
          <w:szCs w:val="22"/>
        </w:rPr>
        <w:t xml:space="preserve"> </w:t>
      </w:r>
      <w:r w:rsidR="006F3382">
        <w:rPr>
          <w:rFonts w:cs="Arial"/>
          <w:sz w:val="22"/>
          <w:szCs w:val="22"/>
        </w:rPr>
        <w:t>For example, the exposure draft gives licence to the sort of harmful statements which were made towards the LGBTIQ community during the Same-Sex Marriage Survey process.</w:t>
      </w:r>
      <w:r w:rsidR="006F3382">
        <w:rPr>
          <w:rStyle w:val="EndnoteReference"/>
          <w:rFonts w:cs="Arial"/>
          <w:sz w:val="22"/>
          <w:szCs w:val="22"/>
        </w:rPr>
        <w:endnoteReference w:id="16"/>
      </w:r>
      <w:r w:rsidR="006F3382" w:rsidRPr="00980402">
        <w:rPr>
          <w:rFonts w:cs="Arial"/>
          <w:sz w:val="22"/>
          <w:szCs w:val="22"/>
        </w:rPr>
        <w:t xml:space="preserve"> </w:t>
      </w:r>
      <w:r w:rsidR="00125596" w:rsidRPr="00980402">
        <w:rPr>
          <w:rFonts w:cs="Arial"/>
          <w:sz w:val="22"/>
          <w:szCs w:val="22"/>
        </w:rPr>
        <w:t xml:space="preserve">Second, it </w:t>
      </w:r>
      <w:r w:rsidR="0055214F">
        <w:rPr>
          <w:rFonts w:cs="Arial"/>
          <w:sz w:val="22"/>
          <w:szCs w:val="22"/>
        </w:rPr>
        <w:t xml:space="preserve">may </w:t>
      </w:r>
      <w:r w:rsidR="00125596" w:rsidRPr="00980402">
        <w:rPr>
          <w:rFonts w:cs="Arial"/>
          <w:sz w:val="22"/>
          <w:szCs w:val="22"/>
        </w:rPr>
        <w:t xml:space="preserve">undermine equality of participation in public </w:t>
      </w:r>
      <w:r w:rsidR="00CD4F8F">
        <w:rPr>
          <w:rFonts w:cs="Arial"/>
          <w:sz w:val="22"/>
          <w:szCs w:val="22"/>
        </w:rPr>
        <w:t xml:space="preserve">and political </w:t>
      </w:r>
      <w:r w:rsidR="00125596" w:rsidRPr="00980402">
        <w:rPr>
          <w:rFonts w:cs="Arial"/>
          <w:sz w:val="22"/>
          <w:szCs w:val="22"/>
        </w:rPr>
        <w:t>debates by granting religious communities greater levity for expressing their views than other communities that do not enjoy the protections in clause 41(1).</w:t>
      </w:r>
      <w:r w:rsidRPr="00980402">
        <w:rPr>
          <w:rFonts w:cs="Arial"/>
          <w:sz w:val="22"/>
          <w:szCs w:val="22"/>
        </w:rPr>
        <w:t xml:space="preserve"> </w:t>
      </w:r>
    </w:p>
    <w:p w14:paraId="28CC2DF6" w14:textId="77777777" w:rsidR="005B5F9C" w:rsidRDefault="00B946BE" w:rsidP="001F6CC7">
      <w:pPr>
        <w:pStyle w:val="VEOHRCBodytext"/>
        <w:keepNext w:val="0"/>
        <w:rPr>
          <w:rFonts w:cs="Arial"/>
          <w:sz w:val="22"/>
          <w:szCs w:val="22"/>
        </w:rPr>
      </w:pPr>
      <w:r w:rsidRPr="00980402">
        <w:rPr>
          <w:rFonts w:cs="Arial"/>
          <w:sz w:val="22"/>
          <w:szCs w:val="22"/>
        </w:rPr>
        <w:t xml:space="preserve">There are exceptions provided in clause 41(2) of </w:t>
      </w:r>
      <w:r w:rsidR="008C4671">
        <w:rPr>
          <w:rFonts w:cs="Arial"/>
          <w:sz w:val="22"/>
          <w:szCs w:val="22"/>
        </w:rPr>
        <w:t>the exposure draft</w:t>
      </w:r>
      <w:r w:rsidRPr="00980402">
        <w:rPr>
          <w:rFonts w:cs="Arial"/>
          <w:sz w:val="22"/>
          <w:szCs w:val="22"/>
        </w:rPr>
        <w:t xml:space="preserve"> where a statement is malicious, would or is likely to harass, vilify or incite hatred or violence towards another person or group</w:t>
      </w:r>
      <w:r w:rsidR="00BB5331" w:rsidRPr="00980402">
        <w:rPr>
          <w:rFonts w:cs="Arial"/>
          <w:sz w:val="22"/>
          <w:szCs w:val="22"/>
        </w:rPr>
        <w:t>, or would counsel, promote, encourage or urge conduct that would constitute a serious offence.</w:t>
      </w:r>
      <w:r w:rsidR="00BB5331" w:rsidRPr="00980402">
        <w:rPr>
          <w:rStyle w:val="EndnoteReference"/>
          <w:rFonts w:cs="Arial"/>
          <w:sz w:val="22"/>
          <w:szCs w:val="22"/>
        </w:rPr>
        <w:endnoteReference w:id="17"/>
      </w:r>
      <w:r w:rsidR="00BB5331" w:rsidRPr="00980402">
        <w:rPr>
          <w:rFonts w:cs="Arial"/>
          <w:sz w:val="22"/>
          <w:szCs w:val="22"/>
        </w:rPr>
        <w:t xml:space="preserve"> However it is unclear wha</w:t>
      </w:r>
      <w:r w:rsidR="008E6115">
        <w:rPr>
          <w:rFonts w:cs="Arial"/>
          <w:sz w:val="22"/>
          <w:szCs w:val="22"/>
        </w:rPr>
        <w:t>t</w:t>
      </w:r>
      <w:r w:rsidR="00BB5331" w:rsidRPr="00980402">
        <w:rPr>
          <w:rFonts w:cs="Arial"/>
          <w:sz w:val="22"/>
          <w:szCs w:val="22"/>
        </w:rPr>
        <w:t xml:space="preserve"> statements will meet this threshold</w:t>
      </w:r>
      <w:r w:rsidR="00290D28">
        <w:rPr>
          <w:rFonts w:cs="Arial"/>
          <w:sz w:val="22"/>
          <w:szCs w:val="22"/>
        </w:rPr>
        <w:t>.</w:t>
      </w:r>
      <w:r w:rsidR="00CD4F8F">
        <w:rPr>
          <w:rFonts w:cs="Arial"/>
          <w:sz w:val="22"/>
          <w:szCs w:val="22"/>
        </w:rPr>
        <w:t xml:space="preserve"> Our preliminary view is that clause 41(1)</w:t>
      </w:r>
      <w:r w:rsidR="00290D28">
        <w:rPr>
          <w:rFonts w:cs="Arial"/>
          <w:sz w:val="22"/>
          <w:szCs w:val="22"/>
        </w:rPr>
        <w:t xml:space="preserve"> </w:t>
      </w:r>
      <w:r w:rsidR="00990B9A">
        <w:rPr>
          <w:rFonts w:cs="Arial"/>
          <w:sz w:val="22"/>
          <w:szCs w:val="22"/>
        </w:rPr>
        <w:t>arguably</w:t>
      </w:r>
      <w:r w:rsidR="00290D28">
        <w:rPr>
          <w:rFonts w:cs="Arial"/>
          <w:sz w:val="22"/>
          <w:szCs w:val="22"/>
        </w:rPr>
        <w:t xml:space="preserve"> set</w:t>
      </w:r>
      <w:r w:rsidR="00990B9A">
        <w:rPr>
          <w:rFonts w:cs="Arial"/>
          <w:sz w:val="22"/>
          <w:szCs w:val="22"/>
        </w:rPr>
        <w:t>s</w:t>
      </w:r>
      <w:r w:rsidR="00290D28">
        <w:rPr>
          <w:rFonts w:cs="Arial"/>
          <w:sz w:val="22"/>
          <w:szCs w:val="22"/>
        </w:rPr>
        <w:t xml:space="preserve"> a higher threshold than</w:t>
      </w:r>
      <w:r w:rsidR="00C13979">
        <w:rPr>
          <w:rFonts w:cs="Arial"/>
          <w:sz w:val="22"/>
          <w:szCs w:val="22"/>
        </w:rPr>
        <w:t xml:space="preserve"> the test in </w:t>
      </w:r>
      <w:r w:rsidR="00290D28">
        <w:rPr>
          <w:rFonts w:cs="Arial"/>
          <w:sz w:val="22"/>
          <w:szCs w:val="22"/>
        </w:rPr>
        <w:t>Victoria’s Racial and Religious Tolerance Act, which</w:t>
      </w:r>
      <w:r w:rsidR="00DF3694">
        <w:rPr>
          <w:rFonts w:cs="Arial"/>
          <w:sz w:val="22"/>
          <w:szCs w:val="22"/>
        </w:rPr>
        <w:t xml:space="preserve"> </w:t>
      </w:r>
      <w:r w:rsidR="00A705FD">
        <w:rPr>
          <w:rFonts w:cs="Arial"/>
          <w:sz w:val="22"/>
          <w:szCs w:val="22"/>
        </w:rPr>
        <w:t xml:space="preserve">from our experience will </w:t>
      </w:r>
      <w:r w:rsidR="00290D28">
        <w:rPr>
          <w:rFonts w:cs="Arial"/>
          <w:sz w:val="22"/>
          <w:szCs w:val="22"/>
        </w:rPr>
        <w:t>make it difficult for</w:t>
      </w:r>
      <w:r w:rsidR="00DF3694">
        <w:rPr>
          <w:rFonts w:cs="Arial"/>
          <w:sz w:val="22"/>
          <w:szCs w:val="22"/>
        </w:rPr>
        <w:t xml:space="preserve"> individuals to</w:t>
      </w:r>
      <w:r w:rsidR="00290D28">
        <w:rPr>
          <w:rFonts w:cs="Arial"/>
          <w:sz w:val="22"/>
          <w:szCs w:val="22"/>
        </w:rPr>
        <w:t xml:space="preserve"> </w:t>
      </w:r>
      <w:r w:rsidR="00DF3694">
        <w:rPr>
          <w:rFonts w:cs="Arial"/>
          <w:sz w:val="22"/>
          <w:szCs w:val="22"/>
        </w:rPr>
        <w:t>rely on th</w:t>
      </w:r>
      <w:r w:rsidR="008E6115">
        <w:rPr>
          <w:rFonts w:cs="Arial"/>
          <w:sz w:val="22"/>
          <w:szCs w:val="22"/>
        </w:rPr>
        <w:t>is exception</w:t>
      </w:r>
      <w:r w:rsidR="00290D28">
        <w:rPr>
          <w:rFonts w:cs="Arial"/>
          <w:sz w:val="22"/>
          <w:szCs w:val="22"/>
        </w:rPr>
        <w:t xml:space="preserve">.  </w:t>
      </w:r>
    </w:p>
    <w:p w14:paraId="139592BC" w14:textId="3C0C069E" w:rsidR="00AB641B" w:rsidRPr="00980402" w:rsidRDefault="00AB641B" w:rsidP="001F6CC7">
      <w:pPr>
        <w:pStyle w:val="VEOHRCBodytext"/>
        <w:keepNext w:val="0"/>
        <w:rPr>
          <w:rFonts w:cs="Arial"/>
          <w:sz w:val="22"/>
          <w:szCs w:val="22"/>
        </w:rPr>
      </w:pPr>
    </w:p>
    <w:tbl>
      <w:tblPr>
        <w:tblStyle w:val="CustomTablebreakoutbox"/>
        <w:tblW w:w="0" w:type="auto"/>
        <w:tblLook w:val="04A0" w:firstRow="1" w:lastRow="0" w:firstColumn="1" w:lastColumn="0" w:noHBand="0" w:noVBand="1"/>
      </w:tblPr>
      <w:tblGrid>
        <w:gridCol w:w="9061"/>
      </w:tblGrid>
      <w:tr w:rsidR="008961C3" w:rsidRPr="00980402" w14:paraId="4ABEE594" w14:textId="77777777" w:rsidTr="00EE7C8C">
        <w:tc>
          <w:tcPr>
            <w:tcW w:w="9061" w:type="dxa"/>
          </w:tcPr>
          <w:p w14:paraId="7D8B6E7C" w14:textId="77777777" w:rsidR="003C623E" w:rsidRPr="00980402" w:rsidRDefault="003C623E" w:rsidP="005B5F9C">
            <w:pPr>
              <w:pStyle w:val="Heading4"/>
              <w:keepNext w:val="0"/>
              <w:outlineLvl w:val="3"/>
              <w:rPr>
                <w:rFonts w:cs="Arial"/>
                <w:b/>
                <w:i w:val="0"/>
                <w:szCs w:val="22"/>
              </w:rPr>
            </w:pPr>
            <w:r w:rsidRPr="00980402">
              <w:rPr>
                <w:rFonts w:cs="Arial"/>
                <w:b/>
                <w:i w:val="0"/>
                <w:szCs w:val="22"/>
              </w:rPr>
              <w:t>What are the potential harms?</w:t>
            </w:r>
          </w:p>
          <w:p w14:paraId="691A736B" w14:textId="37762540" w:rsidR="003C623E" w:rsidRPr="00980402" w:rsidRDefault="003C623E" w:rsidP="005B5F9C">
            <w:pPr>
              <w:pStyle w:val="BodyText"/>
              <w:rPr>
                <w:rFonts w:cs="Arial"/>
                <w:szCs w:val="22"/>
              </w:rPr>
            </w:pPr>
            <w:r w:rsidRPr="00980402">
              <w:rPr>
                <w:rFonts w:cs="Arial"/>
                <w:szCs w:val="22"/>
              </w:rPr>
              <w:t>Clause 41 provides that statements of belief are protected from anti-discrimination law</w:t>
            </w:r>
            <w:r>
              <w:rPr>
                <w:rFonts w:cs="Arial"/>
                <w:szCs w:val="22"/>
              </w:rPr>
              <w:t xml:space="preserve">. In practice, this can mean </w:t>
            </w:r>
            <w:r w:rsidR="002446BF">
              <w:rPr>
                <w:rFonts w:cs="Arial"/>
                <w:szCs w:val="22"/>
              </w:rPr>
              <w:t xml:space="preserve">religious </w:t>
            </w:r>
            <w:r>
              <w:rPr>
                <w:rFonts w:cs="Arial"/>
                <w:szCs w:val="22"/>
              </w:rPr>
              <w:t xml:space="preserve">people making statements of belief </w:t>
            </w:r>
            <w:r w:rsidR="002446BF">
              <w:rPr>
                <w:rFonts w:cs="Arial"/>
                <w:szCs w:val="22"/>
              </w:rPr>
              <w:t>may</w:t>
            </w:r>
            <w:r>
              <w:rPr>
                <w:rFonts w:cs="Arial"/>
                <w:szCs w:val="22"/>
              </w:rPr>
              <w:t xml:space="preserve"> be exempt from complying with other laws that </w:t>
            </w:r>
            <w:r w:rsidR="009D78E4">
              <w:rPr>
                <w:rFonts w:cs="Arial"/>
                <w:szCs w:val="22"/>
              </w:rPr>
              <w:t xml:space="preserve">non-religious </w:t>
            </w:r>
            <w:r>
              <w:rPr>
                <w:rFonts w:cs="Arial"/>
                <w:szCs w:val="22"/>
              </w:rPr>
              <w:t>people must comply with</w:t>
            </w:r>
            <w:r w:rsidR="009D78E4">
              <w:rPr>
                <w:rFonts w:cs="Arial"/>
                <w:szCs w:val="22"/>
              </w:rPr>
              <w:t xml:space="preserve">. This provision is likely to </w:t>
            </w:r>
            <w:r>
              <w:rPr>
                <w:rFonts w:cs="Arial"/>
                <w:szCs w:val="22"/>
              </w:rPr>
              <w:t>giv</w:t>
            </w:r>
            <w:r w:rsidR="009D78E4">
              <w:rPr>
                <w:rFonts w:cs="Arial"/>
                <w:szCs w:val="22"/>
              </w:rPr>
              <w:t>e</w:t>
            </w:r>
            <w:r>
              <w:rPr>
                <w:rFonts w:cs="Arial"/>
                <w:szCs w:val="22"/>
              </w:rPr>
              <w:t xml:space="preserve"> licence to harmful and offensive statements in </w:t>
            </w:r>
            <w:r w:rsidR="009D78E4">
              <w:rPr>
                <w:rFonts w:cs="Arial"/>
                <w:szCs w:val="22"/>
              </w:rPr>
              <w:t xml:space="preserve">areas </w:t>
            </w:r>
            <w:r>
              <w:rPr>
                <w:rFonts w:cs="Arial"/>
                <w:szCs w:val="22"/>
              </w:rPr>
              <w:t>of public life.</w:t>
            </w:r>
            <w:r w:rsidRPr="00980402">
              <w:rPr>
                <w:rFonts w:cs="Arial"/>
                <w:szCs w:val="22"/>
              </w:rPr>
              <w:t xml:space="preserve"> Examples of speech that may be permissible under this Bill include:</w:t>
            </w:r>
          </w:p>
          <w:p w14:paraId="36CAD120" w14:textId="61157733" w:rsidR="003C623E" w:rsidRPr="00980402" w:rsidRDefault="003C623E" w:rsidP="005B5F9C">
            <w:pPr>
              <w:pStyle w:val="ListBullet"/>
              <w:numPr>
                <w:ilvl w:val="0"/>
                <w:numId w:val="37"/>
              </w:numPr>
              <w:spacing w:before="120" w:after="120" w:line="23" w:lineRule="atLeast"/>
              <w:rPr>
                <w:rFonts w:cs="Arial"/>
                <w:szCs w:val="22"/>
              </w:rPr>
            </w:pPr>
            <w:r w:rsidRPr="00980402">
              <w:rPr>
                <w:rFonts w:cs="Arial"/>
                <w:szCs w:val="22"/>
              </w:rPr>
              <w:lastRenderedPageBreak/>
              <w:t>Homophobia, Bi-Phobia, Transphobia, Intersex-phobia – we know the high rates of abuse that the LGBTI</w:t>
            </w:r>
            <w:r>
              <w:rPr>
                <w:rFonts w:cs="Arial"/>
                <w:szCs w:val="22"/>
              </w:rPr>
              <w:t>Q</w:t>
            </w:r>
            <w:r w:rsidRPr="00980402">
              <w:rPr>
                <w:rFonts w:cs="Arial"/>
                <w:szCs w:val="22"/>
              </w:rPr>
              <w:t xml:space="preserve"> communit</w:t>
            </w:r>
            <w:r>
              <w:rPr>
                <w:rFonts w:cs="Arial"/>
                <w:szCs w:val="22"/>
              </w:rPr>
              <w:t>ies</w:t>
            </w:r>
            <w:r w:rsidRPr="00980402">
              <w:rPr>
                <w:rFonts w:cs="Arial"/>
                <w:szCs w:val="22"/>
              </w:rPr>
              <w:t xml:space="preserve"> receive </w:t>
            </w:r>
            <w:r w:rsidR="009C2734" w:rsidRPr="00980402">
              <w:rPr>
                <w:rFonts w:cs="Arial"/>
                <w:szCs w:val="22"/>
              </w:rPr>
              <w:t>online</w:t>
            </w:r>
            <w:r w:rsidR="00682CCE">
              <w:rPr>
                <w:rFonts w:cs="Arial"/>
                <w:szCs w:val="22"/>
              </w:rPr>
              <w:t xml:space="preserve"> and the harm it causes.</w:t>
            </w:r>
            <w:r w:rsidRPr="00980402">
              <w:rPr>
                <w:rStyle w:val="EndnoteReference"/>
                <w:rFonts w:cs="Arial"/>
                <w:szCs w:val="22"/>
              </w:rPr>
              <w:endnoteReference w:id="18"/>
            </w:r>
            <w:r w:rsidRPr="00980402">
              <w:rPr>
                <w:rFonts w:cs="Arial"/>
                <w:szCs w:val="22"/>
              </w:rPr>
              <w:t xml:space="preserve">  </w:t>
            </w:r>
            <w:r>
              <w:rPr>
                <w:rFonts w:cs="Arial"/>
                <w:szCs w:val="22"/>
              </w:rPr>
              <w:t xml:space="preserve">Clause 41 may permit a range of hateful conduct aimed at </w:t>
            </w:r>
            <w:r w:rsidRPr="00980402">
              <w:rPr>
                <w:rFonts w:cs="Arial"/>
                <w:szCs w:val="22"/>
              </w:rPr>
              <w:t>LGBTI</w:t>
            </w:r>
            <w:r>
              <w:rPr>
                <w:rFonts w:cs="Arial"/>
                <w:szCs w:val="22"/>
              </w:rPr>
              <w:t>Q people</w:t>
            </w:r>
            <w:r w:rsidRPr="00980402">
              <w:rPr>
                <w:rFonts w:cs="Arial"/>
                <w:szCs w:val="22"/>
              </w:rPr>
              <w:t xml:space="preserve"> </w:t>
            </w:r>
            <w:r>
              <w:rPr>
                <w:rFonts w:cs="Arial"/>
                <w:szCs w:val="22"/>
              </w:rPr>
              <w:t xml:space="preserve">and communities causing significant </w:t>
            </w:r>
            <w:r w:rsidRPr="00980402">
              <w:rPr>
                <w:rFonts w:cs="Arial"/>
                <w:szCs w:val="22"/>
              </w:rPr>
              <w:t>harm, such as being told they will go to hell for their sins.</w:t>
            </w:r>
          </w:p>
          <w:p w14:paraId="6F3CC9F2" w14:textId="276475F1" w:rsidR="008961C3" w:rsidRDefault="003C623E" w:rsidP="005B5F9C">
            <w:pPr>
              <w:pStyle w:val="Heading4"/>
              <w:keepNext w:val="0"/>
              <w:numPr>
                <w:ilvl w:val="0"/>
                <w:numId w:val="37"/>
              </w:numPr>
              <w:outlineLvl w:val="3"/>
              <w:rPr>
                <w:rFonts w:cs="Arial"/>
                <w:szCs w:val="22"/>
              </w:rPr>
            </w:pPr>
            <w:r w:rsidRPr="003C623E">
              <w:rPr>
                <w:rFonts w:cs="Arial"/>
                <w:i w:val="0"/>
                <w:szCs w:val="22"/>
              </w:rPr>
              <w:t>Misogynistic abuse – 47 per cent of women aged 18-24 have experienced gendered online abuse and harassment.</w:t>
            </w:r>
            <w:r w:rsidRPr="003C623E">
              <w:rPr>
                <w:rStyle w:val="EndnoteReference"/>
                <w:rFonts w:cs="Arial"/>
                <w:i w:val="0"/>
                <w:szCs w:val="22"/>
              </w:rPr>
              <w:endnoteReference w:id="19"/>
            </w:r>
            <w:r w:rsidRPr="003C623E">
              <w:rPr>
                <w:rFonts w:cs="Arial"/>
                <w:i w:val="0"/>
                <w:szCs w:val="22"/>
              </w:rPr>
              <w:t xml:space="preserve"> This</w:t>
            </w:r>
            <w:r w:rsidR="00D33B90">
              <w:rPr>
                <w:rFonts w:cs="Arial"/>
                <w:i w:val="0"/>
                <w:szCs w:val="22"/>
              </w:rPr>
              <w:t xml:space="preserve"> provision may contribute to, or exacerbate, misogynistic abuse under the guise of religious </w:t>
            </w:r>
            <w:r w:rsidR="000A1A1E">
              <w:rPr>
                <w:rFonts w:cs="Arial"/>
                <w:i w:val="0"/>
                <w:szCs w:val="22"/>
              </w:rPr>
              <w:t>expressions</w:t>
            </w:r>
            <w:r w:rsidR="00D33B90">
              <w:rPr>
                <w:rFonts w:cs="Arial"/>
                <w:i w:val="0"/>
                <w:szCs w:val="22"/>
              </w:rPr>
              <w:t>. For example, by emboldening some people to character</w:t>
            </w:r>
            <w:r w:rsidR="000A1A1E">
              <w:rPr>
                <w:rFonts w:cs="Arial"/>
                <w:i w:val="0"/>
                <w:szCs w:val="22"/>
              </w:rPr>
              <w:t>ise</w:t>
            </w:r>
            <w:r w:rsidRPr="003C623E">
              <w:rPr>
                <w:rFonts w:cs="Arial"/>
                <w:i w:val="0"/>
                <w:szCs w:val="22"/>
              </w:rPr>
              <w:t xml:space="preserve"> survivors of sexual assault or rape as being blame-worthy for not being sufficiently modest or chase.</w:t>
            </w:r>
            <w:r w:rsidR="00D33B90" w:rsidRPr="00980402" w:rsidDel="00FF77F2">
              <w:rPr>
                <w:rFonts w:cs="Arial"/>
                <w:szCs w:val="22"/>
              </w:rPr>
              <w:t xml:space="preserve"> </w:t>
            </w:r>
          </w:p>
          <w:p w14:paraId="17E68391" w14:textId="7DDA4717" w:rsidR="00D33B90" w:rsidRDefault="00D33B90" w:rsidP="005B5F9C">
            <w:r>
              <w:t>The Commission draws attention to the interaction of this provision with clause 8(3), which may prevent conduct rules that regulate such statements amongst co-workers outside of work hours. These statements may be more harmful where an affected person must share a workspace with someone who engages in hate speech.</w:t>
            </w:r>
          </w:p>
          <w:p w14:paraId="27282923" w14:textId="796E4F56" w:rsidR="00D33B90" w:rsidRPr="00D33B90" w:rsidRDefault="00D33B90" w:rsidP="00D33B90"/>
        </w:tc>
      </w:tr>
    </w:tbl>
    <w:p w14:paraId="187A2BA5" w14:textId="481D023A" w:rsidR="008961C3" w:rsidRPr="00980402" w:rsidRDefault="008961C3" w:rsidP="008961C3">
      <w:pPr>
        <w:pStyle w:val="BodyText"/>
        <w:rPr>
          <w:rFonts w:cs="Arial"/>
          <w:szCs w:val="22"/>
          <w:lang w:eastAsia="en-AU"/>
        </w:rPr>
      </w:pPr>
    </w:p>
    <w:p w14:paraId="2A43DFE7" w14:textId="39802FB4" w:rsidR="001438B4" w:rsidRPr="00B574E7" w:rsidRDefault="001438B4" w:rsidP="00B93BDC">
      <w:pPr>
        <w:pStyle w:val="VEOHRCBodytext"/>
        <w:keepNext w:val="0"/>
        <w:rPr>
          <w:rFonts w:cs="Arial"/>
          <w:sz w:val="22"/>
          <w:szCs w:val="22"/>
        </w:rPr>
      </w:pPr>
      <w:r w:rsidRPr="00B574E7">
        <w:rPr>
          <w:rFonts w:cs="Arial"/>
          <w:sz w:val="22"/>
          <w:szCs w:val="22"/>
        </w:rPr>
        <w:t xml:space="preserve">Clause 41(1)(a) and 41(1)(b) of the exposure draft overrides </w:t>
      </w:r>
      <w:r w:rsidR="009D78E4">
        <w:rPr>
          <w:rFonts w:cs="Arial"/>
          <w:sz w:val="22"/>
          <w:szCs w:val="22"/>
        </w:rPr>
        <w:t>s</w:t>
      </w:r>
      <w:r w:rsidRPr="00B574E7">
        <w:rPr>
          <w:rFonts w:cs="Arial"/>
          <w:sz w:val="22"/>
          <w:szCs w:val="22"/>
        </w:rPr>
        <w:t xml:space="preserve">tate and </w:t>
      </w:r>
      <w:r w:rsidR="009D78E4">
        <w:rPr>
          <w:rFonts w:cs="Arial"/>
          <w:sz w:val="22"/>
          <w:szCs w:val="22"/>
        </w:rPr>
        <w:t>t</w:t>
      </w:r>
      <w:r w:rsidRPr="00B574E7">
        <w:rPr>
          <w:rFonts w:cs="Arial"/>
          <w:sz w:val="22"/>
          <w:szCs w:val="22"/>
        </w:rPr>
        <w:t>erritory anti-discrimination law,</w:t>
      </w:r>
      <w:r w:rsidRPr="00B574E7">
        <w:rPr>
          <w:rStyle w:val="EndnoteReference"/>
          <w:rFonts w:cs="Arial"/>
          <w:sz w:val="22"/>
          <w:szCs w:val="22"/>
        </w:rPr>
        <w:endnoteReference w:id="20"/>
      </w:r>
      <w:r w:rsidRPr="00B574E7">
        <w:rPr>
          <w:rFonts w:cs="Arial"/>
          <w:sz w:val="22"/>
          <w:szCs w:val="22"/>
        </w:rPr>
        <w:t xml:space="preserve"> preventing individuals from making complaints about certain ‘statements of belief’ (for example, offensive, humiliating, or insulting statements aimed at LGBTIQ individuals or communities) which would otherwise be unlawful in some jurisdictions. Such a provision is unpreceded in anti-discrimination law and has the effect of preventing </w:t>
      </w:r>
      <w:r w:rsidR="00A84705">
        <w:rPr>
          <w:rFonts w:cs="Arial"/>
          <w:sz w:val="22"/>
          <w:szCs w:val="22"/>
        </w:rPr>
        <w:t>f</w:t>
      </w:r>
      <w:r w:rsidRPr="00B574E7">
        <w:rPr>
          <w:rFonts w:cs="Arial"/>
          <w:sz w:val="22"/>
          <w:szCs w:val="22"/>
        </w:rPr>
        <w:t xml:space="preserve">ederal and </w:t>
      </w:r>
      <w:r w:rsidR="00A84705">
        <w:rPr>
          <w:rFonts w:cs="Arial"/>
          <w:sz w:val="22"/>
          <w:szCs w:val="22"/>
        </w:rPr>
        <w:t>s</w:t>
      </w:r>
      <w:r w:rsidRPr="00B574E7">
        <w:rPr>
          <w:rFonts w:cs="Arial"/>
          <w:sz w:val="22"/>
          <w:szCs w:val="22"/>
        </w:rPr>
        <w:t xml:space="preserve">tate and </w:t>
      </w:r>
      <w:r w:rsidR="00A84705">
        <w:rPr>
          <w:rFonts w:cs="Arial"/>
          <w:sz w:val="22"/>
          <w:szCs w:val="22"/>
        </w:rPr>
        <w:t>t</w:t>
      </w:r>
      <w:r w:rsidRPr="00B574E7">
        <w:rPr>
          <w:rFonts w:cs="Arial"/>
          <w:sz w:val="22"/>
          <w:szCs w:val="22"/>
        </w:rPr>
        <w:t>erritory anti-discrimination laws from operating concurrently, as is the conventional approach.</w:t>
      </w:r>
    </w:p>
    <w:p w14:paraId="08F16CC0" w14:textId="38E0D80A" w:rsidR="001438B4" w:rsidRDefault="001438B4" w:rsidP="00B93BDC">
      <w:pPr>
        <w:pStyle w:val="VEOHRCBodytext"/>
        <w:keepNext w:val="0"/>
        <w:rPr>
          <w:rFonts w:cs="Arial"/>
          <w:sz w:val="22"/>
          <w:szCs w:val="22"/>
        </w:rPr>
      </w:pPr>
      <w:r w:rsidRPr="00B574E7">
        <w:rPr>
          <w:rFonts w:cs="Arial"/>
          <w:sz w:val="22"/>
          <w:szCs w:val="22"/>
        </w:rPr>
        <w:t xml:space="preserve">By expressly overriding existing anti-discrimination laws, </w:t>
      </w:r>
      <w:r w:rsidR="00C13979">
        <w:rPr>
          <w:rFonts w:cs="Arial"/>
          <w:sz w:val="22"/>
          <w:szCs w:val="22"/>
        </w:rPr>
        <w:t>clause 41</w:t>
      </w:r>
      <w:r w:rsidRPr="00B574E7">
        <w:rPr>
          <w:rFonts w:cs="Arial"/>
          <w:sz w:val="22"/>
          <w:szCs w:val="22"/>
        </w:rPr>
        <w:t xml:space="preserve"> limits the sovereignty of state and territory governments to receive complaints under existing anti-discrimination laws or to strengthen their anti-discrimination laws in relation to hate speech. For example, the Commission is acutely aware of the pervasive problem of hate speech and community calls to reform legislation in Victoria to include protections for other groups, particularly women, LGBTIQ people and people with disabilities, as well as to amend the incitement threshold test.</w:t>
      </w:r>
      <w:r w:rsidRPr="00B574E7">
        <w:rPr>
          <w:rStyle w:val="EndnoteReference"/>
          <w:rFonts w:cs="Arial"/>
          <w:sz w:val="22"/>
          <w:szCs w:val="22"/>
        </w:rPr>
        <w:endnoteReference w:id="21"/>
      </w:r>
      <w:r w:rsidRPr="00B574E7">
        <w:rPr>
          <w:rFonts w:cs="Arial"/>
          <w:sz w:val="22"/>
          <w:szCs w:val="22"/>
        </w:rPr>
        <w:t xml:space="preserve"> Efforts to reform the Victorian Equal Opportunity Act </w:t>
      </w:r>
      <w:r w:rsidR="009D78E4">
        <w:rPr>
          <w:rFonts w:cs="Arial"/>
          <w:sz w:val="22"/>
          <w:szCs w:val="22"/>
        </w:rPr>
        <w:t xml:space="preserve">to protect Victorians from hate speech </w:t>
      </w:r>
      <w:r w:rsidRPr="00B574E7">
        <w:rPr>
          <w:rFonts w:cs="Arial"/>
          <w:sz w:val="22"/>
          <w:szCs w:val="22"/>
        </w:rPr>
        <w:t>could be undermined by this override provision.</w:t>
      </w:r>
      <w:r w:rsidRPr="00B574E7">
        <w:rPr>
          <w:rStyle w:val="EndnoteReference"/>
          <w:rFonts w:cs="Arial"/>
          <w:sz w:val="22"/>
          <w:szCs w:val="22"/>
        </w:rPr>
        <w:t xml:space="preserve"> </w:t>
      </w:r>
      <w:r w:rsidRPr="00B574E7">
        <w:rPr>
          <w:rStyle w:val="EndnoteReference"/>
          <w:rFonts w:cs="Arial"/>
          <w:sz w:val="22"/>
          <w:szCs w:val="22"/>
        </w:rPr>
        <w:endnoteReference w:id="22"/>
      </w:r>
      <w:r w:rsidRPr="00B574E7">
        <w:rPr>
          <w:rFonts w:cs="Arial"/>
          <w:sz w:val="22"/>
          <w:szCs w:val="22"/>
        </w:rPr>
        <w:t xml:space="preserve">  </w:t>
      </w:r>
    </w:p>
    <w:p w14:paraId="1113C9BF" w14:textId="5BC82CA7" w:rsidR="000A2EA7" w:rsidRPr="00B574E7" w:rsidRDefault="00773509" w:rsidP="00B93BDC">
      <w:pPr>
        <w:pStyle w:val="VEOHRCBodytext"/>
        <w:keepNext w:val="0"/>
        <w:rPr>
          <w:rFonts w:cs="Arial"/>
          <w:sz w:val="22"/>
          <w:szCs w:val="22"/>
        </w:rPr>
      </w:pPr>
      <w:r>
        <w:rPr>
          <w:rFonts w:cs="Arial"/>
          <w:sz w:val="22"/>
          <w:szCs w:val="22"/>
        </w:rPr>
        <w:t>This clause may also create confusion and legal complexity when relied on as a defence to claims of discrimination under state and territory law</w:t>
      </w:r>
      <w:r w:rsidR="00FE7FC2">
        <w:rPr>
          <w:rFonts w:cs="Arial"/>
          <w:sz w:val="22"/>
          <w:szCs w:val="22"/>
        </w:rPr>
        <w:t>, with the effect of deterring complainants</w:t>
      </w:r>
      <w:r>
        <w:rPr>
          <w:rFonts w:cs="Arial"/>
          <w:sz w:val="22"/>
          <w:szCs w:val="22"/>
        </w:rPr>
        <w:t>.</w:t>
      </w:r>
      <w:r>
        <w:rPr>
          <w:rStyle w:val="EndnoteReference"/>
          <w:rFonts w:cs="Arial"/>
          <w:sz w:val="22"/>
          <w:szCs w:val="22"/>
        </w:rPr>
        <w:endnoteReference w:id="23"/>
      </w:r>
    </w:p>
    <w:p w14:paraId="30E5AE55" w14:textId="39E07DAA" w:rsidR="001438B4" w:rsidRPr="00980402" w:rsidRDefault="001438B4" w:rsidP="001438B4">
      <w:pPr>
        <w:pStyle w:val="VEOHRCBodytext"/>
        <w:keepNext w:val="0"/>
        <w:rPr>
          <w:rFonts w:cs="Arial"/>
          <w:sz w:val="22"/>
          <w:szCs w:val="22"/>
        </w:rPr>
      </w:pPr>
      <w:r w:rsidRPr="00B574E7">
        <w:rPr>
          <w:rFonts w:cs="Arial"/>
          <w:sz w:val="22"/>
          <w:szCs w:val="22"/>
        </w:rPr>
        <w:t>Clause 41 should be removed from the exposure draft. Doing so will enable</w:t>
      </w:r>
      <w:r w:rsidR="000A1A1E">
        <w:rPr>
          <w:rFonts w:cs="Arial"/>
          <w:sz w:val="22"/>
          <w:szCs w:val="22"/>
        </w:rPr>
        <w:t xml:space="preserve"> federal</w:t>
      </w:r>
      <w:r w:rsidRPr="00B574E7">
        <w:rPr>
          <w:rFonts w:cs="Arial"/>
          <w:sz w:val="22"/>
          <w:szCs w:val="22"/>
        </w:rPr>
        <w:t xml:space="preserve"> and </w:t>
      </w:r>
      <w:r w:rsidR="00A84705">
        <w:rPr>
          <w:rFonts w:cs="Arial"/>
          <w:sz w:val="22"/>
          <w:szCs w:val="22"/>
        </w:rPr>
        <w:t>s</w:t>
      </w:r>
      <w:r w:rsidRPr="00B574E7">
        <w:rPr>
          <w:rFonts w:cs="Arial"/>
          <w:sz w:val="22"/>
          <w:szCs w:val="22"/>
        </w:rPr>
        <w:t xml:space="preserve">tate and </w:t>
      </w:r>
      <w:r w:rsidR="00A84705">
        <w:rPr>
          <w:rFonts w:cs="Arial"/>
          <w:sz w:val="22"/>
          <w:szCs w:val="22"/>
        </w:rPr>
        <w:t>t</w:t>
      </w:r>
      <w:r w:rsidRPr="00B574E7">
        <w:rPr>
          <w:rFonts w:cs="Arial"/>
          <w:sz w:val="22"/>
          <w:szCs w:val="22"/>
        </w:rPr>
        <w:t xml:space="preserve">erritory anti-discrimination law to operate concurrently and enable aggrieved persons to continue to access redress under state and territory law. This approach brings anti-discrimination protections for religious communities into line with protections for other attributes, where </w:t>
      </w:r>
      <w:r w:rsidR="000A1A1E">
        <w:rPr>
          <w:rFonts w:cs="Arial"/>
          <w:sz w:val="22"/>
          <w:szCs w:val="22"/>
        </w:rPr>
        <w:t>federal</w:t>
      </w:r>
      <w:r w:rsidRPr="00B574E7">
        <w:rPr>
          <w:rFonts w:cs="Arial"/>
          <w:sz w:val="22"/>
          <w:szCs w:val="22"/>
        </w:rPr>
        <w:t xml:space="preserve"> law operates concurrently with </w:t>
      </w:r>
      <w:r w:rsidR="00A84705">
        <w:rPr>
          <w:rFonts w:cs="Arial"/>
          <w:sz w:val="22"/>
          <w:szCs w:val="22"/>
        </w:rPr>
        <w:t>s</w:t>
      </w:r>
      <w:r w:rsidRPr="00B574E7">
        <w:rPr>
          <w:rFonts w:cs="Arial"/>
          <w:sz w:val="22"/>
          <w:szCs w:val="22"/>
        </w:rPr>
        <w:t xml:space="preserve">tate and </w:t>
      </w:r>
      <w:r w:rsidR="00A84705">
        <w:rPr>
          <w:rFonts w:cs="Arial"/>
          <w:sz w:val="22"/>
          <w:szCs w:val="22"/>
        </w:rPr>
        <w:t>t</w:t>
      </w:r>
      <w:r w:rsidRPr="00B574E7">
        <w:rPr>
          <w:rFonts w:cs="Arial"/>
          <w:sz w:val="22"/>
          <w:szCs w:val="22"/>
        </w:rPr>
        <w:t>erritory law anti-discrimination frameworks.</w:t>
      </w:r>
      <w:r w:rsidRPr="00B574E7">
        <w:rPr>
          <w:rStyle w:val="EndnoteReference"/>
          <w:rFonts w:cs="Arial"/>
          <w:sz w:val="22"/>
          <w:szCs w:val="22"/>
        </w:rPr>
        <w:endnoteReference w:id="24"/>
      </w:r>
    </w:p>
    <w:tbl>
      <w:tblPr>
        <w:tblStyle w:val="CustomTablerecommendationsbox"/>
        <w:tblW w:w="0" w:type="auto"/>
        <w:tblLook w:val="04A0" w:firstRow="1" w:lastRow="0" w:firstColumn="1" w:lastColumn="0" w:noHBand="0" w:noVBand="1"/>
      </w:tblPr>
      <w:tblGrid>
        <w:gridCol w:w="9061"/>
      </w:tblGrid>
      <w:tr w:rsidR="0048537C" w:rsidRPr="00980402" w14:paraId="1603A80C" w14:textId="77777777" w:rsidTr="00B93BDC">
        <w:tc>
          <w:tcPr>
            <w:tcW w:w="9061" w:type="dxa"/>
            <w:hideMark/>
          </w:tcPr>
          <w:p w14:paraId="6AE738C0" w14:textId="17D9C097" w:rsidR="0048537C" w:rsidRPr="00980402" w:rsidRDefault="0048537C" w:rsidP="0048537C">
            <w:pPr>
              <w:pStyle w:val="Heading4"/>
              <w:outlineLvl w:val="3"/>
              <w:rPr>
                <w:rFonts w:eastAsia="Times New Roman" w:cs="Arial"/>
                <w:b/>
                <w:i w:val="0"/>
                <w:szCs w:val="22"/>
              </w:rPr>
            </w:pPr>
            <w:r w:rsidRPr="00980402">
              <w:rPr>
                <w:rFonts w:cs="Arial"/>
                <w:b/>
                <w:i w:val="0"/>
                <w:szCs w:val="22"/>
              </w:rPr>
              <w:t xml:space="preserve">Recommendation </w:t>
            </w:r>
            <w:r w:rsidR="00981954">
              <w:rPr>
                <w:rFonts w:cs="Arial"/>
                <w:b/>
                <w:i w:val="0"/>
                <w:szCs w:val="22"/>
              </w:rPr>
              <w:t>1</w:t>
            </w:r>
          </w:p>
          <w:p w14:paraId="43790D65" w14:textId="486D22EB" w:rsidR="0048537C" w:rsidRPr="00835409" w:rsidRDefault="00D54424" w:rsidP="00835409">
            <w:pPr>
              <w:pStyle w:val="BodyText"/>
            </w:pPr>
            <w:r w:rsidRPr="00980402">
              <w:t>The Attorney-General should remove clause 41</w:t>
            </w:r>
            <w:r>
              <w:t>, dealing with discriminatory statements of belie</w:t>
            </w:r>
            <w:r w:rsidR="00735CD1">
              <w:t>f</w:t>
            </w:r>
            <w:r>
              <w:t>,</w:t>
            </w:r>
            <w:r w:rsidRPr="00980402">
              <w:t xml:space="preserve"> from the </w:t>
            </w:r>
            <w:r w:rsidRPr="00980402">
              <w:rPr>
                <w:i/>
              </w:rPr>
              <w:t>Religious Discrimination Bill</w:t>
            </w:r>
            <w:r>
              <w:rPr>
                <w:i/>
              </w:rPr>
              <w:t xml:space="preserve"> 2019 </w:t>
            </w:r>
            <w:r w:rsidRPr="004E2B42">
              <w:t>(</w:t>
            </w:r>
            <w:r>
              <w:t>Cth)</w:t>
            </w:r>
            <w:r w:rsidRPr="00980402">
              <w:t>.</w:t>
            </w:r>
          </w:p>
        </w:tc>
      </w:tr>
    </w:tbl>
    <w:p w14:paraId="69C14079" w14:textId="0419EDBE" w:rsidR="00773509" w:rsidRPr="00980402" w:rsidRDefault="00773509" w:rsidP="00B93BDC">
      <w:pPr>
        <w:pStyle w:val="BodyText"/>
        <w:rPr>
          <w:rFonts w:cs="Arial"/>
          <w:szCs w:val="22"/>
          <w:lang w:eastAsia="en-AU"/>
        </w:rPr>
      </w:pPr>
    </w:p>
    <w:p w14:paraId="6AB90855" w14:textId="77777777" w:rsidR="0048537C" w:rsidRPr="00B574E7" w:rsidRDefault="0048537C" w:rsidP="00B93BDC">
      <w:pPr>
        <w:pStyle w:val="VEOHRCBodytext"/>
        <w:keepNext w:val="0"/>
        <w:rPr>
          <w:rFonts w:cs="Arial"/>
          <w:b/>
          <w:sz w:val="22"/>
          <w:szCs w:val="22"/>
        </w:rPr>
      </w:pPr>
      <w:r w:rsidRPr="00B574E7">
        <w:rPr>
          <w:rFonts w:cs="Arial"/>
          <w:b/>
          <w:sz w:val="22"/>
          <w:szCs w:val="22"/>
        </w:rPr>
        <w:t>Conduct rules do not strike an appropriate balance and introduce unnecessary complexity</w:t>
      </w:r>
    </w:p>
    <w:p w14:paraId="5781A2C2" w14:textId="7D289F8D" w:rsidR="0048537C" w:rsidRPr="00B574E7" w:rsidRDefault="0048537C" w:rsidP="00B93BDC">
      <w:pPr>
        <w:pStyle w:val="VEOHRCBodytext"/>
        <w:keepNext w:val="0"/>
        <w:rPr>
          <w:rFonts w:cs="Arial"/>
          <w:sz w:val="22"/>
          <w:szCs w:val="22"/>
        </w:rPr>
      </w:pPr>
      <w:r w:rsidRPr="00B574E7">
        <w:rPr>
          <w:rFonts w:cs="Arial"/>
          <w:sz w:val="22"/>
          <w:szCs w:val="22"/>
        </w:rPr>
        <w:t xml:space="preserve">While the Commission supports clauses 8(1) and 8(2), which reflect conventional direct and indirect discrimination protections, we have concerns about the introduction of employer conduct rules in clause 8(3) to 8(6) which deem certain employee conduct rules to be unreasonable for large employers and in relation to conscientious objections by health </w:t>
      </w:r>
      <w:r w:rsidR="00C13979">
        <w:rPr>
          <w:rFonts w:cs="Arial"/>
          <w:sz w:val="22"/>
          <w:szCs w:val="22"/>
        </w:rPr>
        <w:t>practitioners</w:t>
      </w:r>
      <w:r w:rsidRPr="00B574E7">
        <w:rPr>
          <w:rFonts w:cs="Arial"/>
          <w:sz w:val="22"/>
          <w:szCs w:val="22"/>
        </w:rPr>
        <w:t xml:space="preserve">. </w:t>
      </w:r>
    </w:p>
    <w:p w14:paraId="234DCC50" w14:textId="77777777" w:rsidR="0048537C" w:rsidRPr="00B574E7" w:rsidRDefault="0048537C" w:rsidP="00B93BDC">
      <w:pPr>
        <w:pStyle w:val="VEOHRCBodytext"/>
        <w:keepNext w:val="0"/>
        <w:rPr>
          <w:rFonts w:cs="Arial"/>
          <w:i/>
          <w:sz w:val="22"/>
          <w:szCs w:val="22"/>
        </w:rPr>
      </w:pPr>
      <w:r w:rsidRPr="00B574E7">
        <w:rPr>
          <w:rFonts w:cs="Arial"/>
          <w:i/>
          <w:sz w:val="22"/>
          <w:szCs w:val="22"/>
        </w:rPr>
        <w:t>Conduct rules regarding statement of belief</w:t>
      </w:r>
    </w:p>
    <w:p w14:paraId="0ECBEAAE" w14:textId="7A56DE47" w:rsidR="001438B4" w:rsidRPr="00B574E7" w:rsidRDefault="001438B4" w:rsidP="001438B4">
      <w:pPr>
        <w:pStyle w:val="VEOHRCBodytext"/>
        <w:keepNext w:val="0"/>
        <w:rPr>
          <w:rFonts w:cs="Arial"/>
          <w:sz w:val="22"/>
          <w:szCs w:val="22"/>
        </w:rPr>
      </w:pPr>
      <w:r w:rsidRPr="00B574E7">
        <w:rPr>
          <w:rFonts w:cs="Arial"/>
          <w:sz w:val="22"/>
          <w:szCs w:val="22"/>
        </w:rPr>
        <w:t>Clause 8(3) provides that large private employers (those with greater than $50 million annual revenue) that impose or propose to impose employee conduct rules restricting employee statement</w:t>
      </w:r>
      <w:r w:rsidR="009D78E4">
        <w:rPr>
          <w:rFonts w:cs="Arial"/>
          <w:sz w:val="22"/>
          <w:szCs w:val="22"/>
        </w:rPr>
        <w:t>s</w:t>
      </w:r>
      <w:r w:rsidRPr="00B574E7">
        <w:rPr>
          <w:rFonts w:cs="Arial"/>
          <w:sz w:val="22"/>
          <w:szCs w:val="22"/>
        </w:rPr>
        <w:t xml:space="preserve"> of belief outside of work hours, will be considered unreasonable, unless compliance with the code is proved necessary to avoid unjustifiable financial hardship. This provision prevents </w:t>
      </w:r>
      <w:r w:rsidRPr="00B574E7">
        <w:rPr>
          <w:rFonts w:cs="Arial"/>
          <w:sz w:val="22"/>
          <w:szCs w:val="22"/>
        </w:rPr>
        <w:lastRenderedPageBreak/>
        <w:t xml:space="preserve">the consideration of all the relevant circumstances of the case (as set out in cl 8(2)) in determining whether the application of the code is </w:t>
      </w:r>
      <w:r w:rsidR="009D78E4">
        <w:rPr>
          <w:rFonts w:cs="Arial"/>
          <w:sz w:val="22"/>
          <w:szCs w:val="22"/>
        </w:rPr>
        <w:t>un</w:t>
      </w:r>
      <w:r w:rsidRPr="00B574E7">
        <w:rPr>
          <w:rFonts w:cs="Arial"/>
          <w:sz w:val="22"/>
          <w:szCs w:val="22"/>
        </w:rPr>
        <w:t>reasonable</w:t>
      </w:r>
      <w:r w:rsidR="009D78E4">
        <w:rPr>
          <w:rFonts w:cs="Arial"/>
          <w:sz w:val="22"/>
          <w:szCs w:val="22"/>
        </w:rPr>
        <w:t xml:space="preserve"> and constitutes indirect discrimination</w:t>
      </w:r>
      <w:r w:rsidRPr="00B574E7">
        <w:rPr>
          <w:rFonts w:cs="Arial"/>
          <w:sz w:val="22"/>
          <w:szCs w:val="22"/>
        </w:rPr>
        <w:t xml:space="preserve">. This would preclude, for example, the consideration of non-financial harm caused by employee statements.  </w:t>
      </w:r>
    </w:p>
    <w:p w14:paraId="7ABF26B9" w14:textId="4C533CC8" w:rsidR="0048537C" w:rsidRPr="00B574E7" w:rsidRDefault="0048537C" w:rsidP="00B93BDC">
      <w:pPr>
        <w:pStyle w:val="VEOHRCBodytext"/>
        <w:keepNext w:val="0"/>
        <w:rPr>
          <w:rFonts w:cs="Arial"/>
          <w:sz w:val="22"/>
          <w:szCs w:val="22"/>
        </w:rPr>
      </w:pPr>
      <w:r w:rsidRPr="00B574E7">
        <w:rPr>
          <w:rFonts w:cs="Arial"/>
          <w:sz w:val="22"/>
          <w:szCs w:val="22"/>
        </w:rPr>
        <w:t>In practice, this means that large employers will have limited ability to make rules to restrict their employees</w:t>
      </w:r>
      <w:r w:rsidR="00DE2969">
        <w:rPr>
          <w:rFonts w:cs="Arial"/>
          <w:sz w:val="22"/>
          <w:szCs w:val="22"/>
        </w:rPr>
        <w:t>’</w:t>
      </w:r>
      <w:r w:rsidRPr="00B574E7">
        <w:rPr>
          <w:rFonts w:cs="Arial"/>
          <w:sz w:val="22"/>
          <w:szCs w:val="22"/>
        </w:rPr>
        <w:t xml:space="preserve"> expression of views that are religiously-based (but not other views unrelated to religion) outside of work, even where those views are contrary to the employer’s values or mission and are harmful to the employer’s reputation or to other employees, customers or members of the public. Further, it may also be difficult for employers to assess and prove unjustifiable hardship in the abstract, before the harm has occurred. </w:t>
      </w:r>
    </w:p>
    <w:p w14:paraId="123D737B" w14:textId="654BA80E" w:rsidR="0048537C" w:rsidRPr="00B574E7" w:rsidRDefault="0048537C" w:rsidP="00B93BDC">
      <w:pPr>
        <w:pStyle w:val="VEOHRCBodytext"/>
        <w:keepNext w:val="0"/>
        <w:rPr>
          <w:rFonts w:cs="Arial"/>
          <w:sz w:val="22"/>
          <w:szCs w:val="22"/>
        </w:rPr>
      </w:pPr>
      <w:r w:rsidRPr="00B574E7">
        <w:rPr>
          <w:rFonts w:cs="Arial"/>
          <w:sz w:val="22"/>
          <w:szCs w:val="22"/>
        </w:rPr>
        <w:t>There are exceptions provided in clause 8(4) that mirror clause 41(2), meaning statements of belief can be subject to conduct rules where they are ‘malicious, would or is likely to harass, vilify or incite hatred or violence towards another person or group, or would counsel, promote, encourage or urge conduct that would constitute a serious offence’.</w:t>
      </w:r>
      <w:r w:rsidRPr="00B574E7">
        <w:rPr>
          <w:rStyle w:val="EndnoteReference"/>
          <w:rFonts w:cs="Arial"/>
          <w:sz w:val="22"/>
          <w:szCs w:val="22"/>
        </w:rPr>
        <w:endnoteReference w:id="25"/>
      </w:r>
      <w:r w:rsidRPr="00B574E7">
        <w:rPr>
          <w:rFonts w:cs="Arial"/>
          <w:sz w:val="22"/>
          <w:szCs w:val="22"/>
        </w:rPr>
        <w:t xml:space="preserve"> As discussed earlier, it is unclear which statements of belief would be captured by the exception and therefore difficult in practice for employers to determine which type of conduct they can make rules about. </w:t>
      </w:r>
    </w:p>
    <w:p w14:paraId="5A83FB4A" w14:textId="30F6AD5E" w:rsidR="0048537C" w:rsidRDefault="0048537C" w:rsidP="00B93BDC">
      <w:pPr>
        <w:pStyle w:val="VEOHRCBodytext"/>
        <w:keepNext w:val="0"/>
        <w:rPr>
          <w:rFonts w:cs="Arial"/>
          <w:sz w:val="22"/>
          <w:szCs w:val="22"/>
        </w:rPr>
      </w:pPr>
      <w:r w:rsidRPr="00B574E7">
        <w:rPr>
          <w:rFonts w:cs="Arial"/>
          <w:sz w:val="22"/>
          <w:szCs w:val="22"/>
        </w:rPr>
        <w:t>The Commission is concerned about the rationale of this clause and the impact on workplaces and services. By restricting the ability of employers to set codes of conduct, workplaces will find it more difficult to foster inclusive and safe work cultures and services. For example, public negative statements by a health service employee on social media about the homosexuality of survivors of sexual abuse may severely impact the quality and inclusiveness of the service, which seeks to gain the trust of clients</w:t>
      </w:r>
      <w:r w:rsidR="002551DC">
        <w:rPr>
          <w:rFonts w:cs="Arial"/>
          <w:sz w:val="22"/>
          <w:szCs w:val="22"/>
        </w:rPr>
        <w:t>.</w:t>
      </w:r>
      <w:r w:rsidRPr="00980402">
        <w:rPr>
          <w:rFonts w:cs="Arial"/>
          <w:sz w:val="22"/>
          <w:szCs w:val="22"/>
        </w:rPr>
        <w:t xml:space="preserve"> </w:t>
      </w:r>
    </w:p>
    <w:tbl>
      <w:tblPr>
        <w:tblStyle w:val="CustomTablebreakoutbox"/>
        <w:tblW w:w="0" w:type="auto"/>
        <w:tblLook w:val="04A0" w:firstRow="1" w:lastRow="0" w:firstColumn="1" w:lastColumn="0" w:noHBand="0" w:noVBand="1"/>
      </w:tblPr>
      <w:tblGrid>
        <w:gridCol w:w="9628"/>
      </w:tblGrid>
      <w:tr w:rsidR="001438B4" w14:paraId="5D070F89" w14:textId="77777777" w:rsidTr="001438B4">
        <w:tc>
          <w:tcPr>
            <w:tcW w:w="9628" w:type="dxa"/>
          </w:tcPr>
          <w:p w14:paraId="3810563B" w14:textId="77777777" w:rsidR="001438B4" w:rsidRPr="00980402" w:rsidRDefault="001438B4" w:rsidP="001438B4">
            <w:pPr>
              <w:pStyle w:val="Heading4"/>
              <w:outlineLvl w:val="3"/>
              <w:rPr>
                <w:rFonts w:cs="Arial"/>
                <w:b/>
                <w:i w:val="0"/>
                <w:szCs w:val="22"/>
              </w:rPr>
            </w:pPr>
            <w:r w:rsidRPr="00980402">
              <w:rPr>
                <w:rFonts w:cs="Arial"/>
                <w:b/>
                <w:i w:val="0"/>
                <w:szCs w:val="22"/>
              </w:rPr>
              <w:t>Who is affected by this?</w:t>
            </w:r>
          </w:p>
          <w:p w14:paraId="433588B8" w14:textId="77777777" w:rsidR="001438B4" w:rsidRDefault="001438B4" w:rsidP="00B93BDC">
            <w:pPr>
              <w:pStyle w:val="VEOHRCBodytext"/>
              <w:keepNext w:val="0"/>
              <w:rPr>
                <w:rFonts w:cs="Arial"/>
                <w:sz w:val="22"/>
                <w:szCs w:val="22"/>
              </w:rPr>
            </w:pPr>
            <w:r w:rsidRPr="004E2B42">
              <w:rPr>
                <w:rFonts w:cs="Arial"/>
                <w:sz w:val="22"/>
                <w:szCs w:val="22"/>
              </w:rPr>
              <w:t>Employers may not be able to set</w:t>
            </w:r>
            <w:r>
              <w:rPr>
                <w:rFonts w:cs="Arial"/>
                <w:sz w:val="22"/>
                <w:szCs w:val="22"/>
              </w:rPr>
              <w:t xml:space="preserve"> reasonable conduct</w:t>
            </w:r>
            <w:r w:rsidRPr="004E2B42">
              <w:rPr>
                <w:rFonts w:cs="Arial"/>
                <w:sz w:val="22"/>
                <w:szCs w:val="22"/>
              </w:rPr>
              <w:t xml:space="preserve"> rules to </w:t>
            </w:r>
            <w:r>
              <w:rPr>
                <w:rFonts w:cs="Arial"/>
                <w:sz w:val="22"/>
                <w:szCs w:val="22"/>
              </w:rPr>
              <w:t xml:space="preserve">prevent, </w:t>
            </w:r>
            <w:r w:rsidRPr="004E2B42">
              <w:rPr>
                <w:rFonts w:cs="Arial"/>
                <w:sz w:val="22"/>
                <w:szCs w:val="22"/>
              </w:rPr>
              <w:t xml:space="preserve">stop or discipline employees who make statements </w:t>
            </w:r>
            <w:r>
              <w:rPr>
                <w:rFonts w:cs="Arial"/>
                <w:sz w:val="22"/>
                <w:szCs w:val="22"/>
              </w:rPr>
              <w:t xml:space="preserve">about anything based on their religious beliefs </w:t>
            </w:r>
            <w:r w:rsidRPr="004E2B42">
              <w:rPr>
                <w:rFonts w:cs="Arial"/>
                <w:sz w:val="22"/>
                <w:szCs w:val="22"/>
              </w:rPr>
              <w:t>outside of work hours</w:t>
            </w:r>
            <w:r>
              <w:rPr>
                <w:rFonts w:cs="Arial"/>
                <w:sz w:val="22"/>
                <w:szCs w:val="22"/>
              </w:rPr>
              <w:t xml:space="preserve">, even where these statements are </w:t>
            </w:r>
            <w:r w:rsidRPr="004E2B42">
              <w:rPr>
                <w:rFonts w:cs="Arial"/>
                <w:sz w:val="22"/>
                <w:szCs w:val="22"/>
              </w:rPr>
              <w:t>contrary to</w:t>
            </w:r>
            <w:r>
              <w:rPr>
                <w:rFonts w:cs="Arial"/>
                <w:sz w:val="22"/>
                <w:szCs w:val="22"/>
              </w:rPr>
              <w:t xml:space="preserve"> the employer’s</w:t>
            </w:r>
            <w:r w:rsidRPr="004E2B42">
              <w:rPr>
                <w:rFonts w:cs="Arial"/>
                <w:sz w:val="22"/>
                <w:szCs w:val="22"/>
              </w:rPr>
              <w:t xml:space="preserve"> mission or values</w:t>
            </w:r>
            <w:r>
              <w:rPr>
                <w:rFonts w:cs="Arial"/>
                <w:sz w:val="22"/>
                <w:szCs w:val="22"/>
              </w:rPr>
              <w:t xml:space="preserve"> such as</w:t>
            </w:r>
            <w:r w:rsidRPr="004E2B42">
              <w:rPr>
                <w:rFonts w:cs="Arial"/>
                <w:sz w:val="22"/>
                <w:szCs w:val="22"/>
              </w:rPr>
              <w:t xml:space="preserve"> ‘homosexuality is an abomination in the eyes of god</w:t>
            </w:r>
            <w:r>
              <w:rPr>
                <w:rFonts w:cs="Arial"/>
                <w:sz w:val="22"/>
                <w:szCs w:val="22"/>
              </w:rPr>
              <w:t xml:space="preserve">’. </w:t>
            </w:r>
          </w:p>
          <w:p w14:paraId="306991B1" w14:textId="04A9C0EE" w:rsidR="001438B4" w:rsidRDefault="001438B4" w:rsidP="00835409">
            <w:pPr>
              <w:pStyle w:val="BodyText"/>
            </w:pPr>
            <w:r>
              <w:t xml:space="preserve">Conduct rules can still be made by the public sector, smaller employers, and in relation to any statements unrelated to religion. This will likely cause confusion by creating different standards for acceptable </w:t>
            </w:r>
            <w:r w:rsidR="007D4EE0">
              <w:t>statements</w:t>
            </w:r>
            <w:r>
              <w:t xml:space="preserve"> depending on where someone works or </w:t>
            </w:r>
            <w:r w:rsidR="009D78E4">
              <w:t>their religious beliefs</w:t>
            </w:r>
            <w:r>
              <w:t xml:space="preserve">. Employers can still set reasonable conduct rules that apply during work time. </w:t>
            </w:r>
          </w:p>
        </w:tc>
      </w:tr>
    </w:tbl>
    <w:p w14:paraId="35CD3A49" w14:textId="55102862" w:rsidR="0048537C" w:rsidRPr="00980402" w:rsidRDefault="0048537C" w:rsidP="00B93BDC">
      <w:pPr>
        <w:pStyle w:val="VEOHRCBodytext"/>
        <w:keepNext w:val="0"/>
        <w:rPr>
          <w:rFonts w:cs="Arial"/>
          <w:sz w:val="22"/>
          <w:szCs w:val="22"/>
        </w:rPr>
      </w:pPr>
      <w:r w:rsidRPr="00B574E7">
        <w:rPr>
          <w:rFonts w:cs="Arial"/>
          <w:sz w:val="22"/>
          <w:szCs w:val="22"/>
        </w:rPr>
        <w:t>As is the case with clauses 8(5), 8(6) and 41(1), a more appropriate approach, consistent with existing state and territory anti-discrimination law, is to rely upon the indirect discrimination test in 8(1) and 8(2), which assesses rules or conditions in all the relevant circumstances, including the need to protect other employees and the community from harm.</w:t>
      </w:r>
      <w:r>
        <w:rPr>
          <w:rFonts w:cs="Arial"/>
          <w:sz w:val="22"/>
          <w:szCs w:val="22"/>
        </w:rPr>
        <w:t xml:space="preserve"> </w:t>
      </w:r>
    </w:p>
    <w:tbl>
      <w:tblPr>
        <w:tblStyle w:val="CustomTablerecommendationsbox"/>
        <w:tblW w:w="0" w:type="auto"/>
        <w:tblLook w:val="04A0" w:firstRow="1" w:lastRow="0" w:firstColumn="1" w:lastColumn="0" w:noHBand="0" w:noVBand="1"/>
      </w:tblPr>
      <w:tblGrid>
        <w:gridCol w:w="9061"/>
      </w:tblGrid>
      <w:tr w:rsidR="0048537C" w:rsidRPr="00980402" w14:paraId="5E3C600E" w14:textId="77777777" w:rsidTr="00B93BDC">
        <w:tc>
          <w:tcPr>
            <w:tcW w:w="9061" w:type="dxa"/>
            <w:hideMark/>
          </w:tcPr>
          <w:p w14:paraId="1D41D0BF" w14:textId="75800B9F" w:rsidR="0048537C" w:rsidRPr="00980402" w:rsidRDefault="0048537C" w:rsidP="0048537C">
            <w:pPr>
              <w:pStyle w:val="Heading4"/>
              <w:outlineLvl w:val="3"/>
              <w:rPr>
                <w:rFonts w:eastAsia="Times New Roman" w:cs="Arial"/>
                <w:b/>
                <w:i w:val="0"/>
                <w:szCs w:val="22"/>
              </w:rPr>
            </w:pPr>
            <w:r w:rsidRPr="00980402">
              <w:rPr>
                <w:rFonts w:cs="Arial"/>
                <w:b/>
                <w:i w:val="0"/>
                <w:szCs w:val="22"/>
              </w:rPr>
              <w:t xml:space="preserve">Recommendation </w:t>
            </w:r>
            <w:r w:rsidR="00981954">
              <w:rPr>
                <w:rFonts w:cs="Arial"/>
                <w:b/>
                <w:i w:val="0"/>
                <w:szCs w:val="22"/>
              </w:rPr>
              <w:t>2</w:t>
            </w:r>
          </w:p>
          <w:p w14:paraId="00F1FB25" w14:textId="3080ADED" w:rsidR="0048537C" w:rsidRPr="00980402" w:rsidRDefault="00781243" w:rsidP="00835409">
            <w:pPr>
              <w:pStyle w:val="BodyText"/>
            </w:pPr>
            <w:r w:rsidRPr="00980402">
              <w:t>The Attorney-General should remove clause</w:t>
            </w:r>
            <w:r>
              <w:t>s</w:t>
            </w:r>
            <w:r w:rsidRPr="00980402">
              <w:t xml:space="preserve"> 8(3) and 8(4)</w:t>
            </w:r>
            <w:r>
              <w:t>, dealing with the treatment of employer conduct rules by private businesses with annual revenue of more than $50 million,</w:t>
            </w:r>
            <w:r w:rsidRPr="00980402">
              <w:t xml:space="preserve"> from the </w:t>
            </w:r>
            <w:r w:rsidRPr="00980402">
              <w:rPr>
                <w:i/>
              </w:rPr>
              <w:t>Religious Discrimination Bill</w:t>
            </w:r>
            <w:r>
              <w:rPr>
                <w:i/>
              </w:rPr>
              <w:t xml:space="preserve"> 2019 </w:t>
            </w:r>
            <w:r>
              <w:t>(Cth)</w:t>
            </w:r>
            <w:r w:rsidRPr="00980402">
              <w:t>.</w:t>
            </w:r>
          </w:p>
        </w:tc>
      </w:tr>
    </w:tbl>
    <w:p w14:paraId="58DFDF13" w14:textId="77777777" w:rsidR="0048537C" w:rsidRPr="00B574E7" w:rsidRDefault="0048537C" w:rsidP="00B93BDC">
      <w:pPr>
        <w:pStyle w:val="VEOHRCBodytext"/>
        <w:keepNext w:val="0"/>
        <w:rPr>
          <w:rFonts w:cs="Arial"/>
          <w:i/>
          <w:sz w:val="22"/>
          <w:szCs w:val="22"/>
        </w:rPr>
      </w:pPr>
      <w:r w:rsidRPr="00B574E7">
        <w:rPr>
          <w:rFonts w:cs="Arial"/>
          <w:i/>
          <w:sz w:val="22"/>
          <w:szCs w:val="22"/>
        </w:rPr>
        <w:t>Conduct rules regarding conscientious health objections</w:t>
      </w:r>
    </w:p>
    <w:p w14:paraId="1F7DCFE5" w14:textId="633E24AA" w:rsidR="0048537C" w:rsidRPr="00B574E7" w:rsidRDefault="0048537C" w:rsidP="00B93BDC">
      <w:pPr>
        <w:pStyle w:val="VEOHRCBodytext"/>
        <w:keepNext w:val="0"/>
        <w:rPr>
          <w:rFonts w:cs="Arial"/>
          <w:sz w:val="22"/>
          <w:szCs w:val="22"/>
        </w:rPr>
      </w:pPr>
      <w:r w:rsidRPr="00B574E7">
        <w:rPr>
          <w:rFonts w:cs="Arial"/>
          <w:sz w:val="22"/>
          <w:szCs w:val="22"/>
        </w:rPr>
        <w:t xml:space="preserve">Clauses 8(5) and 8(6) deem health service employee conduct rules unreasonable </w:t>
      </w:r>
      <w:r w:rsidR="00097A77">
        <w:rPr>
          <w:rFonts w:cs="Arial"/>
          <w:sz w:val="22"/>
          <w:szCs w:val="22"/>
        </w:rPr>
        <w:t xml:space="preserve">(and discriminatory) </w:t>
      </w:r>
      <w:r w:rsidRPr="00B574E7">
        <w:rPr>
          <w:rFonts w:cs="Arial"/>
          <w:sz w:val="22"/>
          <w:szCs w:val="22"/>
        </w:rPr>
        <w:t>where they restrict or regulate conscientious objections on religious grounds by health practitioners.</w:t>
      </w:r>
      <w:r w:rsidR="00097A77">
        <w:rPr>
          <w:rFonts w:cs="Arial"/>
          <w:sz w:val="22"/>
          <w:szCs w:val="22"/>
        </w:rPr>
        <w:t xml:space="preserve"> </w:t>
      </w:r>
      <w:r w:rsidRPr="00B574E7">
        <w:rPr>
          <w:rFonts w:cs="Arial"/>
          <w:sz w:val="22"/>
          <w:szCs w:val="22"/>
        </w:rPr>
        <w:t xml:space="preserve">Clause 8(5) reaffirms the operation of existing </w:t>
      </w:r>
      <w:r w:rsidR="009D78E4">
        <w:rPr>
          <w:rFonts w:cs="Arial"/>
          <w:sz w:val="22"/>
          <w:szCs w:val="22"/>
        </w:rPr>
        <w:t>s</w:t>
      </w:r>
      <w:r w:rsidRPr="00B574E7">
        <w:rPr>
          <w:rFonts w:cs="Arial"/>
          <w:sz w:val="22"/>
          <w:szCs w:val="22"/>
        </w:rPr>
        <w:t xml:space="preserve">tate and </w:t>
      </w:r>
      <w:r w:rsidR="009D78E4">
        <w:rPr>
          <w:rFonts w:cs="Arial"/>
          <w:sz w:val="22"/>
          <w:szCs w:val="22"/>
        </w:rPr>
        <w:t>t</w:t>
      </w:r>
      <w:r w:rsidRPr="00B574E7">
        <w:rPr>
          <w:rFonts w:cs="Arial"/>
          <w:sz w:val="22"/>
          <w:szCs w:val="22"/>
        </w:rPr>
        <w:t>erritory laws allowing for conscientious objections</w:t>
      </w:r>
      <w:r w:rsidR="002A52BA">
        <w:rPr>
          <w:rFonts w:cs="Arial"/>
          <w:sz w:val="22"/>
          <w:szCs w:val="22"/>
        </w:rPr>
        <w:t>,</w:t>
      </w:r>
      <w:r w:rsidRPr="00B574E7">
        <w:rPr>
          <w:rFonts w:cs="Arial"/>
          <w:sz w:val="22"/>
          <w:szCs w:val="22"/>
        </w:rPr>
        <w:t xml:space="preserve"> suggesting where existing </w:t>
      </w:r>
      <w:r w:rsidR="009D78E4">
        <w:rPr>
          <w:rFonts w:cs="Arial"/>
          <w:sz w:val="22"/>
          <w:szCs w:val="22"/>
        </w:rPr>
        <w:t>s</w:t>
      </w:r>
      <w:r w:rsidRPr="00B574E7">
        <w:rPr>
          <w:rFonts w:cs="Arial"/>
          <w:sz w:val="22"/>
          <w:szCs w:val="22"/>
        </w:rPr>
        <w:t xml:space="preserve">tate and </w:t>
      </w:r>
      <w:r w:rsidR="009D78E4">
        <w:rPr>
          <w:rFonts w:cs="Arial"/>
          <w:sz w:val="22"/>
          <w:szCs w:val="22"/>
        </w:rPr>
        <w:t>t</w:t>
      </w:r>
      <w:r w:rsidRPr="00B574E7">
        <w:rPr>
          <w:rFonts w:cs="Arial"/>
          <w:sz w:val="22"/>
          <w:szCs w:val="22"/>
        </w:rPr>
        <w:t xml:space="preserve">erritory laws regulate conscientious health objections those laws will continue to apply. </w:t>
      </w:r>
    </w:p>
    <w:p w14:paraId="389D3E90" w14:textId="4F6DCC71" w:rsidR="0048537C" w:rsidRPr="00B574E7" w:rsidRDefault="0048537C" w:rsidP="00B93BDC">
      <w:pPr>
        <w:pStyle w:val="VEOHRCBodytext"/>
        <w:keepNext w:val="0"/>
        <w:rPr>
          <w:rFonts w:cs="Arial"/>
          <w:sz w:val="22"/>
          <w:szCs w:val="22"/>
        </w:rPr>
      </w:pPr>
      <w:r w:rsidRPr="00B574E7">
        <w:rPr>
          <w:rFonts w:cs="Arial"/>
          <w:sz w:val="22"/>
          <w:szCs w:val="22"/>
        </w:rPr>
        <w:t xml:space="preserve">In Victoria, </w:t>
      </w:r>
      <w:r w:rsidR="00A84705">
        <w:rPr>
          <w:rFonts w:cs="Arial"/>
          <w:sz w:val="22"/>
          <w:szCs w:val="22"/>
        </w:rPr>
        <w:t>s</w:t>
      </w:r>
      <w:r w:rsidRPr="00B574E7">
        <w:rPr>
          <w:rFonts w:cs="Arial"/>
          <w:sz w:val="22"/>
          <w:szCs w:val="22"/>
        </w:rPr>
        <w:t xml:space="preserve">tate legislation allows for, and regulates, conscientious objection under the </w:t>
      </w:r>
      <w:r w:rsidRPr="00B574E7">
        <w:rPr>
          <w:rFonts w:cs="Arial"/>
          <w:i/>
          <w:sz w:val="22"/>
          <w:szCs w:val="22"/>
        </w:rPr>
        <w:t xml:space="preserve">Voluntary Assisted Dying Act 2017 </w:t>
      </w:r>
      <w:r w:rsidRPr="00B574E7">
        <w:rPr>
          <w:rFonts w:cs="Arial"/>
          <w:sz w:val="22"/>
          <w:szCs w:val="22"/>
        </w:rPr>
        <w:t>(Vic)</w:t>
      </w:r>
      <w:r w:rsidRPr="00B574E7">
        <w:rPr>
          <w:rStyle w:val="EndnoteReference"/>
          <w:rFonts w:cs="Arial"/>
          <w:sz w:val="22"/>
          <w:szCs w:val="22"/>
        </w:rPr>
        <w:endnoteReference w:id="26"/>
      </w:r>
      <w:r w:rsidRPr="00B574E7">
        <w:rPr>
          <w:rFonts w:cs="Arial"/>
          <w:sz w:val="22"/>
          <w:szCs w:val="22"/>
        </w:rPr>
        <w:t xml:space="preserve"> and the </w:t>
      </w:r>
      <w:r w:rsidRPr="00B574E7">
        <w:rPr>
          <w:rFonts w:cs="Arial"/>
          <w:i/>
          <w:sz w:val="22"/>
          <w:szCs w:val="22"/>
        </w:rPr>
        <w:t>Abortion Law Reform Act 2008</w:t>
      </w:r>
      <w:r w:rsidRPr="00B574E7">
        <w:rPr>
          <w:rFonts w:cs="Arial"/>
          <w:sz w:val="22"/>
          <w:szCs w:val="22"/>
        </w:rPr>
        <w:t xml:space="preserve"> (Vic).</w:t>
      </w:r>
      <w:r w:rsidRPr="00B574E7">
        <w:rPr>
          <w:rStyle w:val="EndnoteReference"/>
          <w:rFonts w:cs="Arial"/>
          <w:sz w:val="22"/>
          <w:szCs w:val="22"/>
        </w:rPr>
        <w:endnoteReference w:id="27"/>
      </w:r>
      <w:r w:rsidRPr="00B574E7">
        <w:rPr>
          <w:rFonts w:cs="Arial"/>
          <w:sz w:val="22"/>
          <w:szCs w:val="22"/>
        </w:rPr>
        <w:t xml:space="preserve"> Both these pieces of legislation go beyond authorising conscientious objection, to prescribing how to properly exercise that conscientious objection so that a patient’s healthcare and wellbeing is not jeopardised. For example, health practitioners </w:t>
      </w:r>
      <w:r w:rsidR="00C13979">
        <w:rPr>
          <w:rFonts w:cs="Arial"/>
          <w:sz w:val="22"/>
          <w:szCs w:val="22"/>
        </w:rPr>
        <w:t xml:space="preserve">that </w:t>
      </w:r>
      <w:r w:rsidRPr="00B574E7">
        <w:rPr>
          <w:rFonts w:cs="Arial"/>
          <w:sz w:val="22"/>
          <w:szCs w:val="22"/>
        </w:rPr>
        <w:t xml:space="preserve">conscientiously object from providing abortions are obliged to inform the woman of their conscientious objection and make a referral to another </w:t>
      </w:r>
      <w:r w:rsidRPr="00B574E7">
        <w:rPr>
          <w:rFonts w:cs="Arial"/>
          <w:sz w:val="22"/>
          <w:szCs w:val="22"/>
        </w:rPr>
        <w:lastRenderedPageBreak/>
        <w:t xml:space="preserve">registered practitioner in the same regulated health profession who the practitioner knows does not have a conscientious objection to abortion (an effective referral). As such, health practitioners in Victoria will be required to continue to comply with these Victorians laws, including the requirement to make an effective referral in relation to abortions. As noted below, </w:t>
      </w:r>
      <w:r w:rsidR="008E5472">
        <w:rPr>
          <w:rFonts w:cs="Arial"/>
          <w:sz w:val="22"/>
          <w:szCs w:val="22"/>
        </w:rPr>
        <w:t>this provision (which appears to be unnecessary)</w:t>
      </w:r>
      <w:r w:rsidRPr="00B574E7">
        <w:rPr>
          <w:rFonts w:cs="Arial"/>
          <w:sz w:val="22"/>
          <w:szCs w:val="22"/>
        </w:rPr>
        <w:t xml:space="preserve">, is still likely to create confusion and lead some practitioners to contravene Victorian law. </w:t>
      </w:r>
    </w:p>
    <w:p w14:paraId="322792A2" w14:textId="79717912" w:rsidR="00E46B8B" w:rsidRPr="00B574E7" w:rsidRDefault="00097A77" w:rsidP="00E46B8B">
      <w:pPr>
        <w:pStyle w:val="VEOHRCBodytext"/>
        <w:keepNext w:val="0"/>
        <w:rPr>
          <w:rFonts w:cs="Arial"/>
          <w:sz w:val="22"/>
          <w:szCs w:val="22"/>
        </w:rPr>
      </w:pPr>
      <w:r>
        <w:rPr>
          <w:rFonts w:cs="Arial"/>
          <w:sz w:val="22"/>
          <w:szCs w:val="22"/>
        </w:rPr>
        <w:t>W</w:t>
      </w:r>
      <w:r w:rsidRPr="00980402">
        <w:rPr>
          <w:rFonts w:cs="Arial"/>
          <w:sz w:val="22"/>
          <w:szCs w:val="22"/>
        </w:rPr>
        <w:t>here there are no</w:t>
      </w:r>
      <w:r>
        <w:rPr>
          <w:rFonts w:cs="Arial"/>
          <w:sz w:val="22"/>
          <w:szCs w:val="22"/>
        </w:rPr>
        <w:t xml:space="preserve"> </w:t>
      </w:r>
      <w:r w:rsidR="00472031">
        <w:rPr>
          <w:rFonts w:cs="Arial"/>
          <w:sz w:val="22"/>
          <w:szCs w:val="22"/>
        </w:rPr>
        <w:t>s</w:t>
      </w:r>
      <w:r w:rsidRPr="00980402">
        <w:rPr>
          <w:rFonts w:cs="Arial"/>
          <w:sz w:val="22"/>
          <w:szCs w:val="22"/>
        </w:rPr>
        <w:t xml:space="preserve">tate or </w:t>
      </w:r>
      <w:r w:rsidR="00472031">
        <w:rPr>
          <w:rFonts w:cs="Arial"/>
          <w:sz w:val="22"/>
          <w:szCs w:val="22"/>
        </w:rPr>
        <w:t>t</w:t>
      </w:r>
      <w:r w:rsidRPr="00980402">
        <w:rPr>
          <w:rFonts w:cs="Arial"/>
          <w:sz w:val="22"/>
          <w:szCs w:val="22"/>
        </w:rPr>
        <w:t>erritory laws</w:t>
      </w:r>
      <w:r>
        <w:rPr>
          <w:rFonts w:cs="Arial"/>
          <w:sz w:val="22"/>
          <w:szCs w:val="22"/>
        </w:rPr>
        <w:t xml:space="preserve"> </w:t>
      </w:r>
      <w:r w:rsidR="00472031">
        <w:rPr>
          <w:rFonts w:cs="Arial"/>
          <w:sz w:val="22"/>
          <w:szCs w:val="22"/>
        </w:rPr>
        <w:t>governing conscientious objections</w:t>
      </w:r>
      <w:r w:rsidR="007D4EE0">
        <w:rPr>
          <w:rFonts w:cs="Arial"/>
          <w:sz w:val="22"/>
          <w:szCs w:val="22"/>
        </w:rPr>
        <w:t xml:space="preserve"> or </w:t>
      </w:r>
      <w:r w:rsidR="008E5472">
        <w:rPr>
          <w:rFonts w:cs="Arial"/>
          <w:sz w:val="22"/>
          <w:szCs w:val="22"/>
        </w:rPr>
        <w:t xml:space="preserve">potentially </w:t>
      </w:r>
      <w:r w:rsidR="007D4EE0">
        <w:rPr>
          <w:rFonts w:cs="Arial"/>
          <w:sz w:val="22"/>
          <w:szCs w:val="22"/>
        </w:rPr>
        <w:t>where state or territory law prohibits conscientious objection</w:t>
      </w:r>
      <w:r w:rsidR="00472031">
        <w:rPr>
          <w:rFonts w:cs="Arial"/>
          <w:sz w:val="22"/>
          <w:szCs w:val="22"/>
        </w:rPr>
        <w:t>,</w:t>
      </w:r>
      <w:r w:rsidRPr="00980402">
        <w:rPr>
          <w:rFonts w:cs="Arial"/>
          <w:sz w:val="22"/>
          <w:szCs w:val="22"/>
        </w:rPr>
        <w:t xml:space="preserve"> clause 8(6) provides that a conduct rule preventing conscientious objections will be unreasonable unless it creates </w:t>
      </w:r>
      <w:r w:rsidR="00990B9A">
        <w:rPr>
          <w:rFonts w:cs="Arial"/>
          <w:sz w:val="22"/>
          <w:szCs w:val="22"/>
        </w:rPr>
        <w:t xml:space="preserve">an </w:t>
      </w:r>
      <w:r w:rsidRPr="00980402">
        <w:rPr>
          <w:rFonts w:cs="Arial"/>
          <w:sz w:val="22"/>
          <w:szCs w:val="22"/>
        </w:rPr>
        <w:t xml:space="preserve">unjustifiable adverse impact on the health organisation’s ability to provide a health service, or the patient’s ability to receive a health service. The effect of this is that </w:t>
      </w:r>
      <w:r>
        <w:rPr>
          <w:rFonts w:cs="Arial"/>
          <w:sz w:val="22"/>
          <w:szCs w:val="22"/>
        </w:rPr>
        <w:t xml:space="preserve">employer and professional </w:t>
      </w:r>
      <w:r w:rsidRPr="00980402">
        <w:rPr>
          <w:rFonts w:cs="Arial"/>
          <w:sz w:val="22"/>
          <w:szCs w:val="22"/>
        </w:rPr>
        <w:t xml:space="preserve">health </w:t>
      </w:r>
      <w:r>
        <w:rPr>
          <w:rFonts w:cs="Arial"/>
          <w:sz w:val="22"/>
          <w:szCs w:val="22"/>
        </w:rPr>
        <w:t>body rules and policy directives</w:t>
      </w:r>
      <w:r w:rsidRPr="00980402">
        <w:rPr>
          <w:rFonts w:cs="Arial"/>
          <w:sz w:val="22"/>
          <w:szCs w:val="22"/>
        </w:rPr>
        <w:t xml:space="preserve"> can only override conscientious objections in the most serious of cases</w:t>
      </w:r>
      <w:r>
        <w:rPr>
          <w:rFonts w:cs="Arial"/>
          <w:sz w:val="22"/>
          <w:szCs w:val="22"/>
        </w:rPr>
        <w:t xml:space="preserve">. For example, the Explanatory Notes to the exposure draft state that ‘if </w:t>
      </w:r>
      <w:r w:rsidRPr="004E2B42">
        <w:rPr>
          <w:rFonts w:cs="Arial"/>
          <w:sz w:val="22"/>
          <w:szCs w:val="22"/>
        </w:rPr>
        <w:t xml:space="preserve">non-compliance with a health practitioner conduct rule could result in the death or serious injury of the person seeking the health service, this would </w:t>
      </w:r>
      <w:r w:rsidRPr="007D4EE0">
        <w:rPr>
          <w:rFonts w:cs="Arial"/>
          <w:i/>
          <w:sz w:val="22"/>
          <w:szCs w:val="22"/>
        </w:rPr>
        <w:t xml:space="preserve">generally </w:t>
      </w:r>
      <w:r w:rsidRPr="004E2B42">
        <w:rPr>
          <w:rFonts w:cs="Arial"/>
          <w:sz w:val="22"/>
          <w:szCs w:val="22"/>
        </w:rPr>
        <w:t>amount to an unjustifiable adverse impact</w:t>
      </w:r>
      <w:r w:rsidR="007D4EE0">
        <w:rPr>
          <w:rFonts w:cs="Arial"/>
          <w:sz w:val="22"/>
          <w:szCs w:val="22"/>
        </w:rPr>
        <w:t xml:space="preserve"> (emphasis added)</w:t>
      </w:r>
      <w:r w:rsidR="00E46B8B" w:rsidRPr="00B574E7">
        <w:rPr>
          <w:rFonts w:cs="Arial"/>
          <w:sz w:val="22"/>
          <w:szCs w:val="22"/>
        </w:rPr>
        <w:t>.”</w:t>
      </w:r>
      <w:r w:rsidR="00E46B8B" w:rsidRPr="00B574E7">
        <w:rPr>
          <w:rStyle w:val="EndnoteReference"/>
          <w:rFonts w:cs="Arial"/>
          <w:sz w:val="22"/>
          <w:szCs w:val="22"/>
        </w:rPr>
        <w:endnoteReference w:id="28"/>
      </w:r>
      <w:r w:rsidR="00E46B8B" w:rsidRPr="00B574E7">
        <w:rPr>
          <w:rStyle w:val="EndnoteReference"/>
        </w:rPr>
        <w:t xml:space="preserve"> </w:t>
      </w:r>
      <w:r w:rsidR="00472031">
        <w:rPr>
          <w:rFonts w:cs="Arial"/>
          <w:sz w:val="22"/>
          <w:szCs w:val="22"/>
        </w:rPr>
        <w:t>The Commission is concerned this</w:t>
      </w:r>
      <w:r w:rsidR="007D4EE0">
        <w:rPr>
          <w:rFonts w:cs="Arial"/>
          <w:sz w:val="22"/>
          <w:szCs w:val="22"/>
        </w:rPr>
        <w:t xml:space="preserve"> clearly</w:t>
      </w:r>
      <w:r w:rsidR="00472031">
        <w:rPr>
          <w:rFonts w:cs="Arial"/>
          <w:sz w:val="22"/>
          <w:szCs w:val="22"/>
        </w:rPr>
        <w:t xml:space="preserve"> sets the</w:t>
      </w:r>
      <w:r w:rsidR="00E46B8B" w:rsidRPr="00B574E7">
        <w:rPr>
          <w:rFonts w:cs="Arial"/>
          <w:sz w:val="22"/>
          <w:szCs w:val="22"/>
        </w:rPr>
        <w:t xml:space="preserve"> bar too high and will not appropriately safeguard pat</w:t>
      </w:r>
      <w:r w:rsidR="002551DC">
        <w:rPr>
          <w:rFonts w:cs="Arial"/>
          <w:sz w:val="22"/>
          <w:szCs w:val="22"/>
        </w:rPr>
        <w:t>i</w:t>
      </w:r>
      <w:r w:rsidR="00E46B8B" w:rsidRPr="00B574E7">
        <w:rPr>
          <w:rFonts w:cs="Arial"/>
          <w:sz w:val="22"/>
          <w:szCs w:val="22"/>
        </w:rPr>
        <w:t xml:space="preserve">ent health needs and wellbeing. </w:t>
      </w:r>
    </w:p>
    <w:p w14:paraId="5C418F13" w14:textId="55AF6AF7" w:rsidR="0048537C" w:rsidRPr="00B574E7" w:rsidRDefault="0048537C" w:rsidP="00B93BDC">
      <w:pPr>
        <w:pStyle w:val="VEOHRCBodytext"/>
        <w:keepNext w:val="0"/>
        <w:rPr>
          <w:rFonts w:cs="Arial"/>
          <w:sz w:val="22"/>
          <w:szCs w:val="22"/>
        </w:rPr>
      </w:pPr>
      <w:r w:rsidRPr="00B574E7">
        <w:rPr>
          <w:rFonts w:cs="Arial"/>
          <w:sz w:val="22"/>
          <w:szCs w:val="22"/>
        </w:rPr>
        <w:t xml:space="preserve">Clause 8(6) is unnecessary as conscientious objection laws are best left for </w:t>
      </w:r>
      <w:r w:rsidR="00A84705">
        <w:rPr>
          <w:rFonts w:cs="Arial"/>
          <w:sz w:val="22"/>
          <w:szCs w:val="22"/>
        </w:rPr>
        <w:t>s</w:t>
      </w:r>
      <w:r w:rsidRPr="00B574E7">
        <w:rPr>
          <w:rFonts w:cs="Arial"/>
          <w:sz w:val="22"/>
          <w:szCs w:val="22"/>
        </w:rPr>
        <w:t xml:space="preserve">tate and </w:t>
      </w:r>
      <w:r w:rsidR="00A84705">
        <w:rPr>
          <w:rFonts w:cs="Arial"/>
          <w:sz w:val="22"/>
          <w:szCs w:val="22"/>
        </w:rPr>
        <w:t>t</w:t>
      </w:r>
      <w:r w:rsidRPr="00B574E7">
        <w:rPr>
          <w:rFonts w:cs="Arial"/>
          <w:sz w:val="22"/>
          <w:szCs w:val="22"/>
        </w:rPr>
        <w:t>erritories, as acknowledged in the Explanatory Notes.</w:t>
      </w:r>
      <w:r w:rsidRPr="00B574E7">
        <w:rPr>
          <w:rStyle w:val="EndnoteReference"/>
          <w:rFonts w:cs="Arial"/>
          <w:sz w:val="22"/>
          <w:szCs w:val="22"/>
        </w:rPr>
        <w:endnoteReference w:id="29"/>
      </w:r>
      <w:r w:rsidRPr="00B574E7">
        <w:rPr>
          <w:rFonts w:cs="Arial"/>
          <w:sz w:val="22"/>
          <w:szCs w:val="22"/>
        </w:rPr>
        <w:t xml:space="preserve"> The provision authorises</w:t>
      </w:r>
      <w:r w:rsidR="002A52BA">
        <w:rPr>
          <w:rFonts w:cs="Arial"/>
          <w:sz w:val="22"/>
          <w:szCs w:val="22"/>
        </w:rPr>
        <w:t xml:space="preserve"> conscientious objections</w:t>
      </w:r>
      <w:r w:rsidRPr="00B574E7">
        <w:rPr>
          <w:rFonts w:cs="Arial"/>
          <w:sz w:val="22"/>
          <w:szCs w:val="22"/>
        </w:rPr>
        <w:t xml:space="preserve"> </w:t>
      </w:r>
      <w:r w:rsidR="002A52BA">
        <w:rPr>
          <w:rFonts w:cs="Arial"/>
          <w:sz w:val="22"/>
          <w:szCs w:val="22"/>
        </w:rPr>
        <w:t>across a</w:t>
      </w:r>
      <w:r w:rsidRPr="00B574E7">
        <w:rPr>
          <w:rFonts w:cs="Arial"/>
          <w:sz w:val="22"/>
          <w:szCs w:val="22"/>
        </w:rPr>
        <w:t xml:space="preserve"> broad range of health services </w:t>
      </w:r>
      <w:r w:rsidR="002A52BA">
        <w:rPr>
          <w:rFonts w:cs="Arial"/>
          <w:sz w:val="22"/>
          <w:szCs w:val="22"/>
        </w:rPr>
        <w:t>and</w:t>
      </w:r>
      <w:r w:rsidRPr="00B574E7">
        <w:rPr>
          <w:rFonts w:cs="Arial"/>
          <w:sz w:val="22"/>
          <w:szCs w:val="22"/>
        </w:rPr>
        <w:t xml:space="preserve"> disciplines</w:t>
      </w:r>
      <w:r w:rsidR="007D4EE0">
        <w:rPr>
          <w:rFonts w:cs="Arial"/>
          <w:sz w:val="22"/>
          <w:szCs w:val="22"/>
        </w:rPr>
        <w:t xml:space="preserve"> without a clear rationale</w:t>
      </w:r>
      <w:r w:rsidRPr="00B574E7">
        <w:rPr>
          <w:rFonts w:cs="Arial"/>
          <w:sz w:val="22"/>
          <w:szCs w:val="22"/>
        </w:rPr>
        <w:t xml:space="preserve"> (e.g. </w:t>
      </w:r>
      <w:r w:rsidR="008E5472" w:rsidRPr="00B574E7">
        <w:rPr>
          <w:rFonts w:cs="Arial"/>
          <w:sz w:val="22"/>
          <w:szCs w:val="22"/>
        </w:rPr>
        <w:t>pharmacists</w:t>
      </w:r>
      <w:r w:rsidR="008E5472">
        <w:rPr>
          <w:rFonts w:cs="Arial"/>
          <w:sz w:val="22"/>
          <w:szCs w:val="22"/>
        </w:rPr>
        <w:t xml:space="preserve">, podiatrists, </w:t>
      </w:r>
      <w:r w:rsidRPr="00B574E7">
        <w:rPr>
          <w:rFonts w:cs="Arial"/>
          <w:sz w:val="22"/>
          <w:szCs w:val="22"/>
        </w:rPr>
        <w:t>dentists</w:t>
      </w:r>
      <w:r w:rsidR="007D4EE0">
        <w:rPr>
          <w:rFonts w:cs="Arial"/>
          <w:sz w:val="22"/>
          <w:szCs w:val="22"/>
        </w:rPr>
        <w:t xml:space="preserve"> and Aboriginal health services</w:t>
      </w:r>
      <w:r w:rsidRPr="00B574E7">
        <w:rPr>
          <w:rFonts w:cs="Arial"/>
          <w:sz w:val="22"/>
          <w:szCs w:val="22"/>
        </w:rPr>
        <w:t>), and doesn’t require a nexus between the religious belief or activity and the health service in question.</w:t>
      </w:r>
      <w:r w:rsidRPr="00B574E7">
        <w:rPr>
          <w:rStyle w:val="EndnoteReference"/>
          <w:rFonts w:cs="Arial"/>
          <w:sz w:val="22"/>
          <w:szCs w:val="22"/>
        </w:rPr>
        <w:endnoteReference w:id="30"/>
      </w:r>
      <w:r w:rsidRPr="00B574E7">
        <w:rPr>
          <w:rFonts w:cs="Arial"/>
          <w:sz w:val="22"/>
          <w:szCs w:val="22"/>
        </w:rPr>
        <w:t xml:space="preserve"> As such, it is not clear what treatments can or cannot be conscientiously objected to, and whether this authorises objections based on the presenting patient’s attributes – such as sexual orientation or gender identity – rather than the health service they are requesting. </w:t>
      </w:r>
      <w:r w:rsidR="00990B9A">
        <w:rPr>
          <w:rFonts w:cs="Arial"/>
          <w:sz w:val="22"/>
          <w:szCs w:val="22"/>
        </w:rPr>
        <w:t xml:space="preserve">While the Commission would not support this </w:t>
      </w:r>
      <w:r w:rsidR="003901AD">
        <w:rPr>
          <w:rFonts w:cs="Arial"/>
          <w:sz w:val="22"/>
          <w:szCs w:val="22"/>
        </w:rPr>
        <w:t xml:space="preserve">legal </w:t>
      </w:r>
      <w:r w:rsidR="00990B9A">
        <w:rPr>
          <w:rFonts w:cs="Arial"/>
          <w:sz w:val="22"/>
          <w:szCs w:val="22"/>
        </w:rPr>
        <w:t>interpretation, we are concerned</w:t>
      </w:r>
      <w:r w:rsidR="003901AD">
        <w:rPr>
          <w:rFonts w:cs="Arial"/>
          <w:sz w:val="22"/>
          <w:szCs w:val="22"/>
        </w:rPr>
        <w:t xml:space="preserve"> th</w:t>
      </w:r>
      <w:r w:rsidR="002A52BA">
        <w:rPr>
          <w:rFonts w:cs="Arial"/>
          <w:sz w:val="22"/>
          <w:szCs w:val="22"/>
        </w:rPr>
        <w:t>e</w:t>
      </w:r>
      <w:r w:rsidR="003901AD">
        <w:rPr>
          <w:rFonts w:cs="Arial"/>
          <w:sz w:val="22"/>
          <w:szCs w:val="22"/>
        </w:rPr>
        <w:t xml:space="preserve"> absence of clarity affords too much discretion to practitioners about when they can conscientiously object, </w:t>
      </w:r>
      <w:r w:rsidR="002A52BA">
        <w:rPr>
          <w:rFonts w:cs="Arial"/>
          <w:sz w:val="22"/>
          <w:szCs w:val="22"/>
        </w:rPr>
        <w:t>which will likely impede access to health services.</w:t>
      </w:r>
      <w:r w:rsidR="003901AD">
        <w:rPr>
          <w:rFonts w:cs="Arial"/>
          <w:sz w:val="22"/>
          <w:szCs w:val="22"/>
        </w:rPr>
        <w:t xml:space="preserve"> </w:t>
      </w:r>
      <w:r w:rsidR="00990B9A">
        <w:rPr>
          <w:rFonts w:cs="Arial"/>
          <w:sz w:val="22"/>
          <w:szCs w:val="22"/>
        </w:rPr>
        <w:t xml:space="preserve"> </w:t>
      </w:r>
    </w:p>
    <w:p w14:paraId="5A1ABC98" w14:textId="5FD99562" w:rsidR="0048537C" w:rsidRPr="00980402" w:rsidRDefault="0048537C" w:rsidP="0048537C">
      <w:pPr>
        <w:pStyle w:val="VEOHRCBodytext"/>
        <w:keepNext w:val="0"/>
        <w:rPr>
          <w:rFonts w:cs="Arial"/>
          <w:sz w:val="22"/>
          <w:szCs w:val="22"/>
        </w:rPr>
      </w:pPr>
      <w:r w:rsidRPr="00B574E7">
        <w:rPr>
          <w:rFonts w:cs="Arial"/>
          <w:sz w:val="22"/>
          <w:szCs w:val="22"/>
        </w:rPr>
        <w:t>Further, clause 8(6) does not set out any other obligations to patients, such as the provision of information, the requirement to disclose the objection, and making an effective referral</w:t>
      </w:r>
      <w:r w:rsidRPr="003461B2">
        <w:rPr>
          <w:rFonts w:cs="Arial"/>
          <w:sz w:val="22"/>
          <w:szCs w:val="22"/>
        </w:rPr>
        <w:t>.</w:t>
      </w:r>
      <w:r w:rsidR="003461B2">
        <w:rPr>
          <w:rStyle w:val="EndnoteReference"/>
          <w:rFonts w:cs="Arial"/>
          <w:sz w:val="22"/>
          <w:szCs w:val="22"/>
        </w:rPr>
        <w:endnoteReference w:id="31"/>
      </w:r>
      <w:r w:rsidRPr="00B574E7">
        <w:rPr>
          <w:rFonts w:cs="Arial"/>
          <w:sz w:val="22"/>
          <w:szCs w:val="22"/>
        </w:rPr>
        <w:t xml:space="preserve"> The absence of real consideration for patient care and wellbeing is a concern to the Commission, particularly given research has demonstrated ongoing compliance challenges for doctors with their existing legal obligations for conscientious objections to abortions in Victoria.</w:t>
      </w:r>
      <w:r w:rsidRPr="00B574E7">
        <w:rPr>
          <w:rStyle w:val="EndnoteReference"/>
          <w:rFonts w:cs="Arial"/>
          <w:sz w:val="22"/>
          <w:szCs w:val="22"/>
        </w:rPr>
        <w:endnoteReference w:id="32"/>
      </w:r>
      <w:r w:rsidRPr="00980402">
        <w:rPr>
          <w:rFonts w:cs="Arial"/>
          <w:sz w:val="22"/>
          <w:szCs w:val="22"/>
        </w:rPr>
        <w:t xml:space="preserve"> </w:t>
      </w:r>
    </w:p>
    <w:tbl>
      <w:tblPr>
        <w:tblStyle w:val="CustomTablebreakoutbox"/>
        <w:tblW w:w="0" w:type="auto"/>
        <w:tblLook w:val="04A0" w:firstRow="1" w:lastRow="0" w:firstColumn="1" w:lastColumn="0" w:noHBand="0" w:noVBand="1"/>
      </w:tblPr>
      <w:tblGrid>
        <w:gridCol w:w="9061"/>
      </w:tblGrid>
      <w:tr w:rsidR="00102540" w:rsidRPr="00980402" w14:paraId="260F4212" w14:textId="77777777" w:rsidTr="00DF3694">
        <w:tc>
          <w:tcPr>
            <w:tcW w:w="9061" w:type="dxa"/>
          </w:tcPr>
          <w:p w14:paraId="0942C224" w14:textId="77777777" w:rsidR="00102540" w:rsidRPr="00980402" w:rsidRDefault="00102540" w:rsidP="005B5F9C">
            <w:pPr>
              <w:pStyle w:val="Heading4"/>
              <w:keepNext w:val="0"/>
              <w:outlineLvl w:val="3"/>
              <w:rPr>
                <w:rFonts w:cs="Arial"/>
                <w:b/>
                <w:i w:val="0"/>
                <w:szCs w:val="22"/>
              </w:rPr>
            </w:pPr>
            <w:r w:rsidRPr="00980402">
              <w:rPr>
                <w:rFonts w:cs="Arial"/>
                <w:b/>
                <w:i w:val="0"/>
                <w:szCs w:val="22"/>
              </w:rPr>
              <w:t>Are health practitioners following existing obligations?</w:t>
            </w:r>
          </w:p>
          <w:p w14:paraId="2167CDC7" w14:textId="77777777" w:rsidR="007161AB" w:rsidRPr="00980402" w:rsidRDefault="007161AB" w:rsidP="005B5F9C">
            <w:pPr>
              <w:pStyle w:val="BodyText"/>
              <w:rPr>
                <w:rFonts w:cs="Arial"/>
                <w:szCs w:val="22"/>
                <w:lang w:eastAsia="en-AU"/>
              </w:rPr>
            </w:pPr>
            <w:r w:rsidRPr="00980402">
              <w:rPr>
                <w:rFonts w:cs="Arial"/>
                <w:szCs w:val="22"/>
                <w:lang w:eastAsia="en-AU"/>
              </w:rPr>
              <w:t xml:space="preserve">Section 8(1) of the </w:t>
            </w:r>
            <w:r w:rsidRPr="00980402">
              <w:rPr>
                <w:rFonts w:cs="Arial"/>
                <w:i/>
                <w:szCs w:val="22"/>
                <w:lang w:eastAsia="en-AU"/>
              </w:rPr>
              <w:t xml:space="preserve">Abortion Law Amendment Act 2008 </w:t>
            </w:r>
            <w:r w:rsidRPr="00980402">
              <w:rPr>
                <w:rFonts w:cs="Arial"/>
                <w:szCs w:val="22"/>
                <w:lang w:eastAsia="en-AU"/>
              </w:rPr>
              <w:t>(Vic) requires registered health practitioners to notify women of their conscientious objection and make a referral to another practitioner who does not have a conscientious objection. Despite these legal requirements, women are still facing barriers to these services.</w:t>
            </w:r>
            <w:r w:rsidRPr="00980402">
              <w:rPr>
                <w:rStyle w:val="EndnoteReference"/>
                <w:rFonts w:cs="Arial"/>
                <w:szCs w:val="22"/>
                <w:lang w:eastAsia="en-AU"/>
              </w:rPr>
              <w:endnoteReference w:id="33"/>
            </w:r>
            <w:r w:rsidRPr="00980402">
              <w:rPr>
                <w:rFonts w:cs="Arial"/>
                <w:szCs w:val="22"/>
                <w:lang w:eastAsia="en-AU"/>
              </w:rPr>
              <w:t xml:space="preserve"> </w:t>
            </w:r>
            <w:r w:rsidRPr="004E2B42">
              <w:rPr>
                <w:rFonts w:cs="Arial"/>
                <w:szCs w:val="22"/>
              </w:rPr>
              <w:t xml:space="preserve">Women’s Health Victoria’s </w:t>
            </w:r>
            <w:r w:rsidRPr="00980402">
              <w:rPr>
                <w:rFonts w:cs="Arial"/>
                <w:b/>
                <w:i/>
                <w:iCs/>
                <w:szCs w:val="22"/>
              </w:rPr>
              <w:t>1800 My Options</w:t>
            </w:r>
            <w:r w:rsidRPr="00980402">
              <w:rPr>
                <w:rFonts w:cs="Arial"/>
                <w:szCs w:val="22"/>
              </w:rPr>
              <w:t xml:space="preserve"> service has reported the following examples of women’s experiences accessing sexual and reproductive health services</w:t>
            </w:r>
            <w:r w:rsidRPr="00980402">
              <w:rPr>
                <w:rFonts w:cs="Arial"/>
                <w:szCs w:val="22"/>
                <w:lang w:eastAsia="en-AU"/>
              </w:rPr>
              <w:t>:</w:t>
            </w:r>
          </w:p>
          <w:p w14:paraId="264E05AA" w14:textId="18F12B45" w:rsidR="007161AB" w:rsidRPr="00980402" w:rsidRDefault="007161AB" w:rsidP="005B5F9C">
            <w:pPr>
              <w:pStyle w:val="ListBullet"/>
              <w:numPr>
                <w:ilvl w:val="0"/>
                <w:numId w:val="41"/>
              </w:numPr>
              <w:spacing w:before="120" w:after="120" w:line="23" w:lineRule="atLeast"/>
              <w:rPr>
                <w:rFonts w:cs="Arial"/>
                <w:szCs w:val="22"/>
              </w:rPr>
            </w:pPr>
            <w:r w:rsidRPr="00980402">
              <w:rPr>
                <w:rFonts w:cs="Arial"/>
                <w:szCs w:val="22"/>
              </w:rPr>
              <w:t xml:space="preserve">A woman in rural Victoria whose General Practitioner (GP) told her they would not assist her and would not refer her on. The woman was then </w:t>
            </w:r>
            <w:r w:rsidR="008654A3">
              <w:rPr>
                <w:rFonts w:cs="Arial"/>
                <w:szCs w:val="22"/>
              </w:rPr>
              <w:t>afraid</w:t>
            </w:r>
            <w:r w:rsidRPr="00980402">
              <w:rPr>
                <w:rFonts w:cs="Arial"/>
                <w:szCs w:val="22"/>
              </w:rPr>
              <w:t xml:space="preserve"> to approach another local GP, in case of similar treatment. She could only find services that were more than four </w:t>
            </w:r>
            <w:r>
              <w:rPr>
                <w:rFonts w:cs="Arial"/>
                <w:szCs w:val="22"/>
              </w:rPr>
              <w:t xml:space="preserve">hours </w:t>
            </w:r>
            <w:r w:rsidRPr="00980402">
              <w:rPr>
                <w:rFonts w:cs="Arial"/>
                <w:szCs w:val="22"/>
              </w:rPr>
              <w:t xml:space="preserve">away when using Google. </w:t>
            </w:r>
          </w:p>
          <w:p w14:paraId="1A3C1158" w14:textId="77777777" w:rsidR="007161AB" w:rsidRPr="00980402" w:rsidRDefault="007161AB" w:rsidP="005B5F9C">
            <w:pPr>
              <w:pStyle w:val="ListBullet"/>
              <w:numPr>
                <w:ilvl w:val="0"/>
                <w:numId w:val="41"/>
              </w:numPr>
              <w:spacing w:before="120" w:after="120" w:line="23" w:lineRule="atLeast"/>
              <w:rPr>
                <w:rFonts w:cs="Arial"/>
                <w:szCs w:val="22"/>
              </w:rPr>
            </w:pPr>
            <w:r w:rsidRPr="00980402">
              <w:rPr>
                <w:rFonts w:cs="Arial"/>
                <w:szCs w:val="22"/>
              </w:rPr>
              <w:t xml:space="preserve">A woman seeking medical termination of pregnancy (MTOP) early in pregnancy was told by her GP that they do not provide these services. The GP said that the only services available are private, and that they cost several thousands of dollars. No referral was made. </w:t>
            </w:r>
          </w:p>
          <w:p w14:paraId="0D72147E" w14:textId="189D688D" w:rsidR="007161AB" w:rsidRDefault="007161AB" w:rsidP="005B5F9C">
            <w:pPr>
              <w:pStyle w:val="ListBullet"/>
              <w:numPr>
                <w:ilvl w:val="0"/>
                <w:numId w:val="41"/>
              </w:numPr>
              <w:spacing w:before="120" w:after="120" w:line="23" w:lineRule="atLeast"/>
              <w:rPr>
                <w:rFonts w:cs="Arial"/>
                <w:szCs w:val="22"/>
              </w:rPr>
            </w:pPr>
            <w:r w:rsidRPr="00980402">
              <w:rPr>
                <w:rFonts w:cs="Arial"/>
                <w:szCs w:val="22"/>
              </w:rPr>
              <w:t xml:space="preserve">A woman had contacted 9 clinics looking for an MTOP </w:t>
            </w:r>
            <w:r>
              <w:rPr>
                <w:rFonts w:cs="Arial"/>
                <w:szCs w:val="22"/>
              </w:rPr>
              <w:t>before accessing</w:t>
            </w:r>
            <w:r w:rsidRPr="00980402">
              <w:rPr>
                <w:rFonts w:cs="Arial"/>
                <w:szCs w:val="22"/>
              </w:rPr>
              <w:t xml:space="preserve"> 1800 My Options. By this </w:t>
            </w:r>
            <w:r w:rsidR="0076743D" w:rsidRPr="00980402">
              <w:rPr>
                <w:rFonts w:cs="Arial"/>
                <w:szCs w:val="22"/>
              </w:rPr>
              <w:t>time,</w:t>
            </w:r>
            <w:r>
              <w:rPr>
                <w:rFonts w:cs="Arial"/>
                <w:szCs w:val="22"/>
              </w:rPr>
              <w:t xml:space="preserve"> </w:t>
            </w:r>
            <w:r w:rsidRPr="00980402">
              <w:rPr>
                <w:rFonts w:cs="Arial"/>
                <w:szCs w:val="22"/>
              </w:rPr>
              <w:t>she had exceeded the gestational limit for MTOP, and the only option was a surgical termination which had financial implications.</w:t>
            </w:r>
          </w:p>
          <w:p w14:paraId="54CF0C14" w14:textId="5EA05865" w:rsidR="00102540" w:rsidRPr="00835409" w:rsidRDefault="007161AB" w:rsidP="005B5F9C">
            <w:pPr>
              <w:pStyle w:val="BodyText"/>
            </w:pPr>
            <w:r>
              <w:rPr>
                <w:lang w:eastAsia="en-AU"/>
              </w:rPr>
              <w:t xml:space="preserve">Women’s Health Victoria’s </w:t>
            </w:r>
            <w:r>
              <w:rPr>
                <w:i/>
                <w:lang w:eastAsia="en-AU"/>
              </w:rPr>
              <w:t xml:space="preserve">1800 My Options </w:t>
            </w:r>
            <w:r>
              <w:rPr>
                <w:lang w:eastAsia="en-AU"/>
              </w:rPr>
              <w:t xml:space="preserve">also reported women being told that abortion is not available after 12 weeks gestations; being given misinformation about MTOP (that it is dangerous, experimental and ineffective) and encountering hostility and judgment from </w:t>
            </w:r>
            <w:r>
              <w:rPr>
                <w:lang w:eastAsia="en-AU"/>
              </w:rPr>
              <w:lastRenderedPageBreak/>
              <w:t xml:space="preserve">GPs. The impact of such treatment has included preventing women from seeking </w:t>
            </w:r>
            <w:r w:rsidR="007802EB">
              <w:rPr>
                <w:lang w:eastAsia="en-AU"/>
              </w:rPr>
              <w:t>services elsewhere</w:t>
            </w:r>
            <w:r>
              <w:rPr>
                <w:lang w:eastAsia="en-AU"/>
              </w:rPr>
              <w:t>, particularly women from rural and remote areas, young women and women from non-English speaking backgrounds</w:t>
            </w:r>
            <w:r w:rsidR="007802EB" w:rsidRPr="008E5472">
              <w:rPr>
                <w:lang w:eastAsia="en-AU"/>
              </w:rPr>
              <w:t xml:space="preserve">, </w:t>
            </w:r>
            <w:r w:rsidR="007802EB" w:rsidRPr="00262F02">
              <w:rPr>
                <w:lang w:eastAsia="en-AU"/>
              </w:rPr>
              <w:t>for fear of encountering similar treatment</w:t>
            </w:r>
            <w:r w:rsidRPr="008E5472">
              <w:rPr>
                <w:lang w:eastAsia="en-AU"/>
              </w:rPr>
              <w:t xml:space="preserve">. </w:t>
            </w:r>
          </w:p>
        </w:tc>
      </w:tr>
    </w:tbl>
    <w:p w14:paraId="2956C296" w14:textId="2DA87222" w:rsidR="00B574E7" w:rsidRDefault="00102540" w:rsidP="00B43BAB">
      <w:pPr>
        <w:pStyle w:val="VEOHRCBodytext"/>
        <w:keepNext w:val="0"/>
        <w:rPr>
          <w:rFonts w:cs="Arial"/>
          <w:sz w:val="22"/>
          <w:szCs w:val="22"/>
        </w:rPr>
      </w:pPr>
      <w:r w:rsidRPr="00B574E7">
        <w:rPr>
          <w:rFonts w:cs="Arial"/>
          <w:sz w:val="22"/>
          <w:szCs w:val="22"/>
        </w:rPr>
        <w:lastRenderedPageBreak/>
        <w:t xml:space="preserve">In practice, these provisions will lead to confusion </w:t>
      </w:r>
      <w:r w:rsidR="00F16687" w:rsidRPr="00B574E7">
        <w:rPr>
          <w:rFonts w:cs="Arial"/>
          <w:sz w:val="22"/>
          <w:szCs w:val="22"/>
        </w:rPr>
        <w:t>for patients,</w:t>
      </w:r>
      <w:r w:rsidR="00472031">
        <w:rPr>
          <w:rFonts w:cs="Arial"/>
          <w:sz w:val="22"/>
          <w:szCs w:val="22"/>
        </w:rPr>
        <w:t xml:space="preserve"> health practitioners</w:t>
      </w:r>
      <w:r w:rsidR="00F16687" w:rsidRPr="00B574E7">
        <w:rPr>
          <w:rFonts w:cs="Arial"/>
          <w:sz w:val="22"/>
          <w:szCs w:val="22"/>
        </w:rPr>
        <w:t xml:space="preserve"> and services, as well as </w:t>
      </w:r>
      <w:r w:rsidR="00E46B8B" w:rsidRPr="00B574E7">
        <w:rPr>
          <w:rFonts w:cs="Arial"/>
          <w:sz w:val="22"/>
          <w:szCs w:val="22"/>
        </w:rPr>
        <w:t xml:space="preserve">have </w:t>
      </w:r>
      <w:r w:rsidR="00F16687" w:rsidRPr="00B574E7">
        <w:rPr>
          <w:rFonts w:cs="Arial"/>
          <w:sz w:val="22"/>
          <w:szCs w:val="22"/>
        </w:rPr>
        <w:t>a negative impact on service quality</w:t>
      </w:r>
      <w:r w:rsidR="006E2B93" w:rsidRPr="00B574E7">
        <w:rPr>
          <w:rFonts w:cs="Arial"/>
          <w:sz w:val="22"/>
          <w:szCs w:val="22"/>
        </w:rPr>
        <w:t xml:space="preserve">, even where </w:t>
      </w:r>
      <w:r w:rsidR="00472031">
        <w:rPr>
          <w:rFonts w:cs="Arial"/>
          <w:sz w:val="22"/>
          <w:szCs w:val="22"/>
        </w:rPr>
        <w:t>s</w:t>
      </w:r>
      <w:r w:rsidR="006E2B93" w:rsidRPr="00B574E7">
        <w:rPr>
          <w:rFonts w:cs="Arial"/>
          <w:sz w:val="22"/>
          <w:szCs w:val="22"/>
        </w:rPr>
        <w:t xml:space="preserve">tate and </w:t>
      </w:r>
      <w:r w:rsidR="00472031">
        <w:rPr>
          <w:rFonts w:cs="Arial"/>
          <w:sz w:val="22"/>
          <w:szCs w:val="22"/>
        </w:rPr>
        <w:t>t</w:t>
      </w:r>
      <w:r w:rsidR="006E2B93" w:rsidRPr="00B574E7">
        <w:rPr>
          <w:rFonts w:cs="Arial"/>
          <w:sz w:val="22"/>
          <w:szCs w:val="22"/>
        </w:rPr>
        <w:t>erritory legislation provides for effective referrals.</w:t>
      </w:r>
      <w:r w:rsidR="00F16687" w:rsidRPr="00B574E7">
        <w:rPr>
          <w:rFonts w:cs="Arial"/>
          <w:sz w:val="22"/>
          <w:szCs w:val="22"/>
        </w:rPr>
        <w:t xml:space="preserve"> </w:t>
      </w:r>
      <w:r w:rsidR="00F02294" w:rsidRPr="00B574E7">
        <w:rPr>
          <w:rFonts w:cs="Arial"/>
          <w:sz w:val="22"/>
          <w:szCs w:val="22"/>
        </w:rPr>
        <w:t>The lack of clarity about the operation of conscientious object</w:t>
      </w:r>
      <w:r w:rsidR="00347252" w:rsidRPr="00B574E7">
        <w:rPr>
          <w:rFonts w:cs="Arial"/>
          <w:sz w:val="22"/>
          <w:szCs w:val="22"/>
        </w:rPr>
        <w:t>ion</w:t>
      </w:r>
      <w:r w:rsidR="00F02294" w:rsidRPr="00B574E7">
        <w:rPr>
          <w:rFonts w:cs="Arial"/>
          <w:sz w:val="22"/>
          <w:szCs w:val="22"/>
        </w:rPr>
        <w:t>s can create uncertainty and avoidance in patients, particularly those from marginalised backgrounds who may have experienced stigma in mainstream health services. An absence of clear guidance means a patient may be disrespected by a clinician, not provided a health service</w:t>
      </w:r>
      <w:r w:rsidR="007802EB">
        <w:rPr>
          <w:rFonts w:cs="Arial"/>
          <w:sz w:val="22"/>
          <w:szCs w:val="22"/>
        </w:rPr>
        <w:t>, information, a prescription</w:t>
      </w:r>
      <w:r w:rsidR="00F02294" w:rsidRPr="00B574E7">
        <w:rPr>
          <w:rFonts w:cs="Arial"/>
          <w:sz w:val="22"/>
          <w:szCs w:val="22"/>
        </w:rPr>
        <w:t xml:space="preserve"> or referral, and the health organisation is unaware as there are no reporting requirements on the health practitioner. </w:t>
      </w:r>
    </w:p>
    <w:p w14:paraId="161F53DF" w14:textId="486BF521" w:rsidR="00102540" w:rsidRPr="00980402" w:rsidRDefault="006E2B93" w:rsidP="00B43BAB">
      <w:pPr>
        <w:pStyle w:val="VEOHRCBodytext"/>
        <w:keepNext w:val="0"/>
        <w:rPr>
          <w:rFonts w:cs="Arial"/>
          <w:sz w:val="22"/>
          <w:szCs w:val="22"/>
        </w:rPr>
      </w:pPr>
      <w:r w:rsidRPr="00B574E7">
        <w:rPr>
          <w:rFonts w:cs="Arial"/>
          <w:sz w:val="22"/>
          <w:szCs w:val="22"/>
        </w:rPr>
        <w:t xml:space="preserve">The Commission is concerned that </w:t>
      </w:r>
      <w:r w:rsidR="008E5472">
        <w:rPr>
          <w:rFonts w:cs="Arial"/>
          <w:sz w:val="22"/>
          <w:szCs w:val="22"/>
        </w:rPr>
        <w:t xml:space="preserve">the applicability of </w:t>
      </w:r>
      <w:r w:rsidRPr="00B574E7">
        <w:rPr>
          <w:rFonts w:cs="Arial"/>
          <w:sz w:val="22"/>
          <w:szCs w:val="22"/>
        </w:rPr>
        <w:t xml:space="preserve">clause 8(6) </w:t>
      </w:r>
      <w:r w:rsidR="008E5472">
        <w:rPr>
          <w:rFonts w:cs="Arial"/>
          <w:sz w:val="22"/>
          <w:szCs w:val="22"/>
        </w:rPr>
        <w:t xml:space="preserve">is unclear and </w:t>
      </w:r>
      <w:r w:rsidRPr="00B574E7">
        <w:rPr>
          <w:rFonts w:cs="Arial"/>
          <w:sz w:val="22"/>
          <w:szCs w:val="22"/>
        </w:rPr>
        <w:t xml:space="preserve">could </w:t>
      </w:r>
      <w:r w:rsidR="008C0D19" w:rsidRPr="00B574E7">
        <w:rPr>
          <w:rFonts w:cs="Arial"/>
          <w:sz w:val="22"/>
          <w:szCs w:val="22"/>
        </w:rPr>
        <w:t>undermine efforts</w:t>
      </w:r>
      <w:r w:rsidR="00E94B08" w:rsidRPr="00B574E7">
        <w:rPr>
          <w:rFonts w:cs="Arial"/>
          <w:sz w:val="22"/>
          <w:szCs w:val="22"/>
        </w:rPr>
        <w:t xml:space="preserve"> by employers and health professional bodies to set standards and clarify legal obligations to ensure the provision</w:t>
      </w:r>
      <w:r w:rsidR="008C0D19" w:rsidRPr="00B574E7">
        <w:rPr>
          <w:rFonts w:cs="Arial"/>
          <w:sz w:val="22"/>
          <w:szCs w:val="22"/>
        </w:rPr>
        <w:t xml:space="preserve"> </w:t>
      </w:r>
      <w:r w:rsidR="009A0FF1" w:rsidRPr="00B574E7">
        <w:rPr>
          <w:rFonts w:cs="Arial"/>
          <w:sz w:val="22"/>
          <w:szCs w:val="22"/>
        </w:rPr>
        <w:t xml:space="preserve">of </w:t>
      </w:r>
      <w:r w:rsidR="008C0D19" w:rsidRPr="00B574E7">
        <w:rPr>
          <w:rFonts w:cs="Arial"/>
          <w:sz w:val="22"/>
          <w:szCs w:val="22"/>
        </w:rPr>
        <w:t>safe, inclusive and quality health services, particularly</w:t>
      </w:r>
      <w:r w:rsidR="00347252" w:rsidRPr="00B574E7">
        <w:rPr>
          <w:rFonts w:cs="Arial"/>
          <w:sz w:val="22"/>
          <w:szCs w:val="22"/>
        </w:rPr>
        <w:t xml:space="preserve"> </w:t>
      </w:r>
      <w:r w:rsidRPr="00B574E7">
        <w:rPr>
          <w:rFonts w:cs="Arial"/>
          <w:sz w:val="22"/>
          <w:szCs w:val="22"/>
        </w:rPr>
        <w:t>in rural and remote areas. It may also</w:t>
      </w:r>
      <w:r w:rsidR="008C0D19" w:rsidRPr="00B574E7">
        <w:rPr>
          <w:rFonts w:cs="Arial"/>
          <w:sz w:val="22"/>
          <w:szCs w:val="22"/>
        </w:rPr>
        <w:t xml:space="preserve"> create resource implications for specialist services such as trans and gender diverse health services as patients feel unsafe accessing mainstream health and GP services.</w:t>
      </w:r>
      <w:r w:rsidR="008C0D19">
        <w:rPr>
          <w:rFonts w:cs="Arial"/>
          <w:sz w:val="22"/>
          <w:szCs w:val="22"/>
        </w:rPr>
        <w:t xml:space="preserve"> </w:t>
      </w:r>
    </w:p>
    <w:tbl>
      <w:tblPr>
        <w:tblStyle w:val="CustomTablebreakoutbox"/>
        <w:tblW w:w="0" w:type="auto"/>
        <w:tblLook w:val="04A0" w:firstRow="1" w:lastRow="0" w:firstColumn="1" w:lastColumn="0" w:noHBand="0" w:noVBand="1"/>
      </w:tblPr>
      <w:tblGrid>
        <w:gridCol w:w="9061"/>
      </w:tblGrid>
      <w:tr w:rsidR="00F02294" w:rsidRPr="00980402" w14:paraId="080A4D5C" w14:textId="77777777" w:rsidTr="00DF3694">
        <w:tc>
          <w:tcPr>
            <w:tcW w:w="9061" w:type="dxa"/>
          </w:tcPr>
          <w:p w14:paraId="11539A78" w14:textId="5F1FD942" w:rsidR="007161AB" w:rsidRPr="00980402" w:rsidRDefault="00800651" w:rsidP="007161AB">
            <w:pPr>
              <w:pStyle w:val="Heading4"/>
              <w:outlineLvl w:val="3"/>
              <w:rPr>
                <w:rFonts w:cs="Arial"/>
                <w:b/>
                <w:i w:val="0"/>
                <w:szCs w:val="22"/>
              </w:rPr>
            </w:pPr>
            <w:r>
              <w:rPr>
                <w:rFonts w:cs="Arial"/>
                <w:b/>
                <w:i w:val="0"/>
                <w:szCs w:val="22"/>
              </w:rPr>
              <w:t>Who is affected by this?</w:t>
            </w:r>
          </w:p>
          <w:p w14:paraId="4F59A93C" w14:textId="400B0D84" w:rsidR="007161AB" w:rsidRPr="00980402" w:rsidRDefault="007161AB" w:rsidP="007161AB">
            <w:pPr>
              <w:pStyle w:val="BodyText"/>
              <w:rPr>
                <w:rFonts w:cs="Arial"/>
                <w:szCs w:val="22"/>
                <w:lang w:eastAsia="en-AU"/>
              </w:rPr>
            </w:pPr>
            <w:r w:rsidRPr="00980402">
              <w:rPr>
                <w:rFonts w:cs="Arial"/>
                <w:szCs w:val="22"/>
                <w:lang w:eastAsia="en-AU"/>
              </w:rPr>
              <w:t>Without adequate safeguards, conscientious objections risk the health and wellbeing of marginalised communities</w:t>
            </w:r>
            <w:r>
              <w:rPr>
                <w:rFonts w:cs="Arial"/>
                <w:szCs w:val="22"/>
                <w:lang w:eastAsia="en-AU"/>
              </w:rPr>
              <w:t>, particularly LGBTIQ people and women</w:t>
            </w:r>
            <w:r w:rsidR="008D0F8B">
              <w:rPr>
                <w:rFonts w:cs="Arial"/>
                <w:szCs w:val="22"/>
                <w:lang w:eastAsia="en-AU"/>
              </w:rPr>
              <w:t xml:space="preserve"> </w:t>
            </w:r>
            <w:r w:rsidR="00F56003">
              <w:rPr>
                <w:rFonts w:cs="Arial"/>
                <w:szCs w:val="22"/>
                <w:lang w:eastAsia="en-AU"/>
              </w:rPr>
              <w:t xml:space="preserve">who access commonly-stigmatised </w:t>
            </w:r>
            <w:r w:rsidR="00BB6FCF">
              <w:rPr>
                <w:rFonts w:cs="Arial"/>
                <w:szCs w:val="22"/>
                <w:lang w:eastAsia="en-AU"/>
              </w:rPr>
              <w:t xml:space="preserve">health </w:t>
            </w:r>
            <w:r w:rsidR="00F56003">
              <w:rPr>
                <w:rFonts w:cs="Arial"/>
                <w:szCs w:val="22"/>
                <w:lang w:eastAsia="en-AU"/>
              </w:rPr>
              <w:t>services</w:t>
            </w:r>
            <w:r w:rsidRPr="00980402">
              <w:rPr>
                <w:rFonts w:cs="Arial"/>
                <w:szCs w:val="22"/>
                <w:lang w:eastAsia="en-AU"/>
              </w:rPr>
              <w:t xml:space="preserve">. </w:t>
            </w:r>
            <w:r w:rsidR="00A5310C">
              <w:rPr>
                <w:rFonts w:cs="Arial"/>
                <w:szCs w:val="22"/>
                <w:lang w:eastAsia="en-AU"/>
              </w:rPr>
              <w:t>Examples include:</w:t>
            </w:r>
          </w:p>
          <w:p w14:paraId="3DBE531D" w14:textId="77777777" w:rsidR="007161AB" w:rsidRPr="00980402" w:rsidRDefault="007161AB" w:rsidP="007161AB">
            <w:pPr>
              <w:pStyle w:val="BodyText"/>
              <w:rPr>
                <w:rFonts w:cs="Arial"/>
                <w:i/>
                <w:szCs w:val="22"/>
              </w:rPr>
            </w:pPr>
            <w:r w:rsidRPr="00980402">
              <w:rPr>
                <w:rFonts w:cs="Arial"/>
                <w:i/>
                <w:szCs w:val="22"/>
              </w:rPr>
              <w:t>A</w:t>
            </w:r>
            <w:r>
              <w:rPr>
                <w:rFonts w:cs="Arial"/>
                <w:i/>
                <w:szCs w:val="22"/>
              </w:rPr>
              <w:t>n unmarried</w:t>
            </w:r>
            <w:r w:rsidRPr="00980402">
              <w:rPr>
                <w:rFonts w:cs="Arial"/>
                <w:i/>
                <w:szCs w:val="22"/>
              </w:rPr>
              <w:t xml:space="preserve"> woman seeks contraceptives</w:t>
            </w:r>
          </w:p>
          <w:p w14:paraId="49876417" w14:textId="77777777" w:rsidR="007161AB" w:rsidRDefault="007161AB" w:rsidP="007161AB">
            <w:pPr>
              <w:pStyle w:val="BodyText"/>
              <w:rPr>
                <w:rFonts w:cs="Arial"/>
                <w:szCs w:val="22"/>
                <w:lang w:eastAsia="en-AU"/>
              </w:rPr>
            </w:pPr>
            <w:r w:rsidRPr="00980402">
              <w:rPr>
                <w:rFonts w:cs="Arial"/>
                <w:szCs w:val="22"/>
                <w:lang w:eastAsia="en-AU"/>
              </w:rPr>
              <w:t>A woman may approach her doctor for contraceptives. The doctor asks questions about whether the woman is married or not. After the woman explains that she is not married, the doctor refuses to provide contraceptives, describing her decision as sinful and dirty. The woman feels to</w:t>
            </w:r>
            <w:r>
              <w:rPr>
                <w:rFonts w:cs="Arial"/>
                <w:szCs w:val="22"/>
                <w:lang w:eastAsia="en-AU"/>
              </w:rPr>
              <w:t>o</w:t>
            </w:r>
            <w:r w:rsidRPr="00980402">
              <w:rPr>
                <w:rFonts w:cs="Arial"/>
                <w:szCs w:val="22"/>
                <w:lang w:eastAsia="en-AU"/>
              </w:rPr>
              <w:t xml:space="preserve"> ashamed to contact another doctor</w:t>
            </w:r>
            <w:r>
              <w:rPr>
                <w:rFonts w:cs="Arial"/>
                <w:szCs w:val="22"/>
                <w:lang w:eastAsia="en-AU"/>
              </w:rPr>
              <w:t xml:space="preserve">. </w:t>
            </w:r>
          </w:p>
          <w:p w14:paraId="0565C77A" w14:textId="58AF3D23" w:rsidR="007161AB" w:rsidRPr="00980402" w:rsidRDefault="007161AB" w:rsidP="007161AB">
            <w:pPr>
              <w:pStyle w:val="BodyText"/>
              <w:rPr>
                <w:rFonts w:cs="Arial"/>
                <w:i/>
                <w:iCs/>
                <w:szCs w:val="22"/>
                <w:lang w:eastAsia="en-AU"/>
              </w:rPr>
            </w:pPr>
            <w:r w:rsidRPr="00980402">
              <w:rPr>
                <w:rFonts w:cs="Arial"/>
                <w:i/>
                <w:iCs/>
                <w:szCs w:val="22"/>
                <w:lang w:eastAsia="en-AU"/>
              </w:rPr>
              <w:t>A transgender young person seeks</w:t>
            </w:r>
            <w:r>
              <w:rPr>
                <w:rFonts w:cs="Arial"/>
                <w:i/>
                <w:iCs/>
                <w:szCs w:val="22"/>
                <w:lang w:eastAsia="en-AU"/>
              </w:rPr>
              <w:t xml:space="preserve"> </w:t>
            </w:r>
            <w:r w:rsidR="00472031" w:rsidRPr="00980402">
              <w:rPr>
                <w:rFonts w:cs="Arial"/>
                <w:i/>
                <w:iCs/>
                <w:szCs w:val="22"/>
                <w:lang w:eastAsia="en-AU"/>
              </w:rPr>
              <w:t>Hormone Replacement Treatment</w:t>
            </w:r>
            <w:r w:rsidR="00472031">
              <w:rPr>
                <w:rStyle w:val="EndnoteReference"/>
                <w:rFonts w:cs="Arial"/>
                <w:i/>
                <w:iCs/>
                <w:szCs w:val="22"/>
                <w:lang w:eastAsia="en-AU"/>
              </w:rPr>
              <w:t xml:space="preserve"> </w:t>
            </w:r>
            <w:r>
              <w:rPr>
                <w:rStyle w:val="EndnoteReference"/>
                <w:rFonts w:cs="Arial"/>
                <w:i/>
                <w:iCs/>
                <w:szCs w:val="22"/>
                <w:lang w:eastAsia="en-AU"/>
              </w:rPr>
              <w:endnoteReference w:id="34"/>
            </w:r>
          </w:p>
          <w:p w14:paraId="2CA233D7" w14:textId="788A2DE3" w:rsidR="007161AB" w:rsidRPr="004E2B42" w:rsidRDefault="007161AB" w:rsidP="007161AB">
            <w:pPr>
              <w:pStyle w:val="BodyText"/>
              <w:rPr>
                <w:rFonts w:cs="Arial"/>
                <w:szCs w:val="22"/>
                <w:highlight w:val="yellow"/>
                <w:lang w:eastAsia="en-AU"/>
              </w:rPr>
            </w:pPr>
            <w:r>
              <w:rPr>
                <w:rFonts w:cs="Arial"/>
                <w:iCs/>
                <w:szCs w:val="22"/>
                <w:lang w:eastAsia="en-AU"/>
              </w:rPr>
              <w:t>A</w:t>
            </w:r>
            <w:r w:rsidRPr="00980402">
              <w:rPr>
                <w:rFonts w:cs="Arial"/>
                <w:szCs w:val="22"/>
                <w:lang w:eastAsia="en-AU"/>
              </w:rPr>
              <w:t xml:space="preserve"> young </w:t>
            </w:r>
            <w:r>
              <w:rPr>
                <w:rFonts w:cs="Arial"/>
                <w:szCs w:val="22"/>
                <w:lang w:eastAsia="en-AU"/>
              </w:rPr>
              <w:t xml:space="preserve">trans </w:t>
            </w:r>
            <w:r w:rsidRPr="00980402">
              <w:rPr>
                <w:rFonts w:cs="Arial"/>
                <w:szCs w:val="22"/>
                <w:lang w:eastAsia="en-AU"/>
              </w:rPr>
              <w:t xml:space="preserve">person seeks assistance from a rural GP. The practitioner refuses to provide a prescription for </w:t>
            </w:r>
            <w:r w:rsidR="00472031">
              <w:rPr>
                <w:rFonts w:cs="Arial"/>
                <w:szCs w:val="22"/>
                <w:lang w:eastAsia="en-AU"/>
              </w:rPr>
              <w:t>hormone replacement treatment</w:t>
            </w:r>
            <w:r w:rsidRPr="00980402">
              <w:rPr>
                <w:rFonts w:cs="Arial"/>
                <w:szCs w:val="22"/>
                <w:lang w:eastAsia="en-AU"/>
              </w:rPr>
              <w:t>, order baseline blood tests or provide a referral to an endocrinologist. In explaining their position, the GP states they cannot assist the person because God created men and women, and it would be an affront to their religion to interfere with God’s plans. The GP does not provide a referral to a transgender specialist GP</w:t>
            </w:r>
            <w:r>
              <w:rPr>
                <w:rFonts w:cs="Arial"/>
                <w:szCs w:val="22"/>
                <w:lang w:eastAsia="en-AU"/>
              </w:rPr>
              <w:t xml:space="preserve"> and </w:t>
            </w:r>
            <w:r w:rsidRPr="00980402">
              <w:rPr>
                <w:rFonts w:cs="Arial"/>
                <w:szCs w:val="22"/>
                <w:lang w:eastAsia="en-AU"/>
              </w:rPr>
              <w:t>the young person fails to receive treatment</w:t>
            </w:r>
            <w:r>
              <w:rPr>
                <w:rFonts w:cs="Arial"/>
                <w:szCs w:val="22"/>
                <w:lang w:eastAsia="en-AU"/>
              </w:rPr>
              <w:t>. The young person’s</w:t>
            </w:r>
            <w:r w:rsidRPr="00980402">
              <w:rPr>
                <w:rFonts w:cs="Arial"/>
                <w:szCs w:val="22"/>
                <w:lang w:eastAsia="en-AU"/>
              </w:rPr>
              <w:t xml:space="preserve"> mental health deteriorates, and they </w:t>
            </w:r>
            <w:r>
              <w:rPr>
                <w:rFonts w:cs="Arial"/>
                <w:szCs w:val="22"/>
                <w:lang w:eastAsia="en-AU"/>
              </w:rPr>
              <w:t>continue to suffer unsupported as they are</w:t>
            </w:r>
            <w:r w:rsidRPr="00980402">
              <w:rPr>
                <w:rFonts w:cs="Arial"/>
                <w:szCs w:val="22"/>
                <w:lang w:eastAsia="en-AU"/>
              </w:rPr>
              <w:t xml:space="preserve"> </w:t>
            </w:r>
            <w:r>
              <w:rPr>
                <w:rFonts w:cs="Arial"/>
                <w:szCs w:val="22"/>
                <w:lang w:eastAsia="en-AU"/>
              </w:rPr>
              <w:t>afraid to approach</w:t>
            </w:r>
            <w:r w:rsidRPr="00980402">
              <w:rPr>
                <w:rFonts w:cs="Arial"/>
                <w:szCs w:val="22"/>
                <w:lang w:eastAsia="en-AU"/>
              </w:rPr>
              <w:t xml:space="preserve"> another </w:t>
            </w:r>
            <w:r>
              <w:rPr>
                <w:rFonts w:cs="Arial"/>
                <w:szCs w:val="22"/>
                <w:lang w:eastAsia="en-AU"/>
              </w:rPr>
              <w:t>health service</w:t>
            </w:r>
            <w:r w:rsidRPr="00980402">
              <w:rPr>
                <w:rFonts w:cs="Arial"/>
                <w:szCs w:val="22"/>
                <w:lang w:eastAsia="en-AU"/>
              </w:rPr>
              <w:t xml:space="preserve"> in </w:t>
            </w:r>
            <w:proofErr w:type="gramStart"/>
            <w:r w:rsidRPr="00980402">
              <w:rPr>
                <w:rFonts w:cs="Arial"/>
                <w:szCs w:val="22"/>
                <w:lang w:eastAsia="en-AU"/>
              </w:rPr>
              <w:t>case</w:t>
            </w:r>
            <w:proofErr w:type="gramEnd"/>
            <w:r w:rsidRPr="00980402">
              <w:rPr>
                <w:rFonts w:cs="Arial"/>
                <w:szCs w:val="22"/>
                <w:lang w:eastAsia="en-AU"/>
              </w:rPr>
              <w:t xml:space="preserve"> they receive the same response. </w:t>
            </w:r>
          </w:p>
          <w:p w14:paraId="65AB9280" w14:textId="609E9AEF" w:rsidR="007161AB" w:rsidRPr="004E2B42" w:rsidRDefault="007161AB" w:rsidP="007161AB">
            <w:pPr>
              <w:pStyle w:val="BodyText"/>
              <w:rPr>
                <w:rFonts w:cs="Arial"/>
                <w:i/>
                <w:szCs w:val="22"/>
                <w:lang w:eastAsia="en-AU"/>
              </w:rPr>
            </w:pPr>
            <w:r w:rsidRPr="00E94B08">
              <w:rPr>
                <w:rFonts w:cs="Arial"/>
                <w:i/>
                <w:szCs w:val="22"/>
                <w:lang w:eastAsia="en-AU"/>
              </w:rPr>
              <w:t xml:space="preserve">A gay man seeks </w:t>
            </w:r>
            <w:r>
              <w:rPr>
                <w:rFonts w:cs="Arial"/>
                <w:i/>
                <w:szCs w:val="22"/>
                <w:lang w:eastAsia="en-AU"/>
              </w:rPr>
              <w:t>p</w:t>
            </w:r>
            <w:r w:rsidRPr="004E2B42">
              <w:rPr>
                <w:rFonts w:cs="Arial"/>
                <w:i/>
                <w:szCs w:val="22"/>
                <w:lang w:eastAsia="en-AU"/>
              </w:rPr>
              <w:t>re-exposure prophylaxis (PrEP) to prevent HIV</w:t>
            </w:r>
          </w:p>
          <w:p w14:paraId="2513EA25" w14:textId="5C3205DA" w:rsidR="006E2B93" w:rsidRPr="004E2B42" w:rsidRDefault="007161AB" w:rsidP="007161AB">
            <w:pPr>
              <w:pStyle w:val="BodyText"/>
              <w:rPr>
                <w:rFonts w:cs="Arial"/>
                <w:color w:val="222222"/>
                <w:shd w:val="clear" w:color="auto" w:fill="FFFFFF"/>
              </w:rPr>
            </w:pPr>
            <w:r w:rsidRPr="004E2B42">
              <w:rPr>
                <w:rFonts w:cs="Arial"/>
                <w:szCs w:val="22"/>
                <w:lang w:eastAsia="en-AU"/>
              </w:rPr>
              <w:t>A gay man attends his local GP to access information and a script for PrEP to avoid being exposed to HIV. His GP refuses to provide a script for PrEP or to provide any information about accessing the drug</w:t>
            </w:r>
            <w:r w:rsidRPr="00347252">
              <w:rPr>
                <w:rFonts w:cs="Arial"/>
                <w:szCs w:val="22"/>
                <w:lang w:eastAsia="en-AU"/>
              </w:rPr>
              <w:t>. The doctor does not disclose his religious views</w:t>
            </w:r>
            <w:r>
              <w:rPr>
                <w:rFonts w:cs="Arial"/>
                <w:szCs w:val="22"/>
                <w:lang w:eastAsia="en-AU"/>
              </w:rPr>
              <w:t>,</w:t>
            </w:r>
            <w:r w:rsidRPr="00347252">
              <w:rPr>
                <w:rFonts w:cs="Arial"/>
                <w:szCs w:val="22"/>
                <w:lang w:eastAsia="en-AU"/>
              </w:rPr>
              <w:t xml:space="preserve"> but it is clear he is not comfortable discussing the matter with this patient because of his sexual orientation.</w:t>
            </w:r>
            <w:r w:rsidRPr="004E2B42">
              <w:rPr>
                <w:rFonts w:cs="Arial"/>
                <w:szCs w:val="22"/>
                <w:lang w:eastAsia="en-AU"/>
              </w:rPr>
              <w:t xml:space="preserve"> </w:t>
            </w:r>
            <w:r>
              <w:rPr>
                <w:rFonts w:cs="Arial"/>
                <w:szCs w:val="22"/>
                <w:lang w:eastAsia="en-AU"/>
              </w:rPr>
              <w:t>The man is confused, embarrassed and unsure where to go for assistance. As a result, he does not access PrEP and risks contracting HIV.</w:t>
            </w:r>
          </w:p>
        </w:tc>
      </w:tr>
    </w:tbl>
    <w:p w14:paraId="20B6B76D" w14:textId="77777777" w:rsidR="009B3314" w:rsidRPr="00980402" w:rsidRDefault="009B3314" w:rsidP="009B3314">
      <w:pPr>
        <w:pStyle w:val="BodyText"/>
        <w:rPr>
          <w:rFonts w:cs="Arial"/>
          <w:szCs w:val="22"/>
          <w:lang w:eastAsia="en-AU"/>
        </w:rPr>
      </w:pPr>
    </w:p>
    <w:tbl>
      <w:tblPr>
        <w:tblStyle w:val="CustomTablerecommendationsbox"/>
        <w:tblW w:w="0" w:type="auto"/>
        <w:tblLook w:val="04A0" w:firstRow="1" w:lastRow="0" w:firstColumn="1" w:lastColumn="0" w:noHBand="0" w:noVBand="1"/>
      </w:tblPr>
      <w:tblGrid>
        <w:gridCol w:w="9061"/>
      </w:tblGrid>
      <w:tr w:rsidR="009B3314" w:rsidRPr="00980402" w14:paraId="2D3E730C" w14:textId="77777777" w:rsidTr="009B3314">
        <w:tc>
          <w:tcPr>
            <w:tcW w:w="9061" w:type="dxa"/>
            <w:hideMark/>
          </w:tcPr>
          <w:p w14:paraId="1CA78BCB" w14:textId="6B8F5671" w:rsidR="009B3314" w:rsidRPr="00980402" w:rsidRDefault="009B3314">
            <w:pPr>
              <w:pStyle w:val="Heading4"/>
              <w:outlineLvl w:val="3"/>
              <w:rPr>
                <w:rFonts w:cs="Arial"/>
                <w:b/>
                <w:i w:val="0"/>
                <w:szCs w:val="22"/>
              </w:rPr>
            </w:pPr>
            <w:bookmarkStart w:id="4" w:name="_Hlk19870203"/>
            <w:r w:rsidRPr="00980402">
              <w:rPr>
                <w:rFonts w:cs="Arial"/>
                <w:b/>
                <w:i w:val="0"/>
                <w:szCs w:val="22"/>
              </w:rPr>
              <w:t xml:space="preserve">Recommendation </w:t>
            </w:r>
            <w:r w:rsidR="00981954">
              <w:rPr>
                <w:rFonts w:cs="Arial"/>
                <w:b/>
                <w:i w:val="0"/>
                <w:szCs w:val="22"/>
              </w:rPr>
              <w:t>3</w:t>
            </w:r>
          </w:p>
          <w:p w14:paraId="5AB6AE02" w14:textId="49E9E3C0" w:rsidR="009B3314" w:rsidRPr="00BB6FCF" w:rsidRDefault="00781243" w:rsidP="00BB6FCF">
            <w:pPr>
              <w:pStyle w:val="BodyText"/>
            </w:pPr>
            <w:r w:rsidRPr="00980402">
              <w:t>The Attorney-General should remove clause 8(5) and 8(6)</w:t>
            </w:r>
            <w:r>
              <w:t>, dealing with rules about conscientious objections by health practitioners,</w:t>
            </w:r>
            <w:r w:rsidRPr="00980402">
              <w:t xml:space="preserve"> from the </w:t>
            </w:r>
            <w:r w:rsidRPr="00980402">
              <w:rPr>
                <w:i/>
              </w:rPr>
              <w:t>Religious Discrimination Bill</w:t>
            </w:r>
            <w:r>
              <w:rPr>
                <w:i/>
              </w:rPr>
              <w:t xml:space="preserve"> </w:t>
            </w:r>
            <w:r w:rsidRPr="00E22EC6">
              <w:rPr>
                <w:i/>
              </w:rPr>
              <w:t>2019</w:t>
            </w:r>
            <w:r>
              <w:rPr>
                <w:i/>
              </w:rPr>
              <w:t xml:space="preserve"> </w:t>
            </w:r>
            <w:r w:rsidRPr="004E2B42">
              <w:t>(Cth)</w:t>
            </w:r>
            <w:r>
              <w:t>.</w:t>
            </w:r>
          </w:p>
        </w:tc>
        <w:bookmarkEnd w:id="4"/>
      </w:tr>
    </w:tbl>
    <w:p w14:paraId="12170A1B" w14:textId="18B99948" w:rsidR="009B3314" w:rsidRDefault="009B3314" w:rsidP="00B43BAB">
      <w:pPr>
        <w:pStyle w:val="VEOHRCBodytext"/>
        <w:keepNext w:val="0"/>
        <w:rPr>
          <w:rFonts w:cs="Arial"/>
          <w:sz w:val="22"/>
          <w:szCs w:val="22"/>
        </w:rPr>
      </w:pPr>
    </w:p>
    <w:p w14:paraId="233A2777" w14:textId="0908BE93" w:rsidR="005B5F9C" w:rsidRDefault="005B5F9C" w:rsidP="00B43BAB">
      <w:pPr>
        <w:pStyle w:val="VEOHRCBodytext"/>
        <w:keepNext w:val="0"/>
        <w:rPr>
          <w:rFonts w:cs="Arial"/>
          <w:sz w:val="22"/>
          <w:szCs w:val="22"/>
        </w:rPr>
      </w:pPr>
    </w:p>
    <w:p w14:paraId="2F83C5AD" w14:textId="77777777" w:rsidR="005B5F9C" w:rsidRPr="00980402" w:rsidRDefault="005B5F9C" w:rsidP="00B43BAB">
      <w:pPr>
        <w:pStyle w:val="VEOHRCBodytext"/>
        <w:keepNext w:val="0"/>
        <w:rPr>
          <w:rFonts w:cs="Arial"/>
          <w:sz w:val="22"/>
          <w:szCs w:val="22"/>
        </w:rPr>
      </w:pPr>
    </w:p>
    <w:p w14:paraId="307A3B09" w14:textId="14A496FF" w:rsidR="00735CD1" w:rsidRPr="00CC4D04" w:rsidRDefault="00735CD1" w:rsidP="00781243">
      <w:pPr>
        <w:pStyle w:val="VEOHRCBodytext"/>
        <w:keepNext w:val="0"/>
        <w:rPr>
          <w:rFonts w:cs="Arial"/>
          <w:b/>
          <w:sz w:val="22"/>
          <w:szCs w:val="22"/>
        </w:rPr>
      </w:pPr>
      <w:r>
        <w:rPr>
          <w:rFonts w:cs="Arial"/>
          <w:b/>
          <w:sz w:val="22"/>
          <w:szCs w:val="22"/>
        </w:rPr>
        <w:lastRenderedPageBreak/>
        <w:t>Restricting</w:t>
      </w:r>
      <w:r w:rsidRPr="00CC4D04">
        <w:rPr>
          <w:rFonts w:cs="Arial"/>
          <w:b/>
          <w:sz w:val="22"/>
          <w:szCs w:val="22"/>
        </w:rPr>
        <w:t xml:space="preserve"> inherent requirement </w:t>
      </w:r>
    </w:p>
    <w:p w14:paraId="6B974BAD" w14:textId="35A9EDF0" w:rsidR="00781243" w:rsidRDefault="00781243" w:rsidP="00781243">
      <w:pPr>
        <w:pStyle w:val="VEOHRCBodytext"/>
        <w:keepNext w:val="0"/>
        <w:rPr>
          <w:rFonts w:cs="Arial"/>
          <w:sz w:val="22"/>
          <w:szCs w:val="22"/>
        </w:rPr>
      </w:pPr>
      <w:r>
        <w:rPr>
          <w:rFonts w:cs="Arial"/>
          <w:sz w:val="22"/>
          <w:szCs w:val="22"/>
        </w:rPr>
        <w:t xml:space="preserve">Clause 31(2)-(5) set out exceptions that permit discrimination on the grounds of religious belief or activity in employment where the person is unable to carry out the inherent requirements of the </w:t>
      </w:r>
      <w:proofErr w:type="gramStart"/>
      <w:r>
        <w:rPr>
          <w:rFonts w:cs="Arial"/>
          <w:sz w:val="22"/>
          <w:szCs w:val="22"/>
        </w:rPr>
        <w:t>particular job</w:t>
      </w:r>
      <w:proofErr w:type="gramEnd"/>
      <w:r>
        <w:rPr>
          <w:rFonts w:cs="Arial"/>
          <w:sz w:val="22"/>
          <w:szCs w:val="22"/>
        </w:rPr>
        <w:t xml:space="preserve"> because of the person’s religious belief of activity. This provision replicates the general inherent requirements test in the </w:t>
      </w:r>
      <w:r>
        <w:rPr>
          <w:rFonts w:cs="Arial"/>
          <w:i/>
          <w:sz w:val="22"/>
          <w:szCs w:val="22"/>
        </w:rPr>
        <w:t>Australian Human Rights Commission Act</w:t>
      </w:r>
      <w:r w:rsidRPr="00D341FA">
        <w:rPr>
          <w:rFonts w:cs="Arial"/>
          <w:i/>
          <w:sz w:val="22"/>
          <w:szCs w:val="22"/>
        </w:rPr>
        <w:t xml:space="preserve"> 1986</w:t>
      </w:r>
      <w:r>
        <w:rPr>
          <w:rFonts w:cs="Arial"/>
          <w:sz w:val="22"/>
          <w:szCs w:val="22"/>
        </w:rPr>
        <w:t xml:space="preserve"> (</w:t>
      </w:r>
      <w:proofErr w:type="spellStart"/>
      <w:r>
        <w:rPr>
          <w:rFonts w:cs="Arial"/>
          <w:sz w:val="22"/>
          <w:szCs w:val="22"/>
        </w:rPr>
        <w:t>Cth</w:t>
      </w:r>
      <w:proofErr w:type="spellEnd"/>
      <w:r>
        <w:rPr>
          <w:rFonts w:cs="Arial"/>
          <w:sz w:val="22"/>
          <w:szCs w:val="22"/>
        </w:rPr>
        <w:t>).</w:t>
      </w:r>
      <w:r>
        <w:rPr>
          <w:rStyle w:val="EndnoteReference"/>
          <w:rFonts w:cs="Arial"/>
          <w:sz w:val="22"/>
          <w:szCs w:val="22"/>
        </w:rPr>
        <w:endnoteReference w:id="35"/>
      </w:r>
      <w:r>
        <w:rPr>
          <w:rFonts w:cs="Arial"/>
          <w:sz w:val="22"/>
          <w:szCs w:val="22"/>
        </w:rPr>
        <w:t xml:space="preserve"> However, clause 31(6) and (7) of the exposure draft include two additional unnecessary limits on the inherent requirement test by preventing certain employer conduct rules from being </w:t>
      </w:r>
      <w:r w:rsidR="00BB6FCF">
        <w:rPr>
          <w:rFonts w:cs="Arial"/>
          <w:sz w:val="22"/>
          <w:szCs w:val="22"/>
        </w:rPr>
        <w:t xml:space="preserve">considered </w:t>
      </w:r>
      <w:r>
        <w:rPr>
          <w:rFonts w:cs="Arial"/>
          <w:sz w:val="22"/>
          <w:szCs w:val="22"/>
        </w:rPr>
        <w:t xml:space="preserve">inherent requirements of the job. </w:t>
      </w:r>
    </w:p>
    <w:p w14:paraId="00C24B67" w14:textId="62C6B2F8" w:rsidR="00B07EC1" w:rsidRDefault="00781243" w:rsidP="00781243">
      <w:pPr>
        <w:pStyle w:val="VEOHRCBodytext"/>
        <w:keepNext w:val="0"/>
        <w:rPr>
          <w:rFonts w:cs="Arial"/>
          <w:sz w:val="22"/>
          <w:szCs w:val="22"/>
        </w:rPr>
      </w:pPr>
      <w:r>
        <w:rPr>
          <w:rFonts w:cs="Arial"/>
          <w:sz w:val="22"/>
          <w:szCs w:val="22"/>
        </w:rPr>
        <w:t xml:space="preserve">Clause 31(6) prevents rules from being inherent requirements of the job if it would have the effect of restricting or preventing an employee from making a ‘statement of belief’ outside of work hours and is not reasonable for the purposes of clause 8. Similarly, clause 31(7) prevents certain health practitioner conduct rules from being an inherent requirement of the job if they involve a condition, requirement of practice that would have the effect of restricting or preventing a health practitioner from conscientiously objecting to providing a health service because of their religious belief of activity. In other words, conduct rules that are not deemed ‘reasonable’ under clause 8 will not be considered inherent requirements of a job. In those cases, they cannot be the basis for discrimination by employers. </w:t>
      </w:r>
    </w:p>
    <w:p w14:paraId="263F1C8B" w14:textId="70A7D60A" w:rsidR="00781243" w:rsidRPr="00750491" w:rsidRDefault="00781243" w:rsidP="00781243">
      <w:pPr>
        <w:pStyle w:val="VEOHRCBodytext"/>
        <w:keepNext w:val="0"/>
        <w:rPr>
          <w:rFonts w:cs="Arial"/>
          <w:szCs w:val="22"/>
        </w:rPr>
      </w:pPr>
      <w:r>
        <w:rPr>
          <w:rFonts w:cs="Arial"/>
          <w:sz w:val="22"/>
          <w:szCs w:val="22"/>
        </w:rPr>
        <w:t xml:space="preserve">These additional limitations are unconventional and presupposes situations where it is essential to a </w:t>
      </w:r>
      <w:proofErr w:type="gramStart"/>
      <w:r>
        <w:rPr>
          <w:rFonts w:cs="Arial"/>
          <w:sz w:val="22"/>
          <w:szCs w:val="22"/>
        </w:rPr>
        <w:t>particular job</w:t>
      </w:r>
      <w:proofErr w:type="gramEnd"/>
      <w:r>
        <w:rPr>
          <w:rFonts w:cs="Arial"/>
          <w:sz w:val="22"/>
          <w:szCs w:val="22"/>
        </w:rPr>
        <w:t xml:space="preserve"> that employees comply with codes of conduct that may apply outside of work hours, or in relation to conscientious objection to the provision of essential health services. The convention</w:t>
      </w:r>
      <w:r w:rsidR="00B07EC1">
        <w:rPr>
          <w:rFonts w:cs="Arial"/>
          <w:sz w:val="22"/>
          <w:szCs w:val="22"/>
        </w:rPr>
        <w:t>al</w:t>
      </w:r>
      <w:r>
        <w:rPr>
          <w:rFonts w:cs="Arial"/>
          <w:sz w:val="22"/>
          <w:szCs w:val="22"/>
        </w:rPr>
        <w:t xml:space="preserve"> limitations on inherent requirements set out in clause 31(2)-(5) and in case law are </w:t>
      </w:r>
      <w:proofErr w:type="gramStart"/>
      <w:r>
        <w:rPr>
          <w:rFonts w:cs="Arial"/>
          <w:sz w:val="22"/>
          <w:szCs w:val="22"/>
        </w:rPr>
        <w:t>sufficient</w:t>
      </w:r>
      <w:proofErr w:type="gramEnd"/>
      <w:r>
        <w:rPr>
          <w:rFonts w:cs="Arial"/>
          <w:sz w:val="22"/>
          <w:szCs w:val="22"/>
        </w:rPr>
        <w:t xml:space="preserve">. Considering their interaction with </w:t>
      </w:r>
      <w:r w:rsidR="00152AA8">
        <w:rPr>
          <w:rFonts w:cs="Arial"/>
          <w:sz w:val="22"/>
          <w:szCs w:val="22"/>
        </w:rPr>
        <w:t xml:space="preserve">problematic </w:t>
      </w:r>
      <w:r>
        <w:rPr>
          <w:rFonts w:cs="Arial"/>
          <w:sz w:val="22"/>
          <w:szCs w:val="22"/>
        </w:rPr>
        <w:t>clause 8 and the impact on employer’s ability to make recruitment decisions</w:t>
      </w:r>
      <w:r w:rsidR="00152AA8">
        <w:rPr>
          <w:rFonts w:cs="Arial"/>
          <w:sz w:val="22"/>
          <w:szCs w:val="22"/>
        </w:rPr>
        <w:t xml:space="preserve"> to hire people</w:t>
      </w:r>
      <w:r>
        <w:rPr>
          <w:rFonts w:cs="Arial"/>
          <w:sz w:val="22"/>
          <w:szCs w:val="22"/>
        </w:rPr>
        <w:t>, clause 31(6) and (7) should be removed from the exposure draft.</w:t>
      </w:r>
    </w:p>
    <w:tbl>
      <w:tblPr>
        <w:tblStyle w:val="CustomTablerecommendationsbox"/>
        <w:tblW w:w="0" w:type="auto"/>
        <w:tblLook w:val="04A0" w:firstRow="1" w:lastRow="0" w:firstColumn="1" w:lastColumn="0" w:noHBand="0" w:noVBand="1"/>
      </w:tblPr>
      <w:tblGrid>
        <w:gridCol w:w="9061"/>
      </w:tblGrid>
      <w:tr w:rsidR="00781243" w:rsidRPr="00980402" w14:paraId="28B25B01" w14:textId="77777777" w:rsidTr="00B93BDC">
        <w:tc>
          <w:tcPr>
            <w:tcW w:w="9061" w:type="dxa"/>
            <w:hideMark/>
          </w:tcPr>
          <w:p w14:paraId="5E36BB2A" w14:textId="77777777" w:rsidR="00781243" w:rsidRPr="00980402" w:rsidRDefault="00781243" w:rsidP="00B93BDC">
            <w:pPr>
              <w:pStyle w:val="Heading4"/>
              <w:outlineLvl w:val="3"/>
              <w:rPr>
                <w:rFonts w:cs="Arial"/>
                <w:b/>
                <w:i w:val="0"/>
                <w:szCs w:val="22"/>
              </w:rPr>
            </w:pPr>
            <w:r w:rsidRPr="00980402">
              <w:rPr>
                <w:rFonts w:cs="Arial"/>
                <w:b/>
                <w:i w:val="0"/>
                <w:szCs w:val="22"/>
              </w:rPr>
              <w:t xml:space="preserve">Recommendation </w:t>
            </w:r>
            <w:r>
              <w:rPr>
                <w:rFonts w:cs="Arial"/>
                <w:b/>
                <w:i w:val="0"/>
                <w:szCs w:val="22"/>
              </w:rPr>
              <w:t>4</w:t>
            </w:r>
          </w:p>
          <w:p w14:paraId="74B71CB6" w14:textId="71CB42C7" w:rsidR="00781243" w:rsidRPr="00835409" w:rsidRDefault="00781243" w:rsidP="00B93BDC">
            <w:pPr>
              <w:pStyle w:val="BodyText"/>
            </w:pPr>
            <w:r w:rsidRPr="00980402">
              <w:t>The Attorney-General should remove clause</w:t>
            </w:r>
            <w:r w:rsidR="00152AA8">
              <w:t>s</w:t>
            </w:r>
            <w:r w:rsidRPr="00980402">
              <w:t xml:space="preserve"> </w:t>
            </w:r>
            <w:r>
              <w:t>31</w:t>
            </w:r>
            <w:r w:rsidRPr="00980402">
              <w:t>(</w:t>
            </w:r>
            <w:r>
              <w:t>6</w:t>
            </w:r>
            <w:r w:rsidRPr="00980402">
              <w:t>)</w:t>
            </w:r>
            <w:r>
              <w:t>-</w:t>
            </w:r>
            <w:r w:rsidRPr="00980402">
              <w:t>(</w:t>
            </w:r>
            <w:r>
              <w:t>7</w:t>
            </w:r>
            <w:r w:rsidRPr="00980402">
              <w:t>)</w:t>
            </w:r>
            <w:r>
              <w:t>, dealing with additional limitations on what may be an inherent requirement of a job,</w:t>
            </w:r>
            <w:r w:rsidRPr="00980402">
              <w:t xml:space="preserve"> from the </w:t>
            </w:r>
            <w:r w:rsidRPr="00980402">
              <w:rPr>
                <w:i/>
              </w:rPr>
              <w:t>Religious Discrimination Bill</w:t>
            </w:r>
            <w:r>
              <w:rPr>
                <w:i/>
              </w:rPr>
              <w:t xml:space="preserve"> </w:t>
            </w:r>
            <w:r w:rsidRPr="00E22EC6">
              <w:rPr>
                <w:i/>
              </w:rPr>
              <w:t>2019</w:t>
            </w:r>
            <w:r>
              <w:rPr>
                <w:i/>
              </w:rPr>
              <w:t xml:space="preserve"> </w:t>
            </w:r>
            <w:r w:rsidRPr="004E2B42">
              <w:t>(Cth)</w:t>
            </w:r>
            <w:r>
              <w:t>.</w:t>
            </w:r>
          </w:p>
          <w:p w14:paraId="2FD565E2" w14:textId="77777777" w:rsidR="00781243" w:rsidRPr="00980402" w:rsidRDefault="00781243" w:rsidP="00B93BDC">
            <w:pPr>
              <w:pStyle w:val="ListBullet"/>
              <w:tabs>
                <w:tab w:val="left" w:pos="720"/>
              </w:tabs>
              <w:spacing w:before="120" w:line="23" w:lineRule="atLeast"/>
              <w:rPr>
                <w:rFonts w:cs="Arial"/>
                <w:szCs w:val="22"/>
              </w:rPr>
            </w:pPr>
          </w:p>
        </w:tc>
      </w:tr>
    </w:tbl>
    <w:p w14:paraId="5FA55B59" w14:textId="77777777" w:rsidR="00781243" w:rsidRDefault="00781243" w:rsidP="00B43BAB">
      <w:pPr>
        <w:pStyle w:val="VEOHRCBodytext"/>
        <w:keepNext w:val="0"/>
        <w:rPr>
          <w:rFonts w:cs="Arial"/>
          <w:b/>
          <w:sz w:val="22"/>
          <w:szCs w:val="22"/>
        </w:rPr>
      </w:pPr>
    </w:p>
    <w:p w14:paraId="4D8830A2" w14:textId="46A5BF36" w:rsidR="00B43BAB" w:rsidRPr="00980402" w:rsidRDefault="004C73A1" w:rsidP="00B43BAB">
      <w:pPr>
        <w:pStyle w:val="VEOHRCBodytext"/>
        <w:keepNext w:val="0"/>
        <w:rPr>
          <w:rFonts w:cs="Arial"/>
          <w:b/>
          <w:sz w:val="22"/>
          <w:szCs w:val="22"/>
        </w:rPr>
      </w:pPr>
      <w:r w:rsidRPr="00980402">
        <w:rPr>
          <w:rFonts w:cs="Arial"/>
          <w:b/>
          <w:sz w:val="22"/>
          <w:szCs w:val="22"/>
        </w:rPr>
        <w:t>Effect of including religious bodies in the definition of a ‘person’</w:t>
      </w:r>
    </w:p>
    <w:p w14:paraId="7B9E2F60" w14:textId="7D10B21A" w:rsidR="00C2584C" w:rsidRPr="00D33B90" w:rsidRDefault="00C2584C" w:rsidP="00B43BAB">
      <w:pPr>
        <w:pStyle w:val="VEOHRCBodytext"/>
        <w:keepNext w:val="0"/>
        <w:rPr>
          <w:rFonts w:cs="Arial"/>
          <w:sz w:val="22"/>
          <w:szCs w:val="22"/>
        </w:rPr>
      </w:pPr>
      <w:r w:rsidRPr="00D33B90">
        <w:rPr>
          <w:rFonts w:cs="Arial"/>
          <w:sz w:val="22"/>
          <w:szCs w:val="22"/>
        </w:rPr>
        <w:t xml:space="preserve">In clauses 7 and 8 of the exposure draft, a person may not </w:t>
      </w:r>
      <w:r w:rsidR="00BE115C">
        <w:rPr>
          <w:rFonts w:cs="Arial"/>
          <w:sz w:val="22"/>
          <w:szCs w:val="22"/>
        </w:rPr>
        <w:t>be</w:t>
      </w:r>
      <w:r w:rsidRPr="00D33B90">
        <w:rPr>
          <w:rFonts w:cs="Arial"/>
          <w:sz w:val="22"/>
          <w:szCs w:val="22"/>
        </w:rPr>
        <w:t xml:space="preserve"> discriminate</w:t>
      </w:r>
      <w:r w:rsidR="00BE115C">
        <w:rPr>
          <w:rFonts w:cs="Arial"/>
          <w:sz w:val="22"/>
          <w:szCs w:val="22"/>
        </w:rPr>
        <w:t>d</w:t>
      </w:r>
      <w:r w:rsidRPr="00D33B90">
        <w:rPr>
          <w:rFonts w:cs="Arial"/>
          <w:sz w:val="22"/>
          <w:szCs w:val="22"/>
        </w:rPr>
        <w:t xml:space="preserve"> </w:t>
      </w:r>
      <w:r w:rsidR="00E22EC6" w:rsidRPr="00D33B90">
        <w:rPr>
          <w:rFonts w:cs="Arial"/>
          <w:sz w:val="22"/>
          <w:szCs w:val="22"/>
        </w:rPr>
        <w:t xml:space="preserve">against </w:t>
      </w:r>
      <w:r w:rsidRPr="00D33B90">
        <w:rPr>
          <w:rFonts w:cs="Arial"/>
          <w:sz w:val="22"/>
          <w:szCs w:val="22"/>
        </w:rPr>
        <w:t xml:space="preserve">on the ground of </w:t>
      </w:r>
      <w:r w:rsidR="00BE115C">
        <w:rPr>
          <w:rFonts w:cs="Arial"/>
          <w:sz w:val="22"/>
          <w:szCs w:val="22"/>
        </w:rPr>
        <w:t xml:space="preserve">their </w:t>
      </w:r>
      <w:r w:rsidRPr="00D33B90">
        <w:rPr>
          <w:rFonts w:cs="Arial"/>
          <w:sz w:val="22"/>
          <w:szCs w:val="22"/>
        </w:rPr>
        <w:t>religious belief</w:t>
      </w:r>
      <w:r w:rsidR="00BE115C">
        <w:rPr>
          <w:rFonts w:cs="Arial"/>
          <w:sz w:val="22"/>
          <w:szCs w:val="22"/>
        </w:rPr>
        <w:t xml:space="preserve"> or activity</w:t>
      </w:r>
      <w:r w:rsidRPr="00D33B90">
        <w:rPr>
          <w:rFonts w:cs="Arial"/>
          <w:sz w:val="22"/>
          <w:szCs w:val="22"/>
        </w:rPr>
        <w:t xml:space="preserve">. As noted earlier, the Commission supports conventional provisions for direct and indirect discrimination. However, the definition of a ‘person’ in clause 5 imports the meaning from section 2C of the </w:t>
      </w:r>
      <w:r w:rsidRPr="00D33B90">
        <w:rPr>
          <w:rFonts w:cs="Arial"/>
          <w:i/>
          <w:sz w:val="22"/>
          <w:szCs w:val="22"/>
        </w:rPr>
        <w:t xml:space="preserve">Acts Interpretation Act 1901 </w:t>
      </w:r>
      <w:r w:rsidRPr="00D33B90">
        <w:rPr>
          <w:rFonts w:cs="Arial"/>
          <w:sz w:val="22"/>
          <w:szCs w:val="22"/>
        </w:rPr>
        <w:t>(</w:t>
      </w:r>
      <w:proofErr w:type="spellStart"/>
      <w:r w:rsidRPr="00D33B90">
        <w:rPr>
          <w:rFonts w:cs="Arial"/>
          <w:sz w:val="22"/>
          <w:szCs w:val="22"/>
        </w:rPr>
        <w:t>Cth</w:t>
      </w:r>
      <w:proofErr w:type="spellEnd"/>
      <w:r w:rsidRPr="00D33B90">
        <w:rPr>
          <w:rFonts w:cs="Arial"/>
          <w:sz w:val="22"/>
          <w:szCs w:val="22"/>
        </w:rPr>
        <w:t>), which includes a ‘body politic or corporate as well as an individual.’ A note in</w:t>
      </w:r>
      <w:r w:rsidR="00900CE2" w:rsidRPr="00D33B90">
        <w:rPr>
          <w:rFonts w:cs="Arial"/>
          <w:sz w:val="22"/>
          <w:szCs w:val="22"/>
        </w:rPr>
        <w:t xml:space="preserve"> the clause 5 definition</w:t>
      </w:r>
      <w:r w:rsidRPr="00D33B90">
        <w:rPr>
          <w:rFonts w:cs="Arial"/>
          <w:sz w:val="22"/>
          <w:szCs w:val="22"/>
        </w:rPr>
        <w:t xml:space="preserve"> confirms that this is intended to include a religious body or religious institution</w:t>
      </w:r>
      <w:r w:rsidR="00346ABD">
        <w:rPr>
          <w:rFonts w:cs="Arial"/>
          <w:sz w:val="22"/>
          <w:szCs w:val="22"/>
        </w:rPr>
        <w:t>.</w:t>
      </w:r>
    </w:p>
    <w:p w14:paraId="614D955D" w14:textId="29ED24DC" w:rsidR="00D60076" w:rsidRDefault="00E06CCF" w:rsidP="00D60076">
      <w:pPr>
        <w:pStyle w:val="VEOHRCBodytext"/>
        <w:keepNext w:val="0"/>
        <w:rPr>
          <w:rFonts w:cs="Arial"/>
          <w:sz w:val="22"/>
          <w:szCs w:val="22"/>
        </w:rPr>
      </w:pPr>
      <w:r w:rsidRPr="00D33B90">
        <w:rPr>
          <w:rFonts w:cs="Arial"/>
          <w:sz w:val="22"/>
          <w:szCs w:val="22"/>
        </w:rPr>
        <w:t xml:space="preserve">The Commission has concerns about the consequences of importing </w:t>
      </w:r>
      <w:r w:rsidR="00B07EC1">
        <w:rPr>
          <w:rFonts w:cs="Arial"/>
          <w:sz w:val="22"/>
          <w:szCs w:val="22"/>
        </w:rPr>
        <w:t>body corporates (including religious institutions</w:t>
      </w:r>
      <w:r w:rsidR="00C54D4B">
        <w:rPr>
          <w:rFonts w:cs="Arial"/>
          <w:sz w:val="22"/>
          <w:szCs w:val="22"/>
        </w:rPr>
        <w:t>, religious schools, religious charities or religious businesses</w:t>
      </w:r>
      <w:r w:rsidR="00B07EC1">
        <w:rPr>
          <w:rFonts w:cs="Arial"/>
          <w:sz w:val="22"/>
          <w:szCs w:val="22"/>
        </w:rPr>
        <w:t>)</w:t>
      </w:r>
      <w:r w:rsidRPr="00D33B90">
        <w:rPr>
          <w:rFonts w:cs="Arial"/>
          <w:sz w:val="22"/>
          <w:szCs w:val="22"/>
        </w:rPr>
        <w:t xml:space="preserve"> into the meaning of persons. </w:t>
      </w:r>
      <w:r w:rsidR="00AC14F3" w:rsidRPr="00D33B90">
        <w:rPr>
          <w:rFonts w:cs="Arial"/>
          <w:sz w:val="22"/>
          <w:szCs w:val="22"/>
        </w:rPr>
        <w:t xml:space="preserve">Ordinarily in anti-discrimination law, persons </w:t>
      </w:r>
      <w:r w:rsidR="00B11139" w:rsidRPr="00D33B90">
        <w:rPr>
          <w:rFonts w:cs="Arial"/>
          <w:sz w:val="22"/>
          <w:szCs w:val="22"/>
        </w:rPr>
        <w:t>refer</w:t>
      </w:r>
      <w:r w:rsidR="00AC14F3" w:rsidRPr="00D33B90">
        <w:rPr>
          <w:rFonts w:cs="Arial"/>
          <w:sz w:val="22"/>
          <w:szCs w:val="22"/>
        </w:rPr>
        <w:t xml:space="preserve"> to natural persons, not organisations such as religious bodies.</w:t>
      </w:r>
      <w:r w:rsidR="00900CE2" w:rsidRPr="00D33B90">
        <w:rPr>
          <w:rStyle w:val="EndnoteReference"/>
          <w:rFonts w:cs="Arial"/>
          <w:sz w:val="22"/>
          <w:szCs w:val="22"/>
        </w:rPr>
        <w:endnoteReference w:id="36"/>
      </w:r>
      <w:r w:rsidR="00F22D3E">
        <w:rPr>
          <w:rFonts w:cs="Arial"/>
          <w:sz w:val="22"/>
          <w:szCs w:val="22"/>
        </w:rPr>
        <w:t xml:space="preserve"> </w:t>
      </w:r>
      <w:r w:rsidR="003901AD">
        <w:rPr>
          <w:rFonts w:cs="Arial"/>
          <w:sz w:val="22"/>
          <w:szCs w:val="22"/>
        </w:rPr>
        <w:t>This is because h</w:t>
      </w:r>
      <w:r w:rsidR="00F56003">
        <w:rPr>
          <w:rFonts w:cs="Arial"/>
          <w:sz w:val="22"/>
          <w:szCs w:val="22"/>
        </w:rPr>
        <w:t xml:space="preserve">uman rights are </w:t>
      </w:r>
      <w:r w:rsidR="00746A40">
        <w:rPr>
          <w:rFonts w:cs="Arial"/>
          <w:sz w:val="22"/>
          <w:szCs w:val="22"/>
        </w:rPr>
        <w:t xml:space="preserve">rights inherent </w:t>
      </w:r>
      <w:r w:rsidR="00720705">
        <w:rPr>
          <w:rFonts w:cs="Arial"/>
          <w:sz w:val="22"/>
          <w:szCs w:val="22"/>
        </w:rPr>
        <w:t xml:space="preserve">and inalienable </w:t>
      </w:r>
      <w:r w:rsidR="00746A40">
        <w:rPr>
          <w:rFonts w:cs="Arial"/>
          <w:sz w:val="22"/>
          <w:szCs w:val="22"/>
        </w:rPr>
        <w:t>to all human beings</w:t>
      </w:r>
      <w:r w:rsidR="00D97BA0">
        <w:rPr>
          <w:rFonts w:cs="Arial"/>
          <w:sz w:val="22"/>
          <w:szCs w:val="22"/>
        </w:rPr>
        <w:t xml:space="preserve"> by reason of their humanity</w:t>
      </w:r>
      <w:r w:rsidR="00D60076">
        <w:rPr>
          <w:rFonts w:cs="Arial"/>
          <w:sz w:val="22"/>
          <w:szCs w:val="22"/>
        </w:rPr>
        <w:t>, as set out in the preambles to the Universal Declaration of Human Rights and the International Covenant on Civil and Political Rights.</w:t>
      </w:r>
      <w:r w:rsidR="00D60076">
        <w:rPr>
          <w:rStyle w:val="EndnoteReference"/>
          <w:rFonts w:cs="Arial"/>
          <w:sz w:val="22"/>
          <w:szCs w:val="22"/>
        </w:rPr>
        <w:endnoteReference w:id="37"/>
      </w:r>
      <w:r w:rsidR="00D60076">
        <w:rPr>
          <w:rFonts w:cs="Arial"/>
          <w:sz w:val="22"/>
          <w:szCs w:val="22"/>
        </w:rPr>
        <w:t xml:space="preserve"> </w:t>
      </w:r>
    </w:p>
    <w:p w14:paraId="281CEF46" w14:textId="1C852580" w:rsidR="00E06573" w:rsidRDefault="00720705" w:rsidP="00B43BAB">
      <w:pPr>
        <w:pStyle w:val="VEOHRCBodytext"/>
        <w:keepNext w:val="0"/>
        <w:rPr>
          <w:rFonts w:cs="Arial"/>
          <w:sz w:val="22"/>
          <w:szCs w:val="22"/>
        </w:rPr>
      </w:pPr>
      <w:r>
        <w:rPr>
          <w:rFonts w:cs="Arial"/>
          <w:sz w:val="22"/>
          <w:szCs w:val="22"/>
        </w:rPr>
        <w:t xml:space="preserve">Complaints of breaches of rights should only be brought by bodies or incorporated entities when necessary for the realisation of the rights of natural persons who are its members. However, organisations can already </w:t>
      </w:r>
      <w:r w:rsidRPr="00E06573">
        <w:rPr>
          <w:rFonts w:cs="Arial"/>
          <w:i/>
          <w:sz w:val="22"/>
          <w:szCs w:val="22"/>
        </w:rPr>
        <w:t>assist</w:t>
      </w:r>
      <w:r>
        <w:rPr>
          <w:rFonts w:cs="Arial"/>
          <w:sz w:val="22"/>
          <w:szCs w:val="22"/>
        </w:rPr>
        <w:t xml:space="preserve"> </w:t>
      </w:r>
      <w:r w:rsidR="00E06573">
        <w:rPr>
          <w:rFonts w:cs="Arial"/>
          <w:sz w:val="22"/>
          <w:szCs w:val="22"/>
        </w:rPr>
        <w:t xml:space="preserve">affected </w:t>
      </w:r>
      <w:r>
        <w:rPr>
          <w:rFonts w:cs="Arial"/>
          <w:sz w:val="22"/>
          <w:szCs w:val="22"/>
        </w:rPr>
        <w:t xml:space="preserve">individuals to realise their rights through representative complaints </w:t>
      </w:r>
      <w:r w:rsidR="00E06573">
        <w:rPr>
          <w:rFonts w:cs="Arial"/>
          <w:sz w:val="22"/>
          <w:szCs w:val="22"/>
        </w:rPr>
        <w:t>mechanisms</w:t>
      </w:r>
      <w:r>
        <w:rPr>
          <w:rFonts w:cs="Arial"/>
          <w:sz w:val="22"/>
          <w:szCs w:val="22"/>
        </w:rPr>
        <w:t>, as provided for in federal and state and territory anti-discrimination laws.</w:t>
      </w:r>
      <w:r w:rsidR="00E06573">
        <w:rPr>
          <w:rStyle w:val="EndnoteReference"/>
          <w:rFonts w:cs="Arial"/>
          <w:sz w:val="22"/>
          <w:szCs w:val="22"/>
        </w:rPr>
        <w:endnoteReference w:id="38"/>
      </w:r>
      <w:r w:rsidR="00E06573">
        <w:rPr>
          <w:rFonts w:cs="Arial"/>
          <w:sz w:val="22"/>
          <w:szCs w:val="22"/>
        </w:rPr>
        <w:t xml:space="preserve"> In such circumstances organisations can assist in making the complaint, but the individual(s)’ interests remain the focus. </w:t>
      </w:r>
    </w:p>
    <w:p w14:paraId="738C5C5B" w14:textId="517C4982" w:rsidR="000F03D2" w:rsidRDefault="003901AD" w:rsidP="00B43BAB">
      <w:pPr>
        <w:pStyle w:val="VEOHRCBodytext"/>
        <w:keepNext w:val="0"/>
        <w:rPr>
          <w:rFonts w:cs="Arial"/>
          <w:sz w:val="22"/>
          <w:szCs w:val="22"/>
        </w:rPr>
      </w:pPr>
      <w:r>
        <w:rPr>
          <w:rFonts w:cs="Arial"/>
          <w:sz w:val="22"/>
          <w:szCs w:val="22"/>
        </w:rPr>
        <w:t>Extending protection of this nature to organisations i</w:t>
      </w:r>
      <w:r w:rsidR="00F22D3E">
        <w:rPr>
          <w:rFonts w:cs="Arial"/>
          <w:sz w:val="22"/>
          <w:szCs w:val="22"/>
        </w:rPr>
        <w:t xml:space="preserve">s </w:t>
      </w:r>
      <w:r w:rsidR="00E06573">
        <w:rPr>
          <w:rFonts w:cs="Arial"/>
          <w:sz w:val="22"/>
          <w:szCs w:val="22"/>
        </w:rPr>
        <w:t xml:space="preserve">therefore </w:t>
      </w:r>
      <w:r w:rsidR="00F22D3E">
        <w:rPr>
          <w:rFonts w:cs="Arial"/>
          <w:sz w:val="22"/>
          <w:szCs w:val="22"/>
        </w:rPr>
        <w:t xml:space="preserve">both unprecedented and unnecessary. </w:t>
      </w:r>
    </w:p>
    <w:p w14:paraId="1570AB85" w14:textId="1D78969E" w:rsidR="00C2584C" w:rsidRPr="00D33B90" w:rsidRDefault="00AC14F3" w:rsidP="00B43BAB">
      <w:pPr>
        <w:pStyle w:val="VEOHRCBodytext"/>
        <w:keepNext w:val="0"/>
        <w:rPr>
          <w:rFonts w:cs="Arial"/>
          <w:sz w:val="22"/>
          <w:szCs w:val="22"/>
        </w:rPr>
      </w:pPr>
      <w:r w:rsidRPr="00D33B90">
        <w:rPr>
          <w:rFonts w:cs="Arial"/>
          <w:sz w:val="22"/>
          <w:szCs w:val="22"/>
        </w:rPr>
        <w:t xml:space="preserve">A consequence of this is </w:t>
      </w:r>
      <w:r w:rsidR="00BE115C">
        <w:rPr>
          <w:rFonts w:cs="Arial"/>
          <w:sz w:val="22"/>
          <w:szCs w:val="22"/>
        </w:rPr>
        <w:t>a body corporate including a religious business</w:t>
      </w:r>
      <w:r w:rsidR="00EF2483">
        <w:rPr>
          <w:rFonts w:cs="Arial"/>
          <w:sz w:val="22"/>
          <w:szCs w:val="22"/>
        </w:rPr>
        <w:t>,</w:t>
      </w:r>
      <w:r w:rsidRPr="00D33B90">
        <w:rPr>
          <w:rFonts w:cs="Arial"/>
          <w:sz w:val="22"/>
          <w:szCs w:val="22"/>
        </w:rPr>
        <w:t xml:space="preserve"> will have the ability to make claims of discrimination against </w:t>
      </w:r>
      <w:r w:rsidR="00B11139" w:rsidRPr="00D33B90">
        <w:rPr>
          <w:rFonts w:cs="Arial"/>
          <w:sz w:val="22"/>
          <w:szCs w:val="22"/>
        </w:rPr>
        <w:t xml:space="preserve">natural </w:t>
      </w:r>
      <w:r w:rsidRPr="00D33B90">
        <w:rPr>
          <w:rFonts w:cs="Arial"/>
          <w:sz w:val="22"/>
          <w:szCs w:val="22"/>
        </w:rPr>
        <w:t xml:space="preserve">persons or </w:t>
      </w:r>
      <w:r w:rsidR="00152AA8">
        <w:rPr>
          <w:rFonts w:cs="Arial"/>
          <w:sz w:val="22"/>
          <w:szCs w:val="22"/>
        </w:rPr>
        <w:t xml:space="preserve">other </w:t>
      </w:r>
      <w:r w:rsidRPr="00D33B90">
        <w:rPr>
          <w:rFonts w:cs="Arial"/>
          <w:sz w:val="22"/>
          <w:szCs w:val="22"/>
        </w:rPr>
        <w:t>organisations</w:t>
      </w:r>
      <w:r w:rsidR="00E06573">
        <w:rPr>
          <w:rFonts w:cs="Arial"/>
          <w:sz w:val="22"/>
          <w:szCs w:val="22"/>
        </w:rPr>
        <w:t xml:space="preserve"> </w:t>
      </w:r>
      <w:r w:rsidR="00E06573" w:rsidRPr="00B574E7">
        <w:rPr>
          <w:rFonts w:cs="Arial"/>
          <w:sz w:val="22"/>
          <w:szCs w:val="22"/>
        </w:rPr>
        <w:t xml:space="preserve">– </w:t>
      </w:r>
      <w:r w:rsidR="00E06573">
        <w:rPr>
          <w:rFonts w:cs="Arial"/>
          <w:sz w:val="22"/>
          <w:szCs w:val="22"/>
        </w:rPr>
        <w:t xml:space="preserve">with unforeseeable </w:t>
      </w:r>
      <w:r w:rsidR="00E06573">
        <w:rPr>
          <w:rFonts w:cs="Arial"/>
          <w:sz w:val="22"/>
          <w:szCs w:val="22"/>
        </w:rPr>
        <w:lastRenderedPageBreak/>
        <w:t>consequences</w:t>
      </w:r>
      <w:r w:rsidRPr="00D33B90">
        <w:rPr>
          <w:rFonts w:cs="Arial"/>
          <w:sz w:val="22"/>
          <w:szCs w:val="22"/>
        </w:rPr>
        <w:t xml:space="preserve">. </w:t>
      </w:r>
      <w:r w:rsidR="00CA670A">
        <w:rPr>
          <w:rFonts w:cs="Arial"/>
          <w:sz w:val="22"/>
          <w:szCs w:val="22"/>
        </w:rPr>
        <w:t xml:space="preserve">It may, </w:t>
      </w:r>
      <w:r w:rsidR="000F03D2">
        <w:rPr>
          <w:rFonts w:cs="Arial"/>
          <w:sz w:val="22"/>
          <w:szCs w:val="22"/>
        </w:rPr>
        <w:t>for example,</w:t>
      </w:r>
      <w:r w:rsidR="00CA670A">
        <w:rPr>
          <w:rFonts w:cs="Arial"/>
          <w:sz w:val="22"/>
          <w:szCs w:val="22"/>
        </w:rPr>
        <w:t xml:space="preserve"> allow religious businesses to bring complaints in relation to tendering processes, where a religious education service</w:t>
      </w:r>
      <w:r w:rsidR="00E06573">
        <w:rPr>
          <w:rFonts w:cs="Arial"/>
          <w:sz w:val="22"/>
          <w:szCs w:val="22"/>
        </w:rPr>
        <w:t xml:space="preserve"> </w:t>
      </w:r>
      <w:r w:rsidR="00CA670A">
        <w:rPr>
          <w:rFonts w:cs="Arial"/>
          <w:sz w:val="22"/>
          <w:szCs w:val="22"/>
        </w:rPr>
        <w:t>is not successful in securing a tender to deliver sexual health education in school</w:t>
      </w:r>
      <w:r w:rsidR="00152AA8">
        <w:rPr>
          <w:rFonts w:cs="Arial"/>
          <w:sz w:val="22"/>
          <w:szCs w:val="22"/>
        </w:rPr>
        <w:t xml:space="preserve">s. </w:t>
      </w:r>
    </w:p>
    <w:p w14:paraId="48530799" w14:textId="1FF57FC5" w:rsidR="00AB641B" w:rsidRPr="00980402" w:rsidRDefault="00505A15" w:rsidP="00B43BAB">
      <w:pPr>
        <w:pStyle w:val="VEOHRCBodytext"/>
        <w:rPr>
          <w:rFonts w:cs="Arial"/>
          <w:sz w:val="22"/>
          <w:szCs w:val="22"/>
        </w:rPr>
      </w:pPr>
      <w:r w:rsidRPr="00D33B90">
        <w:rPr>
          <w:rFonts w:cs="Arial"/>
          <w:sz w:val="22"/>
          <w:szCs w:val="22"/>
        </w:rPr>
        <w:t>These</w:t>
      </w:r>
      <w:r w:rsidR="00CA69FE">
        <w:rPr>
          <w:rFonts w:cs="Arial"/>
          <w:sz w:val="22"/>
          <w:szCs w:val="22"/>
        </w:rPr>
        <w:t xml:space="preserve"> issues</w:t>
      </w:r>
      <w:r w:rsidRPr="00D33B90">
        <w:rPr>
          <w:rFonts w:cs="Arial"/>
          <w:sz w:val="22"/>
          <w:szCs w:val="22"/>
        </w:rPr>
        <w:t xml:space="preserve"> </w:t>
      </w:r>
      <w:r w:rsidR="00784437" w:rsidRPr="00D33B90">
        <w:rPr>
          <w:rFonts w:cs="Arial"/>
          <w:sz w:val="22"/>
          <w:szCs w:val="22"/>
        </w:rPr>
        <w:t>can be</w:t>
      </w:r>
      <w:r w:rsidRPr="00D33B90">
        <w:rPr>
          <w:rFonts w:cs="Arial"/>
          <w:sz w:val="22"/>
          <w:szCs w:val="22"/>
        </w:rPr>
        <w:t xml:space="preserve"> addressed by removing the definition of ‘person’ </w:t>
      </w:r>
      <w:r w:rsidR="00CA69FE">
        <w:rPr>
          <w:rFonts w:cs="Arial"/>
          <w:sz w:val="22"/>
          <w:szCs w:val="22"/>
        </w:rPr>
        <w:t>from clause 5 of the Bill so that it no longer imports the meaning from</w:t>
      </w:r>
      <w:r w:rsidRPr="00D33B90">
        <w:rPr>
          <w:rFonts w:cs="Arial"/>
          <w:sz w:val="22"/>
          <w:szCs w:val="22"/>
        </w:rPr>
        <w:t xml:space="preserve"> section 2C from the </w:t>
      </w:r>
      <w:r w:rsidRPr="00D33B90">
        <w:rPr>
          <w:rFonts w:cs="Arial"/>
          <w:i/>
          <w:sz w:val="22"/>
          <w:szCs w:val="22"/>
        </w:rPr>
        <w:t>Acts Interpretation Act</w:t>
      </w:r>
      <w:r w:rsidRPr="00D33B90">
        <w:rPr>
          <w:rFonts w:cs="Arial"/>
          <w:sz w:val="22"/>
          <w:szCs w:val="22"/>
        </w:rPr>
        <w:t>. This brings the approach into line with existing anti-discrimination law.</w:t>
      </w:r>
      <w:r w:rsidRPr="00980402">
        <w:rPr>
          <w:rFonts w:cs="Arial"/>
          <w:sz w:val="22"/>
          <w:szCs w:val="22"/>
        </w:rPr>
        <w:t xml:space="preserve"> </w:t>
      </w:r>
    </w:p>
    <w:tbl>
      <w:tblPr>
        <w:tblStyle w:val="CustomTablerecommendationsbox"/>
        <w:tblW w:w="0" w:type="auto"/>
        <w:tblLook w:val="04A0" w:firstRow="1" w:lastRow="0" w:firstColumn="1" w:lastColumn="0" w:noHBand="0" w:noVBand="1"/>
      </w:tblPr>
      <w:tblGrid>
        <w:gridCol w:w="9061"/>
      </w:tblGrid>
      <w:tr w:rsidR="00B43BAB" w:rsidRPr="00980402" w14:paraId="32D77695" w14:textId="77777777" w:rsidTr="00EE7C8C">
        <w:tc>
          <w:tcPr>
            <w:tcW w:w="9061" w:type="dxa"/>
          </w:tcPr>
          <w:p w14:paraId="4962E8D4" w14:textId="77777777" w:rsidR="00781243" w:rsidRPr="00980402" w:rsidRDefault="00781243" w:rsidP="00781243">
            <w:pPr>
              <w:pStyle w:val="Heading4"/>
              <w:outlineLvl w:val="3"/>
              <w:rPr>
                <w:rFonts w:cs="Arial"/>
                <w:b/>
                <w:i w:val="0"/>
                <w:szCs w:val="22"/>
              </w:rPr>
            </w:pPr>
            <w:r w:rsidRPr="00980402">
              <w:rPr>
                <w:rFonts w:cs="Arial"/>
                <w:b/>
                <w:i w:val="0"/>
                <w:szCs w:val="22"/>
              </w:rPr>
              <w:t xml:space="preserve">Recommendation </w:t>
            </w:r>
            <w:r>
              <w:rPr>
                <w:rFonts w:cs="Arial"/>
                <w:b/>
                <w:i w:val="0"/>
                <w:szCs w:val="22"/>
              </w:rPr>
              <w:t>5</w:t>
            </w:r>
          </w:p>
          <w:p w14:paraId="73417FF9" w14:textId="11D875B3" w:rsidR="00B43BAB" w:rsidRPr="00262F02" w:rsidRDefault="00781243" w:rsidP="00835409">
            <w:pPr>
              <w:pStyle w:val="BodyText"/>
            </w:pPr>
            <w:r w:rsidRPr="00262F02">
              <w:rPr>
                <w:bCs/>
              </w:rPr>
              <w:t xml:space="preserve">The Attorney-General should remove the definition of ‘person’ from clause 5 of the </w:t>
            </w:r>
            <w:r w:rsidR="00C0309B" w:rsidRPr="00262F02">
              <w:rPr>
                <w:bCs/>
                <w:i/>
              </w:rPr>
              <w:t>Religious Discrimination Bill 2019</w:t>
            </w:r>
            <w:r w:rsidR="00C0309B" w:rsidRPr="00262F02">
              <w:rPr>
                <w:bCs/>
              </w:rPr>
              <w:t xml:space="preserve"> (Cth)</w:t>
            </w:r>
            <w:r w:rsidRPr="00262F02">
              <w:rPr>
                <w:bCs/>
              </w:rPr>
              <w:t xml:space="preserve"> and amend the Explanatory Notes to make clear that a complaint of discrimination </w:t>
            </w:r>
            <w:proofErr w:type="gramStart"/>
            <w:r w:rsidRPr="00262F02">
              <w:rPr>
                <w:bCs/>
              </w:rPr>
              <w:t>on the basis of</w:t>
            </w:r>
            <w:proofErr w:type="gramEnd"/>
            <w:r w:rsidRPr="00262F02">
              <w:rPr>
                <w:bCs/>
              </w:rPr>
              <w:t xml:space="preserve"> religious belief or activity, may only be made by a natural person.</w:t>
            </w:r>
          </w:p>
        </w:tc>
      </w:tr>
    </w:tbl>
    <w:p w14:paraId="16E54C32" w14:textId="77777777" w:rsidR="00CA670A" w:rsidRDefault="00CA670A" w:rsidP="007161AB">
      <w:pPr>
        <w:pStyle w:val="VEOHRCBodytext"/>
        <w:keepNext w:val="0"/>
        <w:rPr>
          <w:rFonts w:cs="Arial"/>
          <w:b/>
          <w:sz w:val="22"/>
          <w:szCs w:val="22"/>
        </w:rPr>
      </w:pPr>
    </w:p>
    <w:p w14:paraId="30968BAD" w14:textId="35910122" w:rsidR="007161AB" w:rsidRPr="00980402" w:rsidRDefault="007161AB" w:rsidP="007161AB">
      <w:pPr>
        <w:pStyle w:val="VEOHRCBodytext"/>
        <w:keepNext w:val="0"/>
        <w:rPr>
          <w:rFonts w:cs="Arial"/>
          <w:b/>
          <w:sz w:val="22"/>
          <w:szCs w:val="22"/>
        </w:rPr>
      </w:pPr>
      <w:r w:rsidRPr="00980402">
        <w:rPr>
          <w:rFonts w:cs="Arial"/>
          <w:b/>
          <w:sz w:val="22"/>
          <w:szCs w:val="22"/>
        </w:rPr>
        <w:t>Effect of granting religious bodies broader exceptions</w:t>
      </w:r>
    </w:p>
    <w:p w14:paraId="1A793D4C" w14:textId="74092913" w:rsidR="007161AB" w:rsidRDefault="006F10D4" w:rsidP="007161AB">
      <w:pPr>
        <w:pStyle w:val="VEOHRCBodytext"/>
        <w:keepNext w:val="0"/>
        <w:rPr>
          <w:rFonts w:cs="Arial"/>
          <w:sz w:val="22"/>
          <w:szCs w:val="22"/>
        </w:rPr>
      </w:pPr>
      <w:r>
        <w:rPr>
          <w:rFonts w:cs="Arial"/>
          <w:sz w:val="22"/>
          <w:szCs w:val="22"/>
        </w:rPr>
        <w:t xml:space="preserve">Clauses 10(1) and 10(2) </w:t>
      </w:r>
      <w:r w:rsidR="00346ABD">
        <w:rPr>
          <w:rFonts w:cs="Arial"/>
          <w:sz w:val="22"/>
          <w:szCs w:val="22"/>
        </w:rPr>
        <w:t xml:space="preserve">of the exposure </w:t>
      </w:r>
      <w:proofErr w:type="gramStart"/>
      <w:r w:rsidR="00346ABD">
        <w:rPr>
          <w:rFonts w:cs="Arial"/>
          <w:sz w:val="22"/>
          <w:szCs w:val="22"/>
        </w:rPr>
        <w:t>draft</w:t>
      </w:r>
      <w:proofErr w:type="gramEnd"/>
      <w:r w:rsidR="00346ABD">
        <w:rPr>
          <w:rFonts w:cs="Arial"/>
          <w:sz w:val="22"/>
          <w:szCs w:val="22"/>
        </w:rPr>
        <w:t xml:space="preserve"> </w:t>
      </w:r>
      <w:r w:rsidR="00C73AB3">
        <w:rPr>
          <w:rFonts w:cs="Arial"/>
          <w:sz w:val="22"/>
          <w:szCs w:val="22"/>
        </w:rPr>
        <w:t xml:space="preserve">broadly </w:t>
      </w:r>
      <w:r>
        <w:rPr>
          <w:rFonts w:cs="Arial"/>
          <w:sz w:val="22"/>
          <w:szCs w:val="22"/>
        </w:rPr>
        <w:t>define religious bodies and</w:t>
      </w:r>
      <w:r w:rsidR="00346ABD">
        <w:rPr>
          <w:rFonts w:cs="Arial"/>
          <w:sz w:val="22"/>
          <w:szCs w:val="22"/>
        </w:rPr>
        <w:t xml:space="preserve"> </w:t>
      </w:r>
      <w:r w:rsidR="00C73AB3">
        <w:rPr>
          <w:rFonts w:cs="Arial"/>
          <w:sz w:val="22"/>
          <w:szCs w:val="22"/>
        </w:rPr>
        <w:t>set</w:t>
      </w:r>
      <w:r w:rsidR="00152AA8">
        <w:rPr>
          <w:rFonts w:cs="Arial"/>
          <w:sz w:val="22"/>
          <w:szCs w:val="22"/>
        </w:rPr>
        <w:t>s</w:t>
      </w:r>
      <w:r w:rsidR="00C73AB3">
        <w:rPr>
          <w:rFonts w:cs="Arial"/>
          <w:sz w:val="22"/>
          <w:szCs w:val="22"/>
        </w:rPr>
        <w:t xml:space="preserve"> out the </w:t>
      </w:r>
      <w:r w:rsidR="00346ABD">
        <w:rPr>
          <w:rFonts w:cs="Arial"/>
          <w:sz w:val="22"/>
          <w:szCs w:val="22"/>
        </w:rPr>
        <w:t xml:space="preserve">general </w:t>
      </w:r>
      <w:r w:rsidR="00152AA8">
        <w:rPr>
          <w:rFonts w:cs="Arial"/>
          <w:sz w:val="22"/>
          <w:szCs w:val="22"/>
        </w:rPr>
        <w:t>exemption</w:t>
      </w:r>
      <w:r w:rsidR="00346ABD">
        <w:rPr>
          <w:rFonts w:cs="Arial"/>
          <w:sz w:val="22"/>
          <w:szCs w:val="22"/>
        </w:rPr>
        <w:t xml:space="preserve"> </w:t>
      </w:r>
      <w:r>
        <w:rPr>
          <w:rFonts w:cs="Arial"/>
          <w:sz w:val="22"/>
          <w:szCs w:val="22"/>
        </w:rPr>
        <w:t xml:space="preserve">they enjoy </w:t>
      </w:r>
      <w:r w:rsidR="00346ABD">
        <w:rPr>
          <w:rFonts w:cs="Arial"/>
          <w:sz w:val="22"/>
          <w:szCs w:val="22"/>
        </w:rPr>
        <w:t>against discrimination</w:t>
      </w:r>
      <w:r w:rsidR="0093087C">
        <w:rPr>
          <w:rFonts w:cs="Arial"/>
          <w:sz w:val="22"/>
          <w:szCs w:val="22"/>
        </w:rPr>
        <w:t xml:space="preserve"> under this law</w:t>
      </w:r>
      <w:r>
        <w:rPr>
          <w:rFonts w:cs="Arial"/>
          <w:sz w:val="22"/>
          <w:szCs w:val="22"/>
        </w:rPr>
        <w:t xml:space="preserve">. While </w:t>
      </w:r>
      <w:r w:rsidR="00346ABD">
        <w:rPr>
          <w:rFonts w:cs="Arial"/>
          <w:sz w:val="22"/>
          <w:szCs w:val="22"/>
        </w:rPr>
        <w:t>federal and state and territory law contain</w:t>
      </w:r>
      <w:r>
        <w:rPr>
          <w:rFonts w:cs="Arial"/>
          <w:sz w:val="22"/>
          <w:szCs w:val="22"/>
        </w:rPr>
        <w:t xml:space="preserve"> </w:t>
      </w:r>
      <w:r w:rsidR="00152AA8">
        <w:rPr>
          <w:rFonts w:cs="Arial"/>
          <w:sz w:val="22"/>
          <w:szCs w:val="22"/>
        </w:rPr>
        <w:t xml:space="preserve">exemptions </w:t>
      </w:r>
      <w:r>
        <w:rPr>
          <w:rFonts w:cs="Arial"/>
          <w:sz w:val="22"/>
          <w:szCs w:val="22"/>
        </w:rPr>
        <w:t>for religious bodies,</w:t>
      </w:r>
      <w:r w:rsidR="007161AB" w:rsidRPr="00D33B90">
        <w:rPr>
          <w:rStyle w:val="EndnoteReference"/>
          <w:rFonts w:cs="Arial"/>
          <w:sz w:val="22"/>
          <w:szCs w:val="22"/>
        </w:rPr>
        <w:endnoteReference w:id="39"/>
      </w:r>
      <w:r>
        <w:rPr>
          <w:rFonts w:cs="Arial"/>
          <w:sz w:val="22"/>
          <w:szCs w:val="22"/>
        </w:rPr>
        <w:t xml:space="preserve"> this provision broadens the definition</w:t>
      </w:r>
      <w:r w:rsidR="00AA40A8">
        <w:rPr>
          <w:rFonts w:cs="Arial"/>
          <w:sz w:val="22"/>
          <w:szCs w:val="22"/>
        </w:rPr>
        <w:t xml:space="preserve"> of religious bodies</w:t>
      </w:r>
      <w:r>
        <w:rPr>
          <w:rFonts w:cs="Arial"/>
          <w:sz w:val="22"/>
          <w:szCs w:val="22"/>
        </w:rPr>
        <w:t xml:space="preserve"> and scope of </w:t>
      </w:r>
      <w:r w:rsidR="00152AA8">
        <w:rPr>
          <w:rFonts w:cs="Arial"/>
          <w:sz w:val="22"/>
          <w:szCs w:val="22"/>
        </w:rPr>
        <w:t xml:space="preserve">exemptions </w:t>
      </w:r>
      <w:r>
        <w:rPr>
          <w:rFonts w:cs="Arial"/>
          <w:sz w:val="22"/>
          <w:szCs w:val="22"/>
        </w:rPr>
        <w:t>unnecessarily</w:t>
      </w:r>
      <w:r w:rsidR="0093087C">
        <w:rPr>
          <w:rFonts w:cs="Arial"/>
          <w:sz w:val="22"/>
          <w:szCs w:val="22"/>
        </w:rPr>
        <w:t xml:space="preserve">. </w:t>
      </w:r>
    </w:p>
    <w:p w14:paraId="0909507C" w14:textId="1C1E67DF" w:rsidR="00AA142F" w:rsidRDefault="007161AB" w:rsidP="00B43BAB">
      <w:pPr>
        <w:pStyle w:val="VEOHRCBodytext"/>
        <w:keepNext w:val="0"/>
        <w:rPr>
          <w:rFonts w:cs="Arial"/>
          <w:sz w:val="22"/>
          <w:szCs w:val="22"/>
        </w:rPr>
      </w:pPr>
      <w:r w:rsidRPr="00D33B90">
        <w:rPr>
          <w:rFonts w:cs="Arial"/>
          <w:sz w:val="22"/>
          <w:szCs w:val="22"/>
        </w:rPr>
        <w:t xml:space="preserve">It does so in clause 10(1) by providing that a religious body does not discriminate if the conduct is engaged in ‘good faith’ </w:t>
      </w:r>
      <w:r w:rsidR="004C01B6">
        <w:rPr>
          <w:rFonts w:cs="Arial"/>
          <w:sz w:val="22"/>
          <w:szCs w:val="22"/>
        </w:rPr>
        <w:t>and</w:t>
      </w:r>
      <w:r w:rsidR="00204E24">
        <w:rPr>
          <w:rFonts w:cs="Arial"/>
          <w:sz w:val="22"/>
          <w:szCs w:val="22"/>
        </w:rPr>
        <w:t xml:space="preserve"> ‘</w:t>
      </w:r>
      <w:r w:rsidRPr="00D33B90">
        <w:rPr>
          <w:rFonts w:cs="Arial"/>
          <w:sz w:val="22"/>
          <w:szCs w:val="22"/>
        </w:rPr>
        <w:t xml:space="preserve">may </w:t>
      </w:r>
      <w:r w:rsidRPr="00D33B90">
        <w:rPr>
          <w:rFonts w:cs="Arial"/>
          <w:i/>
          <w:sz w:val="22"/>
          <w:szCs w:val="22"/>
        </w:rPr>
        <w:t>reasonably be regarded</w:t>
      </w:r>
      <w:r w:rsidRPr="00D33B90">
        <w:rPr>
          <w:rFonts w:cs="Arial"/>
          <w:sz w:val="22"/>
          <w:szCs w:val="22"/>
        </w:rPr>
        <w:t xml:space="preserve"> as being in accordance with the doctrines, tenets, beliefs or teachings of the religion…’. This broadened religious exe</w:t>
      </w:r>
      <w:r w:rsidR="00152AA8">
        <w:rPr>
          <w:rFonts w:cs="Arial"/>
          <w:sz w:val="22"/>
          <w:szCs w:val="22"/>
        </w:rPr>
        <w:t>mp</w:t>
      </w:r>
      <w:r w:rsidRPr="00D33B90">
        <w:rPr>
          <w:rFonts w:cs="Arial"/>
          <w:sz w:val="22"/>
          <w:szCs w:val="22"/>
        </w:rPr>
        <w:t>tion,</w:t>
      </w:r>
      <w:r w:rsidRPr="00D33B90">
        <w:rPr>
          <w:rStyle w:val="EndnoteReference"/>
          <w:rFonts w:cs="Arial"/>
          <w:sz w:val="22"/>
          <w:szCs w:val="22"/>
        </w:rPr>
        <w:endnoteReference w:id="40"/>
      </w:r>
      <w:r w:rsidRPr="00D33B90">
        <w:rPr>
          <w:rFonts w:cs="Arial"/>
          <w:sz w:val="22"/>
          <w:szCs w:val="22"/>
        </w:rPr>
        <w:t xml:space="preserve"> although only in relation to discrimination </w:t>
      </w:r>
      <w:r w:rsidR="00D33B90" w:rsidRPr="00D33B90">
        <w:rPr>
          <w:rFonts w:cs="Arial"/>
          <w:sz w:val="22"/>
          <w:szCs w:val="22"/>
        </w:rPr>
        <w:t>based on</w:t>
      </w:r>
      <w:r w:rsidRPr="00D33B90">
        <w:rPr>
          <w:rFonts w:cs="Arial"/>
          <w:sz w:val="22"/>
          <w:szCs w:val="22"/>
        </w:rPr>
        <w:t xml:space="preserve"> religious belief or activity, could </w:t>
      </w:r>
      <w:r w:rsidR="00AA40A8">
        <w:rPr>
          <w:rFonts w:cs="Arial"/>
          <w:sz w:val="22"/>
          <w:szCs w:val="22"/>
        </w:rPr>
        <w:t xml:space="preserve">embolden </w:t>
      </w:r>
      <w:r w:rsidRPr="00D33B90">
        <w:rPr>
          <w:rFonts w:cs="Arial"/>
          <w:sz w:val="22"/>
          <w:szCs w:val="22"/>
        </w:rPr>
        <w:t>discrimination against other groups, including LGBTI</w:t>
      </w:r>
      <w:r w:rsidR="00152AA8">
        <w:rPr>
          <w:rFonts w:cs="Arial"/>
          <w:sz w:val="22"/>
          <w:szCs w:val="22"/>
        </w:rPr>
        <w:t>Q</w:t>
      </w:r>
      <w:r w:rsidRPr="00D33B90">
        <w:rPr>
          <w:rFonts w:cs="Arial"/>
          <w:sz w:val="22"/>
          <w:szCs w:val="22"/>
        </w:rPr>
        <w:t xml:space="preserve"> people, women and </w:t>
      </w:r>
      <w:r w:rsidR="001726DA">
        <w:rPr>
          <w:rFonts w:cs="Arial"/>
          <w:sz w:val="22"/>
          <w:szCs w:val="22"/>
        </w:rPr>
        <w:t xml:space="preserve">other religious </w:t>
      </w:r>
      <w:r w:rsidRPr="00D33B90">
        <w:rPr>
          <w:rFonts w:cs="Arial"/>
          <w:sz w:val="22"/>
          <w:szCs w:val="22"/>
        </w:rPr>
        <w:t>groups.</w:t>
      </w:r>
      <w:r w:rsidR="00E46B8B" w:rsidRPr="00D33B90">
        <w:rPr>
          <w:rFonts w:cs="Arial"/>
          <w:sz w:val="22"/>
          <w:szCs w:val="22"/>
        </w:rPr>
        <w:t xml:space="preserve"> </w:t>
      </w:r>
      <w:r w:rsidR="00AA142F">
        <w:rPr>
          <w:rFonts w:cs="Arial"/>
          <w:sz w:val="22"/>
          <w:szCs w:val="22"/>
        </w:rPr>
        <w:t xml:space="preserve">Given the concerns reported by the Ruddock Religious Freedom Review about religious </w:t>
      </w:r>
      <w:r w:rsidR="00152AA8">
        <w:rPr>
          <w:rFonts w:cs="Arial"/>
          <w:sz w:val="22"/>
          <w:szCs w:val="22"/>
        </w:rPr>
        <w:t>exemptions</w:t>
      </w:r>
      <w:r w:rsidR="00AA142F">
        <w:rPr>
          <w:rStyle w:val="EndnoteReference"/>
          <w:rFonts w:cs="Arial"/>
          <w:sz w:val="22"/>
          <w:szCs w:val="22"/>
        </w:rPr>
        <w:endnoteReference w:id="41"/>
      </w:r>
      <w:r w:rsidR="00AA142F">
        <w:rPr>
          <w:rFonts w:cs="Arial"/>
          <w:sz w:val="22"/>
          <w:szCs w:val="22"/>
        </w:rPr>
        <w:t xml:space="preserve"> and the current review of the religious </w:t>
      </w:r>
      <w:r w:rsidR="00152AA8">
        <w:rPr>
          <w:rFonts w:cs="Arial"/>
          <w:sz w:val="22"/>
          <w:szCs w:val="22"/>
        </w:rPr>
        <w:t xml:space="preserve">exemptions </w:t>
      </w:r>
      <w:r w:rsidR="00AA142F">
        <w:rPr>
          <w:rFonts w:cs="Arial"/>
          <w:sz w:val="22"/>
          <w:szCs w:val="22"/>
        </w:rPr>
        <w:t xml:space="preserve">within the </w:t>
      </w:r>
      <w:r w:rsidR="00AA142F" w:rsidRPr="00AA142F">
        <w:rPr>
          <w:rFonts w:cs="Arial"/>
          <w:i/>
          <w:sz w:val="22"/>
          <w:szCs w:val="22"/>
        </w:rPr>
        <w:t>Sex Discrimination Act 198</w:t>
      </w:r>
      <w:r w:rsidR="009E1B13">
        <w:rPr>
          <w:rFonts w:cs="Arial"/>
          <w:i/>
          <w:sz w:val="22"/>
          <w:szCs w:val="22"/>
        </w:rPr>
        <w:t>4</w:t>
      </w:r>
      <w:r w:rsidR="00AA142F">
        <w:rPr>
          <w:rFonts w:cs="Arial"/>
          <w:sz w:val="22"/>
          <w:szCs w:val="22"/>
        </w:rPr>
        <w:t xml:space="preserve"> (</w:t>
      </w:r>
      <w:proofErr w:type="spellStart"/>
      <w:r w:rsidR="00AA142F">
        <w:rPr>
          <w:rFonts w:cs="Arial"/>
          <w:sz w:val="22"/>
          <w:szCs w:val="22"/>
        </w:rPr>
        <w:t>Cth</w:t>
      </w:r>
      <w:proofErr w:type="spellEnd"/>
      <w:r w:rsidR="00AA142F">
        <w:rPr>
          <w:rFonts w:cs="Arial"/>
          <w:sz w:val="22"/>
          <w:szCs w:val="22"/>
        </w:rPr>
        <w:t>) by the Australian Law Reform Commission,</w:t>
      </w:r>
      <w:r w:rsidR="00AA142F">
        <w:rPr>
          <w:rStyle w:val="EndnoteReference"/>
          <w:rFonts w:cs="Arial"/>
          <w:sz w:val="22"/>
          <w:szCs w:val="22"/>
        </w:rPr>
        <w:endnoteReference w:id="42"/>
      </w:r>
      <w:r w:rsidR="00AA142F">
        <w:rPr>
          <w:rFonts w:cs="Arial"/>
          <w:sz w:val="22"/>
          <w:szCs w:val="22"/>
        </w:rPr>
        <w:t xml:space="preserve"> it would be inappropriate for this legislation to include a broader religious </w:t>
      </w:r>
      <w:r w:rsidR="00152AA8">
        <w:rPr>
          <w:rFonts w:cs="Arial"/>
          <w:sz w:val="22"/>
          <w:szCs w:val="22"/>
        </w:rPr>
        <w:t>exemption</w:t>
      </w:r>
      <w:r w:rsidR="00AA142F">
        <w:rPr>
          <w:rFonts w:cs="Arial"/>
          <w:sz w:val="22"/>
          <w:szCs w:val="22"/>
        </w:rPr>
        <w:t>.</w:t>
      </w:r>
    </w:p>
    <w:p w14:paraId="646598D4" w14:textId="108D284F" w:rsidR="00AA142F" w:rsidRPr="00980402" w:rsidRDefault="001726DA" w:rsidP="00B43BAB">
      <w:pPr>
        <w:pStyle w:val="VEOHRCBodytext"/>
        <w:keepNext w:val="0"/>
        <w:rPr>
          <w:rFonts w:cs="Arial"/>
          <w:sz w:val="22"/>
          <w:szCs w:val="22"/>
        </w:rPr>
      </w:pPr>
      <w:r>
        <w:rPr>
          <w:rFonts w:cs="Arial"/>
          <w:sz w:val="22"/>
          <w:szCs w:val="22"/>
        </w:rPr>
        <w:t>Further, the</w:t>
      </w:r>
      <w:r w:rsidR="00C73AB3">
        <w:rPr>
          <w:rFonts w:cs="Arial"/>
          <w:sz w:val="22"/>
          <w:szCs w:val="22"/>
        </w:rPr>
        <w:t xml:space="preserve"> broad definition of ‘religious bod</w:t>
      </w:r>
      <w:r w:rsidR="00C54D4B">
        <w:rPr>
          <w:rFonts w:cs="Arial"/>
          <w:sz w:val="22"/>
          <w:szCs w:val="22"/>
        </w:rPr>
        <w:t>ies</w:t>
      </w:r>
      <w:r w:rsidR="00C73AB3">
        <w:rPr>
          <w:rFonts w:cs="Arial"/>
          <w:sz w:val="22"/>
          <w:szCs w:val="22"/>
        </w:rPr>
        <w:t>’</w:t>
      </w:r>
      <w:r w:rsidR="0093087C">
        <w:rPr>
          <w:rFonts w:cs="Arial"/>
          <w:sz w:val="22"/>
          <w:szCs w:val="22"/>
        </w:rPr>
        <w:t xml:space="preserve"> </w:t>
      </w:r>
      <w:r w:rsidR="00C54D4B">
        <w:rPr>
          <w:rFonts w:cs="Arial"/>
          <w:sz w:val="22"/>
          <w:szCs w:val="22"/>
        </w:rPr>
        <w:t>(to include religious schools, religious charities and other religious bodies</w:t>
      </w:r>
      <w:r w:rsidR="0093474C">
        <w:rPr>
          <w:rFonts w:cs="Arial"/>
          <w:sz w:val="22"/>
          <w:szCs w:val="22"/>
        </w:rPr>
        <w:t xml:space="preserve"> not solely or primarily engaged in commercial activities</w:t>
      </w:r>
      <w:r w:rsidR="00C54D4B">
        <w:rPr>
          <w:rFonts w:cs="Arial"/>
          <w:sz w:val="22"/>
          <w:szCs w:val="22"/>
        </w:rPr>
        <w:t xml:space="preserve">) </w:t>
      </w:r>
      <w:r w:rsidR="0093087C">
        <w:rPr>
          <w:rFonts w:cs="Arial"/>
          <w:sz w:val="22"/>
          <w:szCs w:val="22"/>
        </w:rPr>
        <w:t>does not require the religious body to have been established for a religious purpose</w:t>
      </w:r>
      <w:r>
        <w:rPr>
          <w:rFonts w:cs="Arial"/>
          <w:sz w:val="22"/>
          <w:szCs w:val="22"/>
        </w:rPr>
        <w:t xml:space="preserve"> </w:t>
      </w:r>
      <w:r w:rsidR="0093087C">
        <w:rPr>
          <w:rFonts w:cs="Arial"/>
          <w:sz w:val="22"/>
          <w:szCs w:val="22"/>
        </w:rPr>
        <w:t>and arguably includes religious businesses, w</w:t>
      </w:r>
      <w:r w:rsidR="00AA142F">
        <w:rPr>
          <w:rFonts w:cs="Arial"/>
          <w:sz w:val="22"/>
          <w:szCs w:val="22"/>
        </w:rPr>
        <w:t xml:space="preserve">hich could have </w:t>
      </w:r>
      <w:r w:rsidR="0093087C">
        <w:rPr>
          <w:rFonts w:cs="Arial"/>
          <w:sz w:val="22"/>
          <w:szCs w:val="22"/>
        </w:rPr>
        <w:t>significant unintended consequences.</w:t>
      </w:r>
      <w:r w:rsidR="00C54D4B">
        <w:rPr>
          <w:rFonts w:cs="Arial"/>
          <w:sz w:val="22"/>
          <w:szCs w:val="22"/>
        </w:rPr>
        <w:t xml:space="preserve"> </w:t>
      </w:r>
      <w:r w:rsidR="0093474C">
        <w:rPr>
          <w:rFonts w:cs="Arial"/>
          <w:sz w:val="22"/>
          <w:szCs w:val="22"/>
        </w:rPr>
        <w:t>While further clarity is required within the legislation, it would be concerning should the law exempt religious charities or organisations (such as nursing and aged care</w:t>
      </w:r>
      <w:r w:rsidR="008E5472">
        <w:rPr>
          <w:rFonts w:cs="Arial"/>
          <w:sz w:val="22"/>
          <w:szCs w:val="22"/>
        </w:rPr>
        <w:t xml:space="preserve"> services</w:t>
      </w:r>
      <w:r w:rsidR="0093474C">
        <w:rPr>
          <w:rFonts w:cs="Arial"/>
          <w:sz w:val="22"/>
          <w:szCs w:val="22"/>
        </w:rPr>
        <w:t>, health services, welfare and employment agencies) from discrimination where the conduct is connected to</w:t>
      </w:r>
      <w:r w:rsidR="008E5472">
        <w:rPr>
          <w:rFonts w:cs="Arial"/>
          <w:sz w:val="22"/>
          <w:szCs w:val="22"/>
        </w:rPr>
        <w:t xml:space="preserve"> </w:t>
      </w:r>
      <w:r w:rsidR="0093474C">
        <w:rPr>
          <w:rFonts w:cs="Arial"/>
          <w:sz w:val="22"/>
          <w:szCs w:val="22"/>
        </w:rPr>
        <w:t xml:space="preserve">commercial </w:t>
      </w:r>
      <w:r w:rsidR="008E5472">
        <w:rPr>
          <w:rFonts w:cs="Arial"/>
          <w:sz w:val="22"/>
          <w:szCs w:val="22"/>
        </w:rPr>
        <w:t>activities</w:t>
      </w:r>
      <w:r w:rsidR="0093474C">
        <w:rPr>
          <w:rFonts w:cs="Arial"/>
          <w:sz w:val="22"/>
          <w:szCs w:val="22"/>
        </w:rPr>
        <w:t xml:space="preserve"> of the organisation.</w:t>
      </w:r>
      <w:r w:rsidR="00AA40A8">
        <w:rPr>
          <w:rStyle w:val="EndnoteReference"/>
          <w:rFonts w:cs="Arial"/>
          <w:sz w:val="22"/>
          <w:szCs w:val="22"/>
        </w:rPr>
        <w:endnoteReference w:id="43"/>
      </w:r>
      <w:r w:rsidR="0093474C">
        <w:rPr>
          <w:rFonts w:cs="Arial"/>
          <w:sz w:val="22"/>
          <w:szCs w:val="22"/>
        </w:rPr>
        <w:t xml:space="preserve"> </w:t>
      </w:r>
    </w:p>
    <w:tbl>
      <w:tblPr>
        <w:tblStyle w:val="CustomTablerecommendationsbox"/>
        <w:tblW w:w="0" w:type="auto"/>
        <w:tblLook w:val="04A0" w:firstRow="1" w:lastRow="0" w:firstColumn="1" w:lastColumn="0" w:noHBand="0" w:noVBand="1"/>
      </w:tblPr>
      <w:tblGrid>
        <w:gridCol w:w="9061"/>
      </w:tblGrid>
      <w:tr w:rsidR="00B43BAB" w:rsidRPr="00980402" w14:paraId="70836888" w14:textId="77777777" w:rsidTr="00EE7C8C">
        <w:tc>
          <w:tcPr>
            <w:tcW w:w="9061" w:type="dxa"/>
          </w:tcPr>
          <w:p w14:paraId="4276048D" w14:textId="22E9FB7B" w:rsidR="00B43BAB" w:rsidRPr="00980402" w:rsidRDefault="00B43BAB" w:rsidP="00EE7C8C">
            <w:pPr>
              <w:pStyle w:val="Heading4"/>
              <w:keepNext w:val="0"/>
              <w:outlineLvl w:val="3"/>
              <w:rPr>
                <w:rFonts w:cs="Arial"/>
                <w:b/>
                <w:i w:val="0"/>
                <w:szCs w:val="22"/>
              </w:rPr>
            </w:pPr>
            <w:r w:rsidRPr="00980402">
              <w:rPr>
                <w:rFonts w:cs="Arial"/>
                <w:b/>
                <w:i w:val="0"/>
                <w:szCs w:val="22"/>
              </w:rPr>
              <w:t xml:space="preserve">Recommendation </w:t>
            </w:r>
            <w:r w:rsidR="00247EB3" w:rsidRPr="00980402">
              <w:rPr>
                <w:rFonts w:cs="Arial"/>
                <w:b/>
                <w:i w:val="0"/>
                <w:szCs w:val="22"/>
              </w:rPr>
              <w:t>6</w:t>
            </w:r>
          </w:p>
          <w:p w14:paraId="54F9A6B5" w14:textId="4F24DCF1" w:rsidR="00781243" w:rsidRDefault="00781243" w:rsidP="00781243">
            <w:pPr>
              <w:pStyle w:val="BodyText"/>
            </w:pPr>
            <w:r w:rsidRPr="00980402">
              <w:t>The Attorney-General should</w:t>
            </w:r>
            <w:r>
              <w:t xml:space="preserve"> amend clause 10 of the exposure draft to:</w:t>
            </w:r>
          </w:p>
          <w:p w14:paraId="3FE09A02" w14:textId="77777777" w:rsidR="00B93BDC" w:rsidRDefault="00B93BDC" w:rsidP="00262F02">
            <w:pPr>
              <w:pStyle w:val="BodyText"/>
              <w:numPr>
                <w:ilvl w:val="0"/>
                <w:numId w:val="45"/>
              </w:numPr>
            </w:pPr>
            <w:r>
              <w:t>limit the definition of ‘religious body’ to ‘bodies established for religious purposes’</w:t>
            </w:r>
          </w:p>
          <w:p w14:paraId="186EDF90" w14:textId="12233D1F" w:rsidR="0093087C" w:rsidRPr="00835409" w:rsidRDefault="00B93BDC" w:rsidP="00262F02">
            <w:pPr>
              <w:pStyle w:val="BodyText"/>
              <w:numPr>
                <w:ilvl w:val="0"/>
                <w:numId w:val="45"/>
              </w:numPr>
            </w:pPr>
            <w:r>
              <w:t xml:space="preserve">make clear that the general exception does not apply to conduct connected with commercial activities. </w:t>
            </w:r>
          </w:p>
        </w:tc>
      </w:tr>
    </w:tbl>
    <w:p w14:paraId="596A42AF" w14:textId="002BAC80" w:rsidR="00550368" w:rsidRDefault="00550368" w:rsidP="00B43BAB">
      <w:pPr>
        <w:pStyle w:val="VEOHRCBodytext"/>
        <w:keepNext w:val="0"/>
        <w:rPr>
          <w:rFonts w:cs="Arial"/>
          <w:sz w:val="22"/>
          <w:szCs w:val="22"/>
        </w:rPr>
      </w:pPr>
      <w:r>
        <w:rPr>
          <w:rFonts w:cs="Arial"/>
          <w:sz w:val="22"/>
          <w:szCs w:val="22"/>
        </w:rPr>
        <w:t xml:space="preserve">In summary, the exposure draft does not strike the right balance between protecting religious belief and other rights including the right to be free from discrimination. The exposure draft introduces unorthodox and novel provisions that privilege religious belief or activity in a way that is likely to diminish existing protections from discrimination, particularly under state and territory law. Of particular concern is the likely confusion and subsequent undermining of efforts by employers and others to promote safe, inclusive and equal workplaces and services. </w:t>
      </w:r>
    </w:p>
    <w:p w14:paraId="70908504" w14:textId="77777777" w:rsidR="00F63A57" w:rsidRDefault="00F63A57" w:rsidP="00B43BAB">
      <w:pPr>
        <w:pStyle w:val="VEOHRCBodytext"/>
        <w:keepNext w:val="0"/>
        <w:rPr>
          <w:rFonts w:cs="Arial"/>
          <w:sz w:val="22"/>
          <w:szCs w:val="22"/>
        </w:rPr>
      </w:pPr>
    </w:p>
    <w:p w14:paraId="3FCCBF81" w14:textId="77777777" w:rsidR="00F63A57" w:rsidRDefault="00F63A57" w:rsidP="00B43BAB">
      <w:pPr>
        <w:pStyle w:val="VEOHRCBodytext"/>
        <w:keepNext w:val="0"/>
        <w:rPr>
          <w:rFonts w:cs="Arial"/>
          <w:sz w:val="22"/>
          <w:szCs w:val="22"/>
        </w:rPr>
      </w:pPr>
    </w:p>
    <w:p w14:paraId="7D5D8479" w14:textId="77777777" w:rsidR="00F63A57" w:rsidRDefault="00F63A57" w:rsidP="00B43BAB">
      <w:pPr>
        <w:pStyle w:val="VEOHRCBodytext"/>
        <w:keepNext w:val="0"/>
        <w:rPr>
          <w:rFonts w:cs="Arial"/>
          <w:sz w:val="22"/>
          <w:szCs w:val="22"/>
        </w:rPr>
      </w:pPr>
    </w:p>
    <w:p w14:paraId="24ADAFDF" w14:textId="2CDB8A83" w:rsidR="008D3A95" w:rsidRDefault="00091833" w:rsidP="00B43BAB">
      <w:pPr>
        <w:pStyle w:val="VEOHRCBodytext"/>
        <w:keepNext w:val="0"/>
        <w:rPr>
          <w:rFonts w:cs="Arial"/>
          <w:sz w:val="22"/>
          <w:szCs w:val="22"/>
        </w:rPr>
      </w:pPr>
      <w:r w:rsidRPr="00980402">
        <w:rPr>
          <w:rFonts w:cs="Arial"/>
          <w:sz w:val="22"/>
          <w:szCs w:val="22"/>
        </w:rPr>
        <w:lastRenderedPageBreak/>
        <w:t>We would be pleased to provide further information about this submission and the operation of Victorian laws. Please contact</w:t>
      </w:r>
      <w:r w:rsidR="00397886">
        <w:rPr>
          <w:rFonts w:cs="Arial"/>
          <w:sz w:val="22"/>
          <w:szCs w:val="22"/>
        </w:rPr>
        <w:t xml:space="preserve"> Amy Rogers, Team Leader, Policy, on (03) 9032 3432</w:t>
      </w:r>
      <w:r w:rsidRPr="00980402">
        <w:rPr>
          <w:rFonts w:cs="Arial"/>
          <w:sz w:val="22"/>
          <w:szCs w:val="22"/>
        </w:rPr>
        <w:t>, if you require further information.</w:t>
      </w:r>
    </w:p>
    <w:p w14:paraId="55A3E090" w14:textId="77777777" w:rsidR="00F63A57" w:rsidRDefault="00F63A57" w:rsidP="00B43BAB">
      <w:pPr>
        <w:pStyle w:val="VEOHRCBodytext"/>
        <w:keepNext w:val="0"/>
        <w:rPr>
          <w:rFonts w:cs="Arial"/>
          <w:sz w:val="22"/>
          <w:szCs w:val="22"/>
        </w:rPr>
      </w:pPr>
    </w:p>
    <w:p w14:paraId="3F95E141" w14:textId="28335DD8" w:rsidR="00397886" w:rsidRPr="00980402" w:rsidRDefault="00397886" w:rsidP="00B43BAB">
      <w:pPr>
        <w:pStyle w:val="VEOHRCBodytext"/>
        <w:keepNext w:val="0"/>
        <w:rPr>
          <w:rFonts w:cs="Arial"/>
          <w:sz w:val="22"/>
          <w:szCs w:val="22"/>
        </w:rPr>
      </w:pPr>
      <w:r>
        <w:rPr>
          <w:rFonts w:cs="Arial"/>
          <w:sz w:val="22"/>
          <w:szCs w:val="22"/>
        </w:rPr>
        <w:t xml:space="preserve">The Commission consents to this submission being published as a public document. </w:t>
      </w:r>
    </w:p>
    <w:p w14:paraId="6F4F24AE" w14:textId="77777777" w:rsidR="00F63A57" w:rsidRDefault="00F63A57" w:rsidP="00B43BAB">
      <w:pPr>
        <w:pStyle w:val="VEOHRCBodytext"/>
        <w:keepNext w:val="0"/>
        <w:rPr>
          <w:rFonts w:cs="Arial"/>
          <w:sz w:val="22"/>
          <w:szCs w:val="22"/>
        </w:rPr>
      </w:pPr>
    </w:p>
    <w:p w14:paraId="5D099E24" w14:textId="0AEADDE4" w:rsidR="00B43BAB" w:rsidRPr="00980402" w:rsidRDefault="00B43BAB" w:rsidP="00B43BAB">
      <w:pPr>
        <w:pStyle w:val="VEOHRCBodytext"/>
        <w:keepNext w:val="0"/>
        <w:rPr>
          <w:rFonts w:cs="Arial"/>
          <w:sz w:val="22"/>
          <w:szCs w:val="22"/>
        </w:rPr>
      </w:pPr>
      <w:r w:rsidRPr="00980402">
        <w:rPr>
          <w:rFonts w:cs="Arial"/>
          <w:sz w:val="22"/>
          <w:szCs w:val="22"/>
        </w:rPr>
        <w:t>Yours sincerely</w:t>
      </w:r>
    </w:p>
    <w:p w14:paraId="5DB1ECA0" w14:textId="4D14F57B" w:rsidR="008D3A95" w:rsidRPr="00980402" w:rsidRDefault="00DA598B" w:rsidP="00B43BAB">
      <w:pPr>
        <w:pStyle w:val="VEOHRCBodytext"/>
        <w:keepNext w:val="0"/>
        <w:rPr>
          <w:rFonts w:cs="Arial"/>
          <w:sz w:val="22"/>
          <w:szCs w:val="22"/>
        </w:rPr>
      </w:pPr>
      <w:r>
        <w:rPr>
          <w:rFonts w:cs="Arial"/>
          <w:noProof/>
          <w:sz w:val="22"/>
          <w:szCs w:val="22"/>
        </w:rPr>
        <w:drawing>
          <wp:inline distT="0" distB="0" distL="0" distR="0" wp14:anchorId="381A5B5C" wp14:editId="28F6E7E9">
            <wp:extent cx="2747772" cy="8351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isten hilton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7772" cy="835152"/>
                    </a:xfrm>
                    <a:prstGeom prst="rect">
                      <a:avLst/>
                    </a:prstGeom>
                  </pic:spPr>
                </pic:pic>
              </a:graphicData>
            </a:graphic>
          </wp:inline>
        </w:drawing>
      </w:r>
    </w:p>
    <w:p w14:paraId="494905F6" w14:textId="77777777" w:rsidR="00B43BAB" w:rsidRPr="00980402" w:rsidRDefault="00B43BAB" w:rsidP="00B43BAB">
      <w:pPr>
        <w:pStyle w:val="VEOHRCBodytext"/>
        <w:rPr>
          <w:rFonts w:cs="Arial"/>
          <w:sz w:val="22"/>
          <w:szCs w:val="22"/>
        </w:rPr>
      </w:pPr>
      <w:r w:rsidRPr="00980402">
        <w:rPr>
          <w:rFonts w:cs="Arial"/>
          <w:sz w:val="22"/>
          <w:szCs w:val="22"/>
        </w:rPr>
        <w:t>Kristen Hilton</w:t>
      </w:r>
      <w:r w:rsidRPr="00980402">
        <w:rPr>
          <w:rFonts w:cs="Arial"/>
          <w:sz w:val="22"/>
          <w:szCs w:val="22"/>
        </w:rPr>
        <w:br/>
        <w:t>Victorian Equal Opportunity and Human Rights Commissioner</w:t>
      </w:r>
    </w:p>
    <w:p w14:paraId="11769ADE" w14:textId="232BA72B" w:rsidR="00A547B3" w:rsidRDefault="00A547B3" w:rsidP="005F40F2">
      <w:pPr>
        <w:pStyle w:val="VEOHRCBodytext"/>
        <w:rPr>
          <w:rFonts w:cs="Arial"/>
          <w:sz w:val="22"/>
          <w:szCs w:val="22"/>
        </w:rPr>
      </w:pPr>
    </w:p>
    <w:p w14:paraId="5CB8E813" w14:textId="77777777" w:rsidR="00DA598B" w:rsidRPr="00980402" w:rsidRDefault="00DA598B" w:rsidP="005F40F2">
      <w:pPr>
        <w:pStyle w:val="VEOHRCBodytext"/>
        <w:rPr>
          <w:rFonts w:cs="Arial"/>
          <w:sz w:val="22"/>
          <w:szCs w:val="22"/>
        </w:rPr>
      </w:pPr>
    </w:p>
    <w:p w14:paraId="089EEDA6" w14:textId="77777777" w:rsidR="00603CD8" w:rsidRPr="003D618D" w:rsidRDefault="00603CD8" w:rsidP="005F40F2">
      <w:pPr>
        <w:pStyle w:val="VEOHRCBodytext"/>
        <w:rPr>
          <w:rFonts w:cs="Arial"/>
        </w:rPr>
      </w:pPr>
    </w:p>
    <w:bookmarkEnd w:id="0"/>
    <w:p w14:paraId="0E1573EB" w14:textId="07B021B4" w:rsidR="00F63A57" w:rsidRDefault="00F63A57">
      <w:pPr>
        <w:rPr>
          <w:rFonts w:eastAsia="Arial Unicode MS" w:cs="Arial"/>
          <w:sz w:val="24"/>
          <w:lang w:val="en-GB" w:eastAsia="en-AU"/>
        </w:rPr>
      </w:pPr>
      <w:r>
        <w:rPr>
          <w:rFonts w:cs="Arial"/>
        </w:rPr>
        <w:br w:type="page"/>
      </w:r>
      <w:bookmarkStart w:id="5" w:name="_GoBack"/>
      <w:bookmarkEnd w:id="5"/>
    </w:p>
    <w:sectPr w:rsidR="00F63A57" w:rsidSect="002B231B">
      <w:footerReference w:type="default" r:id="rId10"/>
      <w:headerReference w:type="first" r:id="rId11"/>
      <w:footerReference w:type="first" r:id="rId12"/>
      <w:endnotePr>
        <w:numFmt w:val="decimal"/>
      </w:endnotePr>
      <w:pgSz w:w="11906" w:h="16838" w:code="9"/>
      <w:pgMar w:top="1134" w:right="1134" w:bottom="567" w:left="1134"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C50A5" w14:textId="77777777" w:rsidR="001A2C00" w:rsidRDefault="001A2C00">
      <w:r>
        <w:separator/>
      </w:r>
    </w:p>
  </w:endnote>
  <w:endnote w:type="continuationSeparator" w:id="0">
    <w:p w14:paraId="137B8722" w14:textId="77777777" w:rsidR="001A2C00" w:rsidRDefault="001A2C00">
      <w:r>
        <w:continuationSeparator/>
      </w:r>
    </w:p>
  </w:endnote>
  <w:endnote w:id="1">
    <w:p w14:paraId="5B9A188F" w14:textId="172E5684" w:rsidR="00152AA8" w:rsidRPr="003461B2" w:rsidRDefault="00152AA8" w:rsidP="00DB59EA">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The Commission is an independent statutory agency with responsibilities under the </w:t>
      </w:r>
      <w:r w:rsidRPr="003461B2">
        <w:rPr>
          <w:rFonts w:cs="Arial"/>
          <w:i/>
          <w:sz w:val="18"/>
          <w:szCs w:val="18"/>
        </w:rPr>
        <w:t>Equal Opportunity Act 2010</w:t>
      </w:r>
      <w:r w:rsidRPr="003461B2">
        <w:rPr>
          <w:rFonts w:cs="Arial"/>
          <w:sz w:val="18"/>
          <w:szCs w:val="18"/>
        </w:rPr>
        <w:t xml:space="preserve"> (Vic), the </w:t>
      </w:r>
      <w:r w:rsidRPr="003461B2">
        <w:rPr>
          <w:rFonts w:cs="Arial"/>
          <w:i/>
          <w:sz w:val="18"/>
          <w:szCs w:val="18"/>
        </w:rPr>
        <w:t>Charter of Human Rights and Responsibilities Act 2006</w:t>
      </w:r>
      <w:r w:rsidRPr="003461B2">
        <w:rPr>
          <w:rFonts w:cs="Arial"/>
          <w:sz w:val="18"/>
          <w:szCs w:val="18"/>
        </w:rPr>
        <w:t xml:space="preserve"> (Vic) and the </w:t>
      </w:r>
      <w:r w:rsidRPr="003461B2">
        <w:rPr>
          <w:rFonts w:cs="Arial"/>
          <w:i/>
          <w:sz w:val="18"/>
          <w:szCs w:val="18"/>
        </w:rPr>
        <w:t xml:space="preserve">Racial and Religious Tolerance Act 2001 </w:t>
      </w:r>
      <w:r w:rsidRPr="003461B2">
        <w:rPr>
          <w:rFonts w:cs="Arial"/>
          <w:sz w:val="18"/>
          <w:szCs w:val="18"/>
        </w:rPr>
        <w:t>(Vic).</w:t>
      </w:r>
    </w:p>
  </w:endnote>
  <w:endnote w:id="2">
    <w:p w14:paraId="4990A477" w14:textId="3CE71438" w:rsidR="00152AA8" w:rsidRPr="003461B2" w:rsidRDefault="00152AA8" w:rsidP="00FF13B1">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w:t>
      </w:r>
      <w:r w:rsidRPr="003461B2">
        <w:rPr>
          <w:rFonts w:cs="Arial"/>
          <w:i/>
          <w:sz w:val="18"/>
          <w:szCs w:val="18"/>
        </w:rPr>
        <w:t xml:space="preserve">Charter of Human Rights and Responsibilities Act 2006 </w:t>
      </w:r>
      <w:r w:rsidRPr="003461B2">
        <w:rPr>
          <w:rFonts w:cs="Arial"/>
          <w:sz w:val="18"/>
          <w:szCs w:val="18"/>
        </w:rPr>
        <w:t xml:space="preserve">(Vic) s 14. To see examples of our submissions relating to this: Victorian Equal Opportunity and Human Rights Commission, </w:t>
      </w:r>
      <w:r w:rsidRPr="003461B2">
        <w:rPr>
          <w:rFonts w:cs="Arial"/>
          <w:i/>
          <w:sz w:val="18"/>
          <w:szCs w:val="18"/>
        </w:rPr>
        <w:t>Submission to the Expert Panel on Religious Freedom</w:t>
      </w:r>
      <w:r w:rsidRPr="003461B2">
        <w:rPr>
          <w:rFonts w:cs="Arial"/>
          <w:sz w:val="18"/>
          <w:szCs w:val="18"/>
        </w:rPr>
        <w:t xml:space="preserve">, (Submission to Religious Freedom Review, 2018); Victorian Equal Opportunity and Human Rights Commission, </w:t>
      </w:r>
      <w:r w:rsidRPr="003461B2">
        <w:rPr>
          <w:rFonts w:cs="Arial"/>
          <w:i/>
          <w:sz w:val="18"/>
          <w:szCs w:val="18"/>
        </w:rPr>
        <w:t>Further Submission to the Expert Panel on Religious Freedom</w:t>
      </w:r>
      <w:r w:rsidRPr="003461B2">
        <w:rPr>
          <w:rFonts w:cs="Arial"/>
          <w:sz w:val="18"/>
          <w:szCs w:val="18"/>
        </w:rPr>
        <w:t xml:space="preserve">, (Submission to Religious Freedom Review, 2018). Both submissions are available at </w:t>
      </w:r>
      <w:hyperlink r:id="rId1" w:history="1">
        <w:r w:rsidRPr="003461B2">
          <w:rPr>
            <w:rStyle w:val="Hyperlink"/>
            <w:rFonts w:cs="Arial"/>
            <w:sz w:val="18"/>
            <w:szCs w:val="18"/>
          </w:rPr>
          <w:t>https://www.humanrightscommission.vic.gov.au/policy-submissions</w:t>
        </w:r>
      </w:hyperlink>
      <w:r w:rsidRPr="003461B2">
        <w:rPr>
          <w:rFonts w:cs="Arial"/>
          <w:sz w:val="18"/>
          <w:szCs w:val="18"/>
        </w:rPr>
        <w:t xml:space="preserve">. </w:t>
      </w:r>
    </w:p>
  </w:endnote>
  <w:endnote w:id="3">
    <w:p w14:paraId="25CC4F53" w14:textId="055D799F" w:rsidR="00152AA8" w:rsidRPr="003461B2" w:rsidRDefault="00152AA8" w:rsidP="00011DB0">
      <w:pPr>
        <w:pStyle w:val="NoSpacing"/>
        <w:rPr>
          <w:rFonts w:cs="Arial"/>
          <w:szCs w:val="18"/>
        </w:rPr>
      </w:pPr>
      <w:r w:rsidRPr="003461B2">
        <w:rPr>
          <w:rStyle w:val="EndnoteReference"/>
          <w:rFonts w:cs="Arial"/>
          <w:szCs w:val="18"/>
        </w:rPr>
        <w:endnoteRef/>
      </w:r>
      <w:r w:rsidRPr="003461B2">
        <w:rPr>
          <w:rFonts w:cs="Arial"/>
          <w:szCs w:val="18"/>
        </w:rPr>
        <w:t xml:space="preserve"> </w:t>
      </w:r>
      <w:r w:rsidRPr="003461B2">
        <w:rPr>
          <w:rFonts w:cs="Arial"/>
          <w:i/>
          <w:szCs w:val="18"/>
        </w:rPr>
        <w:t xml:space="preserve">Charter of Human Rights and Responsibilities Act 2006 </w:t>
      </w:r>
      <w:r w:rsidRPr="003461B2">
        <w:rPr>
          <w:rFonts w:cs="Arial"/>
          <w:szCs w:val="18"/>
        </w:rPr>
        <w:t>(Vic) s 14. Article 18</w:t>
      </w:r>
      <w:r w:rsidRPr="003461B2">
        <w:rPr>
          <w:rFonts w:cs="Arial"/>
          <w:i/>
          <w:szCs w:val="18"/>
        </w:rPr>
        <w:t xml:space="preserve"> </w:t>
      </w:r>
      <w:r w:rsidRPr="003461B2">
        <w:rPr>
          <w:rFonts w:cs="Arial"/>
          <w:szCs w:val="18"/>
        </w:rPr>
        <w:t xml:space="preserve">of the </w:t>
      </w:r>
      <w:r w:rsidRPr="003461B2">
        <w:rPr>
          <w:rFonts w:cs="Arial"/>
          <w:i/>
          <w:szCs w:val="18"/>
        </w:rPr>
        <w:t>International Covenant on Civil and Political Rights</w:t>
      </w:r>
      <w:r w:rsidRPr="003461B2">
        <w:rPr>
          <w:rFonts w:cs="Arial"/>
          <w:szCs w:val="18"/>
        </w:rPr>
        <w:t xml:space="preserve"> provides </w:t>
      </w:r>
      <w:r w:rsidRPr="003461B2">
        <w:rPr>
          <w:rFonts w:cs="Arial"/>
          <w:color w:val="000000"/>
          <w:szCs w:val="18"/>
          <w:shd w:val="clear" w:color="auto" w:fill="FFFFFF"/>
        </w:rPr>
        <w:t>‘Everyone shall have the right to freedom of thought, conscience and religion. This right shall include freedom to have or to adopt a religion or belief of his choice, and freedom, either individually or in community with others and in public or private, to manifest his religion or belief in worship, observance, practice and teaching.</w:t>
      </w:r>
      <w:r w:rsidRPr="003461B2">
        <w:rPr>
          <w:rFonts w:cs="Arial"/>
          <w:szCs w:val="18"/>
        </w:rPr>
        <w:t>’</w:t>
      </w:r>
    </w:p>
  </w:endnote>
  <w:endnote w:id="4">
    <w:p w14:paraId="2A0BD967" w14:textId="40080548" w:rsidR="00152AA8" w:rsidRPr="003461B2" w:rsidRDefault="00152AA8" w:rsidP="00DB59EA">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w:t>
      </w:r>
      <w:r w:rsidR="002A317C" w:rsidRPr="003461B2">
        <w:rPr>
          <w:rFonts w:cs="Arial"/>
          <w:sz w:val="18"/>
          <w:szCs w:val="18"/>
        </w:rPr>
        <w:t xml:space="preserve">For example, section 7 of the </w:t>
      </w:r>
      <w:r w:rsidRPr="003461B2">
        <w:rPr>
          <w:rFonts w:cs="Arial"/>
          <w:i/>
          <w:sz w:val="18"/>
          <w:szCs w:val="18"/>
        </w:rPr>
        <w:t>Charter of Human Rights and Responsibilities Act 2006</w:t>
      </w:r>
      <w:r w:rsidRPr="003461B2">
        <w:rPr>
          <w:rFonts w:cs="Arial"/>
          <w:sz w:val="18"/>
          <w:szCs w:val="18"/>
        </w:rPr>
        <w:t xml:space="preserve"> (Vic) </w:t>
      </w:r>
      <w:r w:rsidR="002A317C" w:rsidRPr="003461B2">
        <w:rPr>
          <w:rFonts w:cs="Arial"/>
          <w:sz w:val="18"/>
          <w:szCs w:val="18"/>
        </w:rPr>
        <w:t>provides when and how a human right may be limited in Victoria</w:t>
      </w:r>
      <w:r w:rsidRPr="003461B2">
        <w:rPr>
          <w:rFonts w:cs="Arial"/>
          <w:i/>
          <w:sz w:val="18"/>
          <w:szCs w:val="18"/>
          <w:lang w:val="en-US"/>
        </w:rPr>
        <w:t>.</w:t>
      </w:r>
    </w:p>
  </w:endnote>
  <w:endnote w:id="5">
    <w:p w14:paraId="769298AD" w14:textId="77777777" w:rsidR="00152AA8" w:rsidRPr="003461B2" w:rsidRDefault="00152AA8" w:rsidP="000D697C">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See </w:t>
      </w:r>
      <w:r w:rsidRPr="003461B2">
        <w:rPr>
          <w:rFonts w:cs="Arial"/>
          <w:i/>
          <w:sz w:val="18"/>
          <w:szCs w:val="18"/>
        </w:rPr>
        <w:t xml:space="preserve">Racial Discrimination Act 1975 </w:t>
      </w:r>
      <w:r w:rsidRPr="003461B2">
        <w:rPr>
          <w:rFonts w:cs="Arial"/>
          <w:sz w:val="18"/>
          <w:szCs w:val="18"/>
        </w:rPr>
        <w:t xml:space="preserve">(Cth); </w:t>
      </w:r>
      <w:r w:rsidRPr="003461B2">
        <w:rPr>
          <w:rFonts w:cs="Arial"/>
          <w:i/>
          <w:sz w:val="18"/>
          <w:szCs w:val="18"/>
        </w:rPr>
        <w:t xml:space="preserve">Disability Discrimination Act 1992 </w:t>
      </w:r>
      <w:r w:rsidRPr="003461B2">
        <w:rPr>
          <w:rFonts w:cs="Arial"/>
          <w:sz w:val="18"/>
          <w:szCs w:val="18"/>
        </w:rPr>
        <w:t xml:space="preserve">(Cth); </w:t>
      </w:r>
      <w:r w:rsidRPr="003461B2">
        <w:rPr>
          <w:rFonts w:cs="Arial"/>
          <w:i/>
          <w:sz w:val="18"/>
          <w:szCs w:val="18"/>
        </w:rPr>
        <w:t xml:space="preserve">Sex Discrimination Act 1984 </w:t>
      </w:r>
      <w:r w:rsidRPr="003461B2">
        <w:rPr>
          <w:rFonts w:cs="Arial"/>
          <w:sz w:val="18"/>
          <w:szCs w:val="18"/>
        </w:rPr>
        <w:t xml:space="preserve">(Cth); </w:t>
      </w:r>
      <w:r w:rsidRPr="003461B2">
        <w:rPr>
          <w:rFonts w:cs="Arial"/>
          <w:i/>
          <w:sz w:val="18"/>
          <w:szCs w:val="18"/>
        </w:rPr>
        <w:t xml:space="preserve">Age Discrimination Act 2004 </w:t>
      </w:r>
      <w:r w:rsidRPr="003461B2">
        <w:rPr>
          <w:rFonts w:cs="Arial"/>
          <w:sz w:val="18"/>
          <w:szCs w:val="18"/>
        </w:rPr>
        <w:t>(Cth).</w:t>
      </w:r>
    </w:p>
  </w:endnote>
  <w:endnote w:id="6">
    <w:p w14:paraId="1734EB6A" w14:textId="71BBE507" w:rsidR="00152AA8" w:rsidRPr="003461B2" w:rsidRDefault="00152AA8" w:rsidP="00B43BAB">
      <w:pPr>
        <w:pStyle w:val="NoSpacing"/>
        <w:rPr>
          <w:rFonts w:cs="Arial"/>
          <w:szCs w:val="18"/>
        </w:rPr>
      </w:pPr>
      <w:r w:rsidRPr="003461B2">
        <w:rPr>
          <w:rStyle w:val="EndnoteReference"/>
          <w:rFonts w:cs="Arial"/>
          <w:szCs w:val="18"/>
        </w:rPr>
        <w:endnoteRef/>
      </w:r>
      <w:r w:rsidRPr="003461B2">
        <w:rPr>
          <w:rFonts w:cs="Arial"/>
          <w:szCs w:val="18"/>
        </w:rPr>
        <w:t xml:space="preserve"> </w:t>
      </w:r>
      <w:r w:rsidRPr="003461B2">
        <w:rPr>
          <w:rFonts w:cs="Arial"/>
          <w:i/>
          <w:szCs w:val="18"/>
        </w:rPr>
        <w:t>Equal Opportunity Act 2010</w:t>
      </w:r>
      <w:r w:rsidRPr="003461B2">
        <w:rPr>
          <w:rFonts w:cs="Arial"/>
          <w:szCs w:val="18"/>
        </w:rPr>
        <w:t xml:space="preserve"> (Vic) ss 6, 8-9. The Commission also notes that there are several exceptions for religious bodies, for example in s 82 of the </w:t>
      </w:r>
      <w:r w:rsidRPr="003461B2">
        <w:rPr>
          <w:rFonts w:cs="Arial"/>
          <w:i/>
          <w:szCs w:val="18"/>
        </w:rPr>
        <w:t xml:space="preserve">Equal Opportunity Act 2010 </w:t>
      </w:r>
      <w:r w:rsidRPr="003461B2">
        <w:rPr>
          <w:rFonts w:cs="Arial"/>
          <w:szCs w:val="18"/>
        </w:rPr>
        <w:t>(Vic).</w:t>
      </w:r>
    </w:p>
  </w:endnote>
  <w:endnote w:id="7">
    <w:p w14:paraId="64380A09" w14:textId="797823B4" w:rsidR="00152AA8" w:rsidRPr="003461B2" w:rsidRDefault="00152AA8" w:rsidP="00B43BAB">
      <w:pPr>
        <w:pStyle w:val="NoSpacing"/>
        <w:rPr>
          <w:rFonts w:cs="Arial"/>
          <w:szCs w:val="18"/>
        </w:rPr>
      </w:pPr>
      <w:r w:rsidRPr="003461B2">
        <w:rPr>
          <w:rStyle w:val="EndnoteReference"/>
          <w:rFonts w:cs="Arial"/>
          <w:szCs w:val="18"/>
        </w:rPr>
        <w:endnoteRef/>
      </w:r>
      <w:r w:rsidRPr="003461B2">
        <w:rPr>
          <w:rFonts w:cs="Arial"/>
          <w:szCs w:val="18"/>
        </w:rPr>
        <w:t xml:space="preserve"> </w:t>
      </w:r>
      <w:r w:rsidRPr="003461B2">
        <w:rPr>
          <w:rFonts w:cs="Arial"/>
          <w:i/>
          <w:szCs w:val="18"/>
        </w:rPr>
        <w:t xml:space="preserve">Racial and Religious Tolerance Act 2001 </w:t>
      </w:r>
      <w:r w:rsidRPr="003461B2">
        <w:rPr>
          <w:rFonts w:cs="Arial"/>
          <w:szCs w:val="18"/>
        </w:rPr>
        <w:t xml:space="preserve">(Vic) s 8. The Act provides civil and criminal mechanisms to resolve allegations of vilification: </w:t>
      </w:r>
      <w:r w:rsidRPr="003461B2">
        <w:rPr>
          <w:rFonts w:cs="Arial"/>
          <w:i/>
          <w:szCs w:val="18"/>
        </w:rPr>
        <w:t xml:space="preserve">Racial and Religious Tolerance Act 2001 </w:t>
      </w:r>
      <w:r w:rsidRPr="003461B2">
        <w:rPr>
          <w:rFonts w:cs="Arial"/>
          <w:szCs w:val="18"/>
        </w:rPr>
        <w:t>(Vic) ss 19, 25.</w:t>
      </w:r>
    </w:p>
  </w:endnote>
  <w:endnote w:id="8">
    <w:p w14:paraId="54E5F4E1" w14:textId="36C08D6C" w:rsidR="00152AA8" w:rsidRPr="003461B2" w:rsidRDefault="00152AA8" w:rsidP="00B43BAB">
      <w:pPr>
        <w:pStyle w:val="NoSpacing"/>
        <w:rPr>
          <w:rFonts w:cs="Arial"/>
          <w:szCs w:val="18"/>
        </w:rPr>
      </w:pPr>
      <w:r w:rsidRPr="003461B2">
        <w:rPr>
          <w:rStyle w:val="EndnoteReference"/>
          <w:rFonts w:cs="Arial"/>
          <w:szCs w:val="18"/>
        </w:rPr>
        <w:endnoteRef/>
      </w:r>
      <w:r w:rsidRPr="003461B2">
        <w:rPr>
          <w:rFonts w:cs="Arial"/>
          <w:szCs w:val="18"/>
        </w:rPr>
        <w:t xml:space="preserve"> </w:t>
      </w:r>
      <w:r w:rsidRPr="003461B2">
        <w:rPr>
          <w:rFonts w:cs="Arial"/>
          <w:i/>
          <w:szCs w:val="18"/>
        </w:rPr>
        <w:t xml:space="preserve">Charter of Human Rights and Responsibilities Act 2006 </w:t>
      </w:r>
      <w:r w:rsidRPr="003461B2">
        <w:rPr>
          <w:rFonts w:cs="Arial"/>
          <w:szCs w:val="18"/>
        </w:rPr>
        <w:t xml:space="preserve">(Vic) s 14. However, the Commission does not handle complaints about the Charter. In many cases these complaints can be made to the Victorian Ombudsman. </w:t>
      </w:r>
    </w:p>
  </w:endnote>
  <w:endnote w:id="9">
    <w:p w14:paraId="14F02E03" w14:textId="521CD00C" w:rsidR="00152AA8" w:rsidRPr="003461B2" w:rsidRDefault="00152AA8" w:rsidP="00B43BAB">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w:t>
      </w:r>
      <w:r w:rsidR="002A317C" w:rsidRPr="003461B2">
        <w:rPr>
          <w:rFonts w:cs="Arial"/>
          <w:sz w:val="18"/>
          <w:szCs w:val="18"/>
        </w:rPr>
        <w:t>For example, o</w:t>
      </w:r>
      <w:r w:rsidRPr="003461B2">
        <w:rPr>
          <w:rFonts w:cs="Arial"/>
          <w:sz w:val="18"/>
          <w:szCs w:val="18"/>
        </w:rPr>
        <w:t xml:space="preserve">ther states include hate speech protections for other attributes, such as the </w:t>
      </w:r>
      <w:r w:rsidRPr="003461B2">
        <w:rPr>
          <w:rFonts w:cs="Arial"/>
          <w:i/>
          <w:sz w:val="18"/>
          <w:szCs w:val="18"/>
        </w:rPr>
        <w:t xml:space="preserve">Anti-Discrimination Act 1998 </w:t>
      </w:r>
      <w:r w:rsidRPr="003461B2">
        <w:rPr>
          <w:rFonts w:cs="Arial"/>
          <w:sz w:val="18"/>
          <w:szCs w:val="18"/>
        </w:rPr>
        <w:t xml:space="preserve">(Tas) which has protected attributes in s 16, protected in s 17, that include race, age, sexual orientation, lawful sexual activity, gender, gender identity, intersex variations of sex characteristics, marital status, relationship status, pregnancy, breastfeeding, parental status, family responsibilities, disability, industrial activity, political belief or affiliation, political activity, religious belief or affiliation, religious activity, irrelevant criminal record, irrelevant medical record, or an association with a person who has, or is believed to have, any of these attributes. See also </w:t>
      </w:r>
      <w:r w:rsidRPr="003461B2">
        <w:rPr>
          <w:rFonts w:cs="Arial"/>
          <w:i/>
          <w:sz w:val="18"/>
          <w:szCs w:val="18"/>
        </w:rPr>
        <w:t xml:space="preserve">Discrimination Act 1991 </w:t>
      </w:r>
      <w:r w:rsidRPr="003461B2">
        <w:rPr>
          <w:rFonts w:cs="Arial"/>
          <w:sz w:val="18"/>
          <w:szCs w:val="18"/>
        </w:rPr>
        <w:t xml:space="preserve">(ACT) s 67A(1); </w:t>
      </w:r>
      <w:r w:rsidRPr="003461B2">
        <w:rPr>
          <w:rFonts w:cs="Arial"/>
          <w:i/>
          <w:sz w:val="18"/>
          <w:szCs w:val="18"/>
        </w:rPr>
        <w:t xml:space="preserve">Anti-Discrimination Act 1991 </w:t>
      </w:r>
      <w:r w:rsidRPr="003461B2">
        <w:rPr>
          <w:rFonts w:cs="Arial"/>
          <w:sz w:val="18"/>
          <w:szCs w:val="18"/>
        </w:rPr>
        <w:t>(Qld) s 124A(1).</w:t>
      </w:r>
    </w:p>
  </w:endnote>
  <w:endnote w:id="10">
    <w:p w14:paraId="5D21ED7F" w14:textId="36662F4E" w:rsidR="00152AA8" w:rsidRPr="003461B2" w:rsidRDefault="00152AA8" w:rsidP="00B43BAB">
      <w:pPr>
        <w:pStyle w:val="NoSpacing"/>
        <w:rPr>
          <w:rFonts w:cs="Arial"/>
          <w:szCs w:val="18"/>
        </w:rPr>
      </w:pPr>
      <w:r w:rsidRPr="003461B2">
        <w:rPr>
          <w:rStyle w:val="EndnoteReference"/>
          <w:rFonts w:cs="Arial"/>
          <w:szCs w:val="18"/>
        </w:rPr>
        <w:endnoteRef/>
      </w:r>
      <w:r w:rsidRPr="003461B2">
        <w:rPr>
          <w:rFonts w:cs="Arial"/>
          <w:szCs w:val="18"/>
        </w:rPr>
        <w:t xml:space="preserve"> See  Andrew Markus, </w:t>
      </w:r>
      <w:r w:rsidRPr="003461B2">
        <w:rPr>
          <w:rFonts w:cs="Arial"/>
          <w:i/>
          <w:szCs w:val="18"/>
        </w:rPr>
        <w:t>Mapping Social Cohesion, The Scanlon Foundation Surveys 2018</w:t>
      </w:r>
      <w:r w:rsidRPr="003461B2">
        <w:rPr>
          <w:rFonts w:cs="Arial"/>
          <w:szCs w:val="18"/>
        </w:rPr>
        <w:t>, 67</w:t>
      </w:r>
      <w:r w:rsidR="002A317C" w:rsidRPr="003461B2">
        <w:rPr>
          <w:rFonts w:cs="Arial"/>
          <w:szCs w:val="18"/>
        </w:rPr>
        <w:t>-69</w:t>
      </w:r>
      <w:r w:rsidRPr="003461B2">
        <w:rPr>
          <w:rFonts w:cs="Arial"/>
          <w:szCs w:val="18"/>
        </w:rPr>
        <w:t xml:space="preserve"> available at </w:t>
      </w:r>
      <w:hyperlink r:id="rId2" w:history="1">
        <w:r w:rsidRPr="003461B2">
          <w:rPr>
            <w:rStyle w:val="Hyperlink"/>
            <w:rFonts w:cs="Arial"/>
            <w:szCs w:val="18"/>
          </w:rPr>
          <w:t>https://scanlonfoundation.org.au/current-research/</w:t>
        </w:r>
      </w:hyperlink>
      <w:r w:rsidRPr="003461B2">
        <w:rPr>
          <w:rFonts w:cs="Arial"/>
          <w:szCs w:val="18"/>
        </w:rPr>
        <w:t xml:space="preserve">; April Kailahi, Seimisi Kailahi, and Tatjana Bosevska, Resilient Women Project: Muslim Women and their Experiences of Prejudice (2019). The Commission also heard directly from Muslim communities about the impact of religious vilification and discrimination during consultations for the </w:t>
      </w:r>
      <w:r w:rsidRPr="003461B2">
        <w:rPr>
          <w:rFonts w:cs="Arial"/>
          <w:i/>
          <w:szCs w:val="18"/>
        </w:rPr>
        <w:t>Multicultural and Multifaith Engagement Plan</w:t>
      </w:r>
      <w:r w:rsidRPr="003461B2">
        <w:rPr>
          <w:rFonts w:cs="Arial"/>
          <w:szCs w:val="18"/>
        </w:rPr>
        <w:t xml:space="preserve">: Victorian Equal Opportunity and Human Rights Commission, </w:t>
      </w:r>
      <w:r w:rsidRPr="003461B2">
        <w:rPr>
          <w:rFonts w:cs="Arial"/>
          <w:i/>
          <w:szCs w:val="18"/>
        </w:rPr>
        <w:t xml:space="preserve">Multicultural and Multifaith Engagement Action Plan 2018-2022, </w:t>
      </w:r>
      <w:r w:rsidRPr="003461B2">
        <w:rPr>
          <w:rFonts w:cs="Arial"/>
          <w:szCs w:val="18"/>
        </w:rPr>
        <w:t>(2018), &lt;</w:t>
      </w:r>
      <w:hyperlink r:id="rId3" w:history="1">
        <w:r w:rsidRPr="003461B2">
          <w:rPr>
            <w:rStyle w:val="Hyperlink"/>
            <w:rFonts w:cs="Arial"/>
            <w:szCs w:val="18"/>
          </w:rPr>
          <w:t>https://www.humanrightscommission.vic.gov.au/home/about-us/action-plans/item/1769-multicultural-and-multifaith-engagement-action-plan</w:t>
        </w:r>
      </w:hyperlink>
      <w:r w:rsidRPr="003461B2">
        <w:rPr>
          <w:rFonts w:cs="Arial"/>
          <w:szCs w:val="18"/>
        </w:rPr>
        <w:t xml:space="preserve">&gt; </w:t>
      </w:r>
    </w:p>
  </w:endnote>
  <w:endnote w:id="11">
    <w:p w14:paraId="2A00AF3B" w14:textId="72AB2522" w:rsidR="00152AA8" w:rsidRPr="003461B2" w:rsidRDefault="00152AA8">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w:t>
      </w:r>
      <w:r w:rsidRPr="003461B2">
        <w:rPr>
          <w:rFonts w:cs="Arial"/>
          <w:i/>
          <w:sz w:val="18"/>
          <w:szCs w:val="18"/>
        </w:rPr>
        <w:t xml:space="preserve">Race Discrimination Act 1975 </w:t>
      </w:r>
      <w:r w:rsidRPr="003461B2">
        <w:rPr>
          <w:rFonts w:cs="Arial"/>
          <w:sz w:val="18"/>
          <w:szCs w:val="18"/>
        </w:rPr>
        <w:t xml:space="preserve">(Cth); </w:t>
      </w:r>
      <w:r w:rsidRPr="003461B2">
        <w:rPr>
          <w:rFonts w:cs="Arial"/>
          <w:i/>
          <w:sz w:val="18"/>
          <w:szCs w:val="18"/>
        </w:rPr>
        <w:t xml:space="preserve">Sex Discrimination Act 1984 </w:t>
      </w:r>
      <w:r w:rsidRPr="003461B2">
        <w:rPr>
          <w:rFonts w:cs="Arial"/>
          <w:sz w:val="18"/>
          <w:szCs w:val="18"/>
        </w:rPr>
        <w:t xml:space="preserve">(Cth); </w:t>
      </w:r>
      <w:r w:rsidRPr="003461B2">
        <w:rPr>
          <w:rFonts w:cs="Arial"/>
          <w:i/>
          <w:sz w:val="18"/>
          <w:szCs w:val="18"/>
        </w:rPr>
        <w:t xml:space="preserve">Disability Discrimination Act 1992 </w:t>
      </w:r>
      <w:r w:rsidRPr="003461B2">
        <w:rPr>
          <w:rFonts w:cs="Arial"/>
          <w:sz w:val="18"/>
          <w:szCs w:val="18"/>
        </w:rPr>
        <w:t xml:space="preserve">(Cth); </w:t>
      </w:r>
      <w:r w:rsidRPr="003461B2">
        <w:rPr>
          <w:rFonts w:cs="Arial"/>
          <w:i/>
          <w:sz w:val="18"/>
          <w:szCs w:val="18"/>
        </w:rPr>
        <w:t xml:space="preserve">Age Discrimination Act 2004 </w:t>
      </w:r>
      <w:r w:rsidRPr="003461B2">
        <w:rPr>
          <w:rFonts w:cs="Arial"/>
          <w:sz w:val="18"/>
          <w:szCs w:val="18"/>
        </w:rPr>
        <w:t xml:space="preserve">(Cth). </w:t>
      </w:r>
    </w:p>
  </w:endnote>
  <w:endnote w:id="12">
    <w:p w14:paraId="349A4303" w14:textId="1C6AB129" w:rsidR="00152AA8" w:rsidRPr="003461B2" w:rsidRDefault="00152AA8" w:rsidP="00B43BAB">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See: Victorian Equal Opportunity and Human Rights Commission, Submission to the Commonwealth Government, </w:t>
      </w:r>
      <w:r w:rsidRPr="003461B2">
        <w:rPr>
          <w:rFonts w:cs="Arial"/>
          <w:i/>
          <w:iCs/>
          <w:sz w:val="18"/>
          <w:szCs w:val="18"/>
        </w:rPr>
        <w:t>National Human Rights Consultatio</w:t>
      </w:r>
      <w:r w:rsidRPr="003461B2">
        <w:rPr>
          <w:rFonts w:cs="Arial"/>
          <w:sz w:val="18"/>
          <w:szCs w:val="18"/>
        </w:rPr>
        <w:t xml:space="preserve">n, June 2009. </w:t>
      </w:r>
    </w:p>
  </w:endnote>
  <w:endnote w:id="13">
    <w:p w14:paraId="5D98FF07" w14:textId="4B3BA2DD" w:rsidR="00152AA8" w:rsidRPr="003461B2" w:rsidRDefault="00152AA8">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w:t>
      </w:r>
      <w:r w:rsidRPr="003461B2">
        <w:rPr>
          <w:rFonts w:cs="Arial"/>
          <w:i/>
          <w:sz w:val="18"/>
          <w:szCs w:val="18"/>
        </w:rPr>
        <w:t xml:space="preserve">Religious Discrimination Bill 2019 </w:t>
      </w:r>
      <w:r w:rsidRPr="003461B2">
        <w:rPr>
          <w:rFonts w:cs="Arial"/>
          <w:sz w:val="18"/>
          <w:szCs w:val="18"/>
        </w:rPr>
        <w:t>(Cth) cl 5.</w:t>
      </w:r>
    </w:p>
  </w:endnote>
  <w:endnote w:id="14">
    <w:p w14:paraId="0B9636F7" w14:textId="5A90DDEB" w:rsidR="00152AA8" w:rsidRPr="003461B2" w:rsidRDefault="00152AA8" w:rsidP="005B274A">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See example, </w:t>
      </w:r>
      <w:r w:rsidRPr="003461B2">
        <w:rPr>
          <w:rFonts w:cs="Arial"/>
          <w:i/>
          <w:sz w:val="18"/>
          <w:szCs w:val="18"/>
        </w:rPr>
        <w:t xml:space="preserve">Equal Opportunity Act 2010 </w:t>
      </w:r>
      <w:r w:rsidRPr="003461B2">
        <w:rPr>
          <w:rFonts w:cs="Arial"/>
          <w:sz w:val="18"/>
          <w:szCs w:val="18"/>
        </w:rPr>
        <w:t xml:space="preserve">(Vic), s 82 protects conduct by religious bodies against claims of discrimination if the conduct conforms with the doctrines, beliefs or principles of the religion, or, is reasonably necessary to avoid injury to the religious sensitivities of adherents of the religion. Similarly, s 37(1)(d) of the </w:t>
      </w:r>
      <w:r w:rsidRPr="003461B2">
        <w:rPr>
          <w:rFonts w:cs="Arial"/>
          <w:i/>
          <w:sz w:val="18"/>
          <w:szCs w:val="18"/>
        </w:rPr>
        <w:t xml:space="preserve">Sex Discrimination Act 1984 </w:t>
      </w:r>
      <w:r w:rsidRPr="003461B2">
        <w:rPr>
          <w:rFonts w:cs="Arial"/>
          <w:sz w:val="18"/>
          <w:szCs w:val="18"/>
        </w:rPr>
        <w:t>(Cth) provides a test that the conduct will be protected if the act ‘conforms to the doctrines, tenets or beliefs of that religion or is necessary to avoid injury to the religious susceptibilities of adherents of that religion.’ However, s 37(2) provides that religious bodies do not enjoy this protection if the body is a Commonwealth-funded aged care service, or related to employment of persons to provide that aged care service.</w:t>
      </w:r>
    </w:p>
  </w:endnote>
  <w:endnote w:id="15">
    <w:p w14:paraId="38A386B9" w14:textId="32379577" w:rsidR="00152AA8" w:rsidRPr="003461B2" w:rsidRDefault="00152AA8">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w:t>
      </w:r>
      <w:r w:rsidRPr="003461B2">
        <w:rPr>
          <w:rFonts w:cs="Arial"/>
          <w:i/>
          <w:sz w:val="18"/>
          <w:szCs w:val="18"/>
        </w:rPr>
        <w:t xml:space="preserve">Charter of Human Rights and Responsibilities Act 2006 </w:t>
      </w:r>
      <w:r w:rsidRPr="003461B2">
        <w:rPr>
          <w:rFonts w:cs="Arial"/>
          <w:sz w:val="18"/>
          <w:szCs w:val="18"/>
        </w:rPr>
        <w:t xml:space="preserve">(Vic) s 8; </w:t>
      </w:r>
      <w:r w:rsidRPr="003461B2">
        <w:rPr>
          <w:rFonts w:cs="Arial"/>
          <w:i/>
          <w:sz w:val="18"/>
          <w:szCs w:val="18"/>
          <w:lang w:val="en-US"/>
        </w:rPr>
        <w:t>Convention on the Elimination of All Forms of Discrimination against Women</w:t>
      </w:r>
      <w:r w:rsidRPr="003461B2">
        <w:rPr>
          <w:rFonts w:cs="Arial"/>
          <w:sz w:val="18"/>
          <w:szCs w:val="18"/>
          <w:lang w:val="en-US"/>
        </w:rPr>
        <w:t>, opened for signature 18 December 1979 (entered into force 3 September 1981).</w:t>
      </w:r>
    </w:p>
  </w:endnote>
  <w:endnote w:id="16">
    <w:p w14:paraId="665D0379" w14:textId="77777777" w:rsidR="00152AA8" w:rsidRPr="003461B2" w:rsidRDefault="00152AA8" w:rsidP="006F3382">
      <w:pPr>
        <w:pStyle w:val="EndnoteText"/>
        <w:rPr>
          <w:sz w:val="18"/>
          <w:szCs w:val="18"/>
        </w:rPr>
      </w:pPr>
      <w:r w:rsidRPr="003461B2">
        <w:rPr>
          <w:rStyle w:val="EndnoteReference"/>
          <w:sz w:val="18"/>
          <w:szCs w:val="18"/>
        </w:rPr>
        <w:endnoteRef/>
      </w:r>
      <w:r w:rsidRPr="003461B2">
        <w:rPr>
          <w:sz w:val="18"/>
          <w:szCs w:val="18"/>
        </w:rPr>
        <w:t xml:space="preserve"> </w:t>
      </w:r>
      <w:r w:rsidRPr="003461B2">
        <w:rPr>
          <w:rFonts w:cs="Arial"/>
          <w:sz w:val="18"/>
          <w:szCs w:val="18"/>
        </w:rPr>
        <w:t xml:space="preserve">Human Rights Law Centre, </w:t>
      </w:r>
      <w:r w:rsidRPr="003461B2">
        <w:rPr>
          <w:rFonts w:cs="Arial"/>
          <w:i/>
          <w:sz w:val="18"/>
          <w:szCs w:val="18"/>
        </w:rPr>
        <w:t xml:space="preserve">End the Hate: Responding to hate speech and violence against the LGBTI community, </w:t>
      </w:r>
      <w:r w:rsidRPr="003461B2">
        <w:rPr>
          <w:rFonts w:cs="Arial"/>
          <w:sz w:val="18"/>
          <w:szCs w:val="18"/>
        </w:rPr>
        <w:t xml:space="preserve">(2018), </w:t>
      </w:r>
      <w:hyperlink r:id="rId4" w:history="1">
        <w:r w:rsidRPr="003461B2">
          <w:rPr>
            <w:rStyle w:val="Hyperlink"/>
            <w:rFonts w:cs="Arial"/>
            <w:sz w:val="18"/>
            <w:szCs w:val="18"/>
          </w:rPr>
          <w:t>https://www.hrlc.org.au/reports/end-the-hate</w:t>
        </w:r>
      </w:hyperlink>
      <w:r w:rsidRPr="003461B2">
        <w:rPr>
          <w:rFonts w:cs="Arial"/>
          <w:sz w:val="18"/>
          <w:szCs w:val="18"/>
        </w:rPr>
        <w:t xml:space="preserve">; </w:t>
      </w:r>
      <w:r w:rsidRPr="003461B2">
        <w:rPr>
          <w:rFonts w:cs="Arial"/>
          <w:sz w:val="18"/>
          <w:szCs w:val="18"/>
          <w:shd w:val="clear" w:color="auto" w:fill="FFFFFF"/>
        </w:rPr>
        <w:t>Verrelli, Stefano, Fiona A. White, Lauren J. Harvey, and Michael R. Pulciani. ‘Minority stress, social support, and the mental health of lesbian, gay, and bisexual Australians during the Australian Marriage Law Postal Survey.’ (2019) 54 </w:t>
      </w:r>
      <w:r w:rsidRPr="003461B2">
        <w:rPr>
          <w:rFonts w:cs="Arial"/>
          <w:i/>
          <w:iCs/>
          <w:sz w:val="18"/>
          <w:szCs w:val="18"/>
          <w:shd w:val="clear" w:color="auto" w:fill="FFFFFF"/>
        </w:rPr>
        <w:t xml:space="preserve">Australian Psychologist </w:t>
      </w:r>
      <w:r w:rsidRPr="003461B2">
        <w:rPr>
          <w:rFonts w:cs="Arial"/>
          <w:iCs/>
          <w:sz w:val="18"/>
          <w:szCs w:val="18"/>
          <w:shd w:val="clear" w:color="auto" w:fill="FFFFFF"/>
        </w:rPr>
        <w:t>336</w:t>
      </w:r>
      <w:r w:rsidRPr="003461B2">
        <w:rPr>
          <w:rFonts w:cs="Arial"/>
          <w:sz w:val="18"/>
          <w:szCs w:val="18"/>
        </w:rPr>
        <w:t xml:space="preserve">. There was a 40% surge in young people accessing national mental health service ReachOut during the Same Sex Marriage Survey: ReachOut, ‘Postal survey distress “indisputable”, calls for calm’ (Media Release, 13 November 2017) &lt; </w:t>
      </w:r>
      <w:hyperlink r:id="rId5" w:history="1">
        <w:r w:rsidRPr="003461B2">
          <w:rPr>
            <w:rStyle w:val="Hyperlink"/>
            <w:rFonts w:cs="Arial"/>
            <w:sz w:val="18"/>
            <w:szCs w:val="18"/>
          </w:rPr>
          <w:t>https://about.au.reachout.com/postal-survey-distress-indisputable-calls-for-calm-2017/</w:t>
        </w:r>
      </w:hyperlink>
      <w:r w:rsidRPr="003461B2">
        <w:rPr>
          <w:rFonts w:cs="Arial"/>
          <w:sz w:val="18"/>
          <w:szCs w:val="18"/>
        </w:rPr>
        <w:t>&gt;</w:t>
      </w:r>
    </w:p>
  </w:endnote>
  <w:endnote w:id="17">
    <w:p w14:paraId="3C0D2A16" w14:textId="3C05A283" w:rsidR="00152AA8" w:rsidRPr="003461B2" w:rsidRDefault="00152AA8">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As defined in cl 27(1)(b) </w:t>
      </w:r>
      <w:r w:rsidRPr="003461B2">
        <w:rPr>
          <w:rFonts w:cs="Arial"/>
          <w:i/>
          <w:sz w:val="18"/>
          <w:szCs w:val="18"/>
        </w:rPr>
        <w:t xml:space="preserve">Religious Discrimination Bill 2019 </w:t>
      </w:r>
      <w:r w:rsidRPr="003461B2">
        <w:rPr>
          <w:rFonts w:cs="Arial"/>
          <w:sz w:val="18"/>
          <w:szCs w:val="18"/>
        </w:rPr>
        <w:t>(Cth).</w:t>
      </w:r>
    </w:p>
  </w:endnote>
  <w:endnote w:id="18">
    <w:p w14:paraId="6C8786CF" w14:textId="0DE2F3A1" w:rsidR="00152AA8" w:rsidRPr="003461B2" w:rsidRDefault="00152AA8" w:rsidP="003C623E">
      <w:pPr>
        <w:pStyle w:val="NoSpacing"/>
        <w:rPr>
          <w:rFonts w:cs="Arial"/>
          <w:szCs w:val="18"/>
        </w:rPr>
      </w:pPr>
      <w:r w:rsidRPr="003461B2">
        <w:rPr>
          <w:rStyle w:val="EndnoteReference"/>
          <w:rFonts w:cs="Arial"/>
          <w:szCs w:val="18"/>
        </w:rPr>
        <w:endnoteRef/>
      </w:r>
      <w:r w:rsidRPr="003461B2">
        <w:rPr>
          <w:rFonts w:cs="Arial"/>
          <w:szCs w:val="18"/>
        </w:rPr>
        <w:t xml:space="preserve"> Kerry Robinson, Peter Bansel, Nida Denson, Georgia Ovenden, Cristyn Davies, </w:t>
      </w:r>
      <w:r w:rsidRPr="003461B2">
        <w:rPr>
          <w:rFonts w:cs="Arial"/>
          <w:i/>
          <w:szCs w:val="18"/>
        </w:rPr>
        <w:t>Growing up Queer: Issues Facing Young Australians Who are Gender Variant and Sexuality Diverse</w:t>
      </w:r>
      <w:r w:rsidRPr="003461B2">
        <w:rPr>
          <w:rFonts w:cs="Arial"/>
          <w:szCs w:val="18"/>
        </w:rPr>
        <w:t xml:space="preserve">, (Young and Well Cooperate Research Centre, 2014) at 49 available at </w:t>
      </w:r>
      <w:hyperlink r:id="rId6" w:history="1">
        <w:r w:rsidRPr="003461B2">
          <w:rPr>
            <w:rStyle w:val="Hyperlink"/>
            <w:rFonts w:cs="Arial"/>
            <w:szCs w:val="18"/>
          </w:rPr>
          <w:t>https://www.twenty10.org.au/wp-content/uploads/2016/04/Robinson-et-al.-2014-Growing-up-Queer.pdf</w:t>
        </w:r>
      </w:hyperlink>
      <w:r w:rsidRPr="003461B2">
        <w:rPr>
          <w:rStyle w:val="Hyperlink"/>
          <w:rFonts w:cs="Arial"/>
          <w:szCs w:val="18"/>
        </w:rPr>
        <w:t xml:space="preserve">; </w:t>
      </w:r>
      <w:r w:rsidRPr="003461B2">
        <w:rPr>
          <w:rFonts w:cs="Arial"/>
          <w:szCs w:val="18"/>
        </w:rPr>
        <w:t xml:space="preserve">Human Rights Law Centre, </w:t>
      </w:r>
      <w:r w:rsidRPr="003461B2">
        <w:rPr>
          <w:rFonts w:cs="Arial"/>
          <w:i/>
          <w:szCs w:val="18"/>
        </w:rPr>
        <w:t xml:space="preserve">End the Hate: Responding to hate speech and violence against the LGBTI community, </w:t>
      </w:r>
      <w:r w:rsidRPr="003461B2">
        <w:rPr>
          <w:rFonts w:cs="Arial"/>
          <w:szCs w:val="18"/>
        </w:rPr>
        <w:t xml:space="preserve">(2018), </w:t>
      </w:r>
      <w:hyperlink r:id="rId7" w:history="1">
        <w:r w:rsidRPr="003461B2">
          <w:rPr>
            <w:rStyle w:val="Hyperlink"/>
            <w:rFonts w:cs="Arial"/>
            <w:szCs w:val="18"/>
          </w:rPr>
          <w:t>https://www.hrlc.org.au/reports/end-the-hate</w:t>
        </w:r>
      </w:hyperlink>
      <w:r w:rsidRPr="003461B2">
        <w:rPr>
          <w:rFonts w:cs="Arial"/>
          <w:szCs w:val="18"/>
        </w:rPr>
        <w:t xml:space="preserve">; </w:t>
      </w:r>
      <w:r w:rsidRPr="003461B2">
        <w:rPr>
          <w:rFonts w:cs="Arial"/>
          <w:szCs w:val="18"/>
          <w:shd w:val="clear" w:color="auto" w:fill="FFFFFF"/>
        </w:rPr>
        <w:t>Verrelli, Stefano, Fiona A. White, Lauren J. Harvey, and Michael R. Pulciani. ‘Minority stress, social support, and the mental health of lesbian, gay, and bisexual Australians during the Australian Marriage Law Postal Survey.’ (2019) 54 </w:t>
      </w:r>
      <w:r w:rsidRPr="003461B2">
        <w:rPr>
          <w:rFonts w:cs="Arial"/>
          <w:i/>
          <w:iCs/>
          <w:szCs w:val="18"/>
          <w:shd w:val="clear" w:color="auto" w:fill="FFFFFF"/>
        </w:rPr>
        <w:t xml:space="preserve">Australian Psychologist </w:t>
      </w:r>
      <w:r w:rsidRPr="003461B2">
        <w:rPr>
          <w:rFonts w:cs="Arial"/>
          <w:iCs/>
          <w:szCs w:val="18"/>
          <w:shd w:val="clear" w:color="auto" w:fill="FFFFFF"/>
        </w:rPr>
        <w:t>336</w:t>
      </w:r>
      <w:r w:rsidR="002A55C2" w:rsidRPr="003461B2">
        <w:rPr>
          <w:rFonts w:cs="Arial"/>
          <w:szCs w:val="18"/>
        </w:rPr>
        <w:t xml:space="preserve">; </w:t>
      </w:r>
      <w:r w:rsidRPr="003461B2">
        <w:rPr>
          <w:rFonts w:cs="Arial"/>
          <w:szCs w:val="18"/>
        </w:rPr>
        <w:t xml:space="preserve">ReachOut, ‘Postal survey distress “indisputable”, calls for calm’ (Media Release, 13 November 2017) &lt; </w:t>
      </w:r>
      <w:hyperlink r:id="rId8" w:history="1">
        <w:r w:rsidRPr="003461B2">
          <w:rPr>
            <w:rStyle w:val="Hyperlink"/>
            <w:rFonts w:cs="Arial"/>
            <w:szCs w:val="18"/>
          </w:rPr>
          <w:t>https://about.au.reachout.com/postal-survey-distress-indisputable-calls-for-calm-2017/</w:t>
        </w:r>
      </w:hyperlink>
      <w:r w:rsidRPr="003461B2">
        <w:rPr>
          <w:rFonts w:cs="Arial"/>
          <w:szCs w:val="18"/>
        </w:rPr>
        <w:t xml:space="preserve">&gt; </w:t>
      </w:r>
    </w:p>
  </w:endnote>
  <w:endnote w:id="19">
    <w:p w14:paraId="3D6E335C" w14:textId="77777777" w:rsidR="00152AA8" w:rsidRPr="003461B2" w:rsidRDefault="00152AA8" w:rsidP="003C623E">
      <w:pPr>
        <w:pStyle w:val="NoSpacing"/>
        <w:rPr>
          <w:rFonts w:cs="Arial"/>
          <w:szCs w:val="18"/>
        </w:rPr>
      </w:pPr>
      <w:r w:rsidRPr="003461B2">
        <w:rPr>
          <w:rStyle w:val="EndnoteReference"/>
          <w:rFonts w:cs="Arial"/>
          <w:szCs w:val="18"/>
        </w:rPr>
        <w:endnoteRef/>
      </w:r>
      <w:r w:rsidRPr="003461B2">
        <w:rPr>
          <w:rFonts w:cs="Arial"/>
          <w:szCs w:val="18"/>
        </w:rPr>
        <w:t xml:space="preserve"> Amnesty International, </w:t>
      </w:r>
      <w:r w:rsidRPr="003461B2">
        <w:rPr>
          <w:rFonts w:cs="Arial"/>
          <w:i/>
          <w:szCs w:val="18"/>
        </w:rPr>
        <w:t xml:space="preserve">Australia: Poll Reveals Alarming Impact of Online Abuse Against Women </w:t>
      </w:r>
      <w:r w:rsidRPr="003461B2">
        <w:rPr>
          <w:rFonts w:cs="Arial"/>
          <w:szCs w:val="18"/>
        </w:rPr>
        <w:t xml:space="preserve">(7 February 2018), available at </w:t>
      </w:r>
      <w:hyperlink r:id="rId9" w:history="1">
        <w:r w:rsidRPr="003461B2">
          <w:rPr>
            <w:rStyle w:val="Hyperlink"/>
            <w:rFonts w:cs="Arial"/>
            <w:szCs w:val="18"/>
          </w:rPr>
          <w:t>https://www.amnesty.org.au/australia-poll-reveals-alarming-impact-online-abuse-women/</w:t>
        </w:r>
      </w:hyperlink>
      <w:r w:rsidRPr="003461B2">
        <w:rPr>
          <w:rFonts w:cs="Arial"/>
          <w:szCs w:val="18"/>
        </w:rPr>
        <w:t xml:space="preserve"> </w:t>
      </w:r>
    </w:p>
  </w:endnote>
  <w:endnote w:id="20">
    <w:p w14:paraId="765DCFA3" w14:textId="77777777" w:rsidR="00152AA8" w:rsidRPr="003461B2" w:rsidRDefault="00152AA8" w:rsidP="001438B4">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Clause 41(1)(a) imports the meaning of “anti-discrimination law” from section 351(3) of the </w:t>
      </w:r>
      <w:r w:rsidRPr="003461B2">
        <w:rPr>
          <w:rFonts w:cs="Arial"/>
          <w:i/>
          <w:sz w:val="18"/>
          <w:szCs w:val="18"/>
        </w:rPr>
        <w:t xml:space="preserve">Fair Work Act 2009 </w:t>
      </w:r>
      <w:r w:rsidRPr="003461B2">
        <w:rPr>
          <w:rFonts w:cs="Arial"/>
          <w:sz w:val="18"/>
          <w:szCs w:val="18"/>
        </w:rPr>
        <w:t xml:space="preserve">(Cth), which includes the </w:t>
      </w:r>
      <w:r w:rsidRPr="003461B2">
        <w:rPr>
          <w:rFonts w:cs="Arial"/>
          <w:i/>
          <w:sz w:val="18"/>
          <w:szCs w:val="18"/>
        </w:rPr>
        <w:t xml:space="preserve">Age Discrimination Act 2004 </w:t>
      </w:r>
      <w:r w:rsidRPr="003461B2">
        <w:rPr>
          <w:rFonts w:cs="Arial"/>
          <w:sz w:val="18"/>
          <w:szCs w:val="18"/>
        </w:rPr>
        <w:t xml:space="preserve">(Cth), the </w:t>
      </w:r>
      <w:r w:rsidRPr="003461B2">
        <w:rPr>
          <w:rFonts w:cs="Arial"/>
          <w:i/>
          <w:sz w:val="18"/>
          <w:szCs w:val="18"/>
        </w:rPr>
        <w:t xml:space="preserve">Disability Discrimination Act 1992 </w:t>
      </w:r>
      <w:r w:rsidRPr="003461B2">
        <w:rPr>
          <w:rFonts w:cs="Arial"/>
          <w:sz w:val="18"/>
          <w:szCs w:val="18"/>
        </w:rPr>
        <w:t xml:space="preserve">(Cth), the </w:t>
      </w:r>
      <w:r w:rsidRPr="003461B2">
        <w:rPr>
          <w:rFonts w:cs="Arial"/>
          <w:i/>
          <w:sz w:val="18"/>
          <w:szCs w:val="18"/>
        </w:rPr>
        <w:t xml:space="preserve">Racial Discrimination Act 1975 </w:t>
      </w:r>
      <w:r w:rsidRPr="003461B2">
        <w:rPr>
          <w:rFonts w:cs="Arial"/>
          <w:sz w:val="18"/>
          <w:szCs w:val="18"/>
        </w:rPr>
        <w:t xml:space="preserve">(Cth), the </w:t>
      </w:r>
      <w:r w:rsidRPr="003461B2">
        <w:rPr>
          <w:rFonts w:cs="Arial"/>
          <w:i/>
          <w:sz w:val="18"/>
          <w:szCs w:val="18"/>
        </w:rPr>
        <w:t xml:space="preserve">Sex Discrimination Act 1984 </w:t>
      </w:r>
      <w:r w:rsidRPr="003461B2">
        <w:rPr>
          <w:rFonts w:cs="Arial"/>
          <w:sz w:val="18"/>
          <w:szCs w:val="18"/>
        </w:rPr>
        <w:t xml:space="preserve">(Cth), the </w:t>
      </w:r>
      <w:r w:rsidRPr="003461B2">
        <w:rPr>
          <w:rFonts w:cs="Arial"/>
          <w:i/>
          <w:sz w:val="18"/>
          <w:szCs w:val="18"/>
        </w:rPr>
        <w:t xml:space="preserve">Equal Opportunity Act 2010 </w:t>
      </w:r>
      <w:r w:rsidRPr="003461B2">
        <w:rPr>
          <w:rFonts w:cs="Arial"/>
          <w:sz w:val="18"/>
          <w:szCs w:val="18"/>
        </w:rPr>
        <w:t xml:space="preserve">(Vic), the </w:t>
      </w:r>
      <w:r w:rsidRPr="003461B2">
        <w:rPr>
          <w:rFonts w:cs="Arial"/>
          <w:i/>
          <w:sz w:val="18"/>
          <w:szCs w:val="18"/>
        </w:rPr>
        <w:t xml:space="preserve">Anti-Discrimination Act 1991 </w:t>
      </w:r>
      <w:r w:rsidRPr="003461B2">
        <w:rPr>
          <w:rFonts w:cs="Arial"/>
          <w:sz w:val="18"/>
          <w:szCs w:val="18"/>
        </w:rPr>
        <w:t xml:space="preserve">(Qld), the </w:t>
      </w:r>
      <w:r w:rsidRPr="003461B2">
        <w:rPr>
          <w:rFonts w:cs="Arial"/>
          <w:i/>
          <w:sz w:val="18"/>
          <w:szCs w:val="18"/>
        </w:rPr>
        <w:t xml:space="preserve">Equal Opportunity Act 1984 </w:t>
      </w:r>
      <w:r w:rsidRPr="003461B2">
        <w:rPr>
          <w:rFonts w:cs="Arial"/>
          <w:sz w:val="18"/>
          <w:szCs w:val="18"/>
        </w:rPr>
        <w:t xml:space="preserve">(WA), the </w:t>
      </w:r>
      <w:r w:rsidRPr="003461B2">
        <w:rPr>
          <w:rFonts w:cs="Arial"/>
          <w:i/>
          <w:sz w:val="18"/>
          <w:szCs w:val="18"/>
        </w:rPr>
        <w:t xml:space="preserve">Equal Opportunity Act 1984 </w:t>
      </w:r>
      <w:r w:rsidRPr="003461B2">
        <w:rPr>
          <w:rFonts w:cs="Arial"/>
          <w:sz w:val="18"/>
          <w:szCs w:val="18"/>
        </w:rPr>
        <w:t xml:space="preserve">(SA), the </w:t>
      </w:r>
      <w:r w:rsidRPr="003461B2">
        <w:rPr>
          <w:rFonts w:cs="Arial"/>
          <w:i/>
          <w:sz w:val="18"/>
          <w:szCs w:val="18"/>
        </w:rPr>
        <w:t xml:space="preserve">Anti-Discrimination Act 1998 </w:t>
      </w:r>
      <w:r w:rsidRPr="003461B2">
        <w:rPr>
          <w:rFonts w:cs="Arial"/>
          <w:sz w:val="18"/>
          <w:szCs w:val="18"/>
        </w:rPr>
        <w:t xml:space="preserve">(Tas), the </w:t>
      </w:r>
      <w:r w:rsidRPr="003461B2">
        <w:rPr>
          <w:rFonts w:cs="Arial"/>
          <w:i/>
          <w:sz w:val="18"/>
          <w:szCs w:val="18"/>
        </w:rPr>
        <w:t xml:space="preserve">Discrimination Act 1991 </w:t>
      </w:r>
      <w:r w:rsidRPr="003461B2">
        <w:rPr>
          <w:rFonts w:cs="Arial"/>
          <w:sz w:val="18"/>
          <w:szCs w:val="18"/>
        </w:rPr>
        <w:t xml:space="preserve">(ACT), and the </w:t>
      </w:r>
      <w:r w:rsidRPr="003461B2">
        <w:rPr>
          <w:rFonts w:cs="Arial"/>
          <w:i/>
          <w:sz w:val="18"/>
          <w:szCs w:val="18"/>
        </w:rPr>
        <w:t xml:space="preserve">Anti-Discrimination Act 1992 </w:t>
      </w:r>
      <w:r w:rsidRPr="003461B2">
        <w:rPr>
          <w:rFonts w:cs="Arial"/>
          <w:sz w:val="18"/>
          <w:szCs w:val="18"/>
        </w:rPr>
        <w:t>(NT).</w:t>
      </w:r>
    </w:p>
  </w:endnote>
  <w:endnote w:id="21">
    <w:p w14:paraId="07F39B7A" w14:textId="60EDAB51" w:rsidR="00152AA8" w:rsidRPr="003461B2" w:rsidRDefault="00152AA8" w:rsidP="001438B4">
      <w:pPr>
        <w:pStyle w:val="NoSpacing"/>
        <w:rPr>
          <w:rFonts w:cs="Arial"/>
          <w:szCs w:val="18"/>
        </w:rPr>
      </w:pPr>
      <w:r w:rsidRPr="003461B2">
        <w:rPr>
          <w:rStyle w:val="EndnoteReference"/>
          <w:rFonts w:cs="Arial"/>
          <w:szCs w:val="18"/>
        </w:rPr>
        <w:endnoteRef/>
      </w:r>
      <w:r w:rsidRPr="003461B2">
        <w:rPr>
          <w:rFonts w:cs="Arial"/>
          <w:szCs w:val="18"/>
        </w:rPr>
        <w:t xml:space="preserve"> See the Commission’s media release on the recent </w:t>
      </w:r>
      <w:r w:rsidRPr="003461B2">
        <w:rPr>
          <w:rFonts w:cs="Arial"/>
          <w:i/>
          <w:szCs w:val="18"/>
        </w:rPr>
        <w:t xml:space="preserve">Racial and Religious Tolerance Amendment Bill 2019 </w:t>
      </w:r>
      <w:r w:rsidRPr="003461B2">
        <w:rPr>
          <w:rFonts w:cs="Arial"/>
          <w:szCs w:val="18"/>
        </w:rPr>
        <w:t xml:space="preserve">and the Government’s response: Victorian Equal Opportunity and Human Rights Commission, ‘Victoria’s anti-vilification laws to be reviewed by a Parliamentary Committee of the Legislative Assembly’ (Media Release, 11 September 2019) &lt; </w:t>
      </w:r>
      <w:hyperlink r:id="rId10" w:history="1">
        <w:r w:rsidRPr="003461B2">
          <w:rPr>
            <w:rStyle w:val="Hyperlink"/>
            <w:rFonts w:cs="Arial"/>
            <w:szCs w:val="18"/>
          </w:rPr>
          <w:t>https://www.humanrightscommission.vic.gov.au/home/news-and-events/commission-news/item/1837-victoria%E2%80%99s-anti-vilification-laws-to-be-reviewed-by-a-parliamentary-committee-of-the-legislative-assembly</w:t>
        </w:r>
      </w:hyperlink>
      <w:r w:rsidRPr="003461B2">
        <w:rPr>
          <w:rFonts w:cs="Arial"/>
          <w:szCs w:val="18"/>
        </w:rPr>
        <w:t xml:space="preserve">&gt;; see also: Gender Equity Victoria, ‘GEN VIC supports the Racial and Religious Tolerance Amendment Bill 2019’ (Media Release, 28 August 2019) &lt; </w:t>
      </w:r>
      <w:hyperlink r:id="rId11" w:history="1">
        <w:r w:rsidRPr="003461B2">
          <w:rPr>
            <w:rStyle w:val="Hyperlink"/>
            <w:rFonts w:cs="Arial"/>
            <w:szCs w:val="18"/>
          </w:rPr>
          <w:t>https://www.genvic.org.au/media-releases/gen-vic-supports-the-racial-and-religious-tolerance-amendment-bill-2019/</w:t>
        </w:r>
      </w:hyperlink>
      <w:r w:rsidRPr="003461B2">
        <w:rPr>
          <w:rFonts w:cs="Arial"/>
          <w:szCs w:val="18"/>
        </w:rPr>
        <w:t xml:space="preserve">&gt; </w:t>
      </w:r>
    </w:p>
  </w:endnote>
  <w:endnote w:id="22">
    <w:p w14:paraId="27A04328" w14:textId="2BD892D6" w:rsidR="00152AA8" w:rsidRPr="003461B2" w:rsidRDefault="00152AA8" w:rsidP="001438B4">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The </w:t>
      </w:r>
      <w:r w:rsidRPr="003461B2">
        <w:rPr>
          <w:rFonts w:cs="Arial"/>
          <w:i/>
          <w:sz w:val="18"/>
          <w:szCs w:val="18"/>
        </w:rPr>
        <w:t>Racial and Religious Tolerance Act 2001</w:t>
      </w:r>
      <w:r w:rsidRPr="003461B2">
        <w:rPr>
          <w:rFonts w:cs="Arial"/>
          <w:sz w:val="18"/>
          <w:szCs w:val="18"/>
        </w:rPr>
        <w:t xml:space="preserve"> (Vic), which provides protections from racial and religious vilification only, is not listed a</w:t>
      </w:r>
      <w:r w:rsidR="002A55C2" w:rsidRPr="003461B2">
        <w:rPr>
          <w:rFonts w:cs="Arial"/>
          <w:sz w:val="18"/>
          <w:szCs w:val="18"/>
        </w:rPr>
        <w:t>s a</w:t>
      </w:r>
      <w:r w:rsidRPr="003461B2">
        <w:rPr>
          <w:rFonts w:cs="Arial"/>
          <w:sz w:val="18"/>
          <w:szCs w:val="18"/>
        </w:rPr>
        <w:t xml:space="preserve">n anti-discrimination law for the purpose of cl 41(1). However, the broader section 17(1) of Tasmania’s </w:t>
      </w:r>
      <w:r w:rsidRPr="003461B2">
        <w:rPr>
          <w:rFonts w:cs="Arial"/>
          <w:i/>
          <w:sz w:val="18"/>
          <w:szCs w:val="18"/>
        </w:rPr>
        <w:t>Anti-Discrimination Act 1998</w:t>
      </w:r>
      <w:r w:rsidRPr="003461B2">
        <w:rPr>
          <w:rFonts w:cs="Arial"/>
          <w:sz w:val="18"/>
          <w:szCs w:val="18"/>
        </w:rPr>
        <w:t xml:space="preserve"> (Tas), providing protections against hateful speech for LGBTIQ people, women and people with disability, is explicitly overridden by clause 41(b), suggesting this provision is concerned to prevent other groups (particularly LGBTIQ people) from making complaints of hate speech. </w:t>
      </w:r>
    </w:p>
  </w:endnote>
  <w:endnote w:id="23">
    <w:p w14:paraId="3E7EED55" w14:textId="77777777" w:rsidR="00152AA8" w:rsidRPr="003461B2" w:rsidRDefault="00152AA8" w:rsidP="00773509">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Australian Human Rights Commission, </w:t>
      </w:r>
      <w:r w:rsidRPr="003461B2">
        <w:rPr>
          <w:rFonts w:cs="Arial"/>
          <w:i/>
          <w:sz w:val="18"/>
          <w:szCs w:val="18"/>
        </w:rPr>
        <w:t xml:space="preserve">Religious Freedoms Bill </w:t>
      </w:r>
      <w:r w:rsidRPr="003461B2">
        <w:rPr>
          <w:rFonts w:cs="Arial"/>
          <w:sz w:val="18"/>
          <w:szCs w:val="18"/>
        </w:rPr>
        <w:t>(Submission to the Attorney-General’s Department, 27 September 2019) at 25 &lt;</w:t>
      </w:r>
      <w:hyperlink r:id="rId12" w:history="1">
        <w:r w:rsidRPr="003461B2">
          <w:rPr>
            <w:rStyle w:val="Hyperlink"/>
            <w:rFonts w:cs="Arial"/>
            <w:sz w:val="18"/>
            <w:szCs w:val="18"/>
          </w:rPr>
          <w:t>https://www.humanrights.gov.au/our-work/legal/submission/religious-freedom-bills</w:t>
        </w:r>
      </w:hyperlink>
      <w:r w:rsidRPr="003461B2">
        <w:rPr>
          <w:rFonts w:cs="Arial"/>
          <w:sz w:val="18"/>
          <w:szCs w:val="18"/>
        </w:rPr>
        <w:t>&gt;</w:t>
      </w:r>
    </w:p>
  </w:endnote>
  <w:endnote w:id="24">
    <w:p w14:paraId="4A3D12F9" w14:textId="3F1FB37A" w:rsidR="00152AA8" w:rsidRPr="003461B2" w:rsidRDefault="00152AA8" w:rsidP="001438B4">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See for example </w:t>
      </w:r>
      <w:r w:rsidRPr="003461B2">
        <w:rPr>
          <w:rFonts w:cs="Arial"/>
          <w:i/>
          <w:sz w:val="18"/>
          <w:szCs w:val="18"/>
        </w:rPr>
        <w:t xml:space="preserve">Racial Discrimination Act 1975 </w:t>
      </w:r>
      <w:r w:rsidRPr="003461B2">
        <w:rPr>
          <w:rFonts w:cs="Arial"/>
          <w:sz w:val="18"/>
          <w:szCs w:val="18"/>
        </w:rPr>
        <w:t xml:space="preserve">(Cth) s 6A. </w:t>
      </w:r>
    </w:p>
  </w:endnote>
  <w:endnote w:id="25">
    <w:p w14:paraId="00B8BB60" w14:textId="77777777" w:rsidR="00152AA8" w:rsidRPr="003461B2" w:rsidRDefault="00152AA8" w:rsidP="0048537C">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As defined in cl 27(1)(b) </w:t>
      </w:r>
      <w:r w:rsidRPr="003461B2">
        <w:rPr>
          <w:rFonts w:cs="Arial"/>
          <w:i/>
          <w:sz w:val="18"/>
          <w:szCs w:val="18"/>
        </w:rPr>
        <w:t xml:space="preserve">Religious Discrimination Bill 2019 </w:t>
      </w:r>
      <w:r w:rsidRPr="003461B2">
        <w:rPr>
          <w:rFonts w:cs="Arial"/>
          <w:sz w:val="18"/>
          <w:szCs w:val="18"/>
        </w:rPr>
        <w:t>(Cth).</w:t>
      </w:r>
    </w:p>
  </w:endnote>
  <w:endnote w:id="26">
    <w:p w14:paraId="49F8FF35" w14:textId="77777777" w:rsidR="00152AA8" w:rsidRPr="003461B2" w:rsidRDefault="00152AA8" w:rsidP="0048537C">
      <w:pPr>
        <w:pStyle w:val="NoSpacing"/>
        <w:rPr>
          <w:rFonts w:cs="Arial"/>
          <w:szCs w:val="18"/>
        </w:rPr>
      </w:pPr>
      <w:r w:rsidRPr="003461B2">
        <w:rPr>
          <w:rStyle w:val="EndnoteReference"/>
          <w:rFonts w:cs="Arial"/>
          <w:szCs w:val="18"/>
        </w:rPr>
        <w:endnoteRef/>
      </w:r>
      <w:r w:rsidRPr="003461B2">
        <w:rPr>
          <w:rFonts w:cs="Arial"/>
          <w:szCs w:val="18"/>
        </w:rPr>
        <w:t xml:space="preserve"> </w:t>
      </w:r>
      <w:r w:rsidRPr="003461B2">
        <w:rPr>
          <w:rFonts w:cs="Arial"/>
          <w:i/>
          <w:szCs w:val="18"/>
        </w:rPr>
        <w:t xml:space="preserve">Voluntary Assisted Dying Act 2017 </w:t>
      </w:r>
      <w:r w:rsidRPr="003461B2">
        <w:rPr>
          <w:rFonts w:cs="Arial"/>
          <w:szCs w:val="18"/>
        </w:rPr>
        <w:t>(Vic) s 13(1)(b)(i).</w:t>
      </w:r>
    </w:p>
  </w:endnote>
  <w:endnote w:id="27">
    <w:p w14:paraId="706369F8" w14:textId="2E85E27A" w:rsidR="00152AA8" w:rsidRPr="003461B2" w:rsidRDefault="00152AA8" w:rsidP="0048537C">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w:t>
      </w:r>
      <w:r w:rsidRPr="003461B2">
        <w:rPr>
          <w:rFonts w:cs="Arial"/>
          <w:i/>
          <w:sz w:val="18"/>
          <w:szCs w:val="18"/>
        </w:rPr>
        <w:t xml:space="preserve">Abortion Law Reform Act 2008 </w:t>
      </w:r>
      <w:r w:rsidRPr="003461B2">
        <w:rPr>
          <w:rFonts w:cs="Arial"/>
          <w:sz w:val="18"/>
          <w:szCs w:val="18"/>
        </w:rPr>
        <w:t>(Vic) s</w:t>
      </w:r>
      <w:r w:rsidR="002A55C2" w:rsidRPr="003461B2">
        <w:rPr>
          <w:rFonts w:cs="Arial"/>
          <w:sz w:val="18"/>
          <w:szCs w:val="18"/>
        </w:rPr>
        <w:t xml:space="preserve"> </w:t>
      </w:r>
      <w:r w:rsidRPr="003461B2">
        <w:rPr>
          <w:rFonts w:cs="Arial"/>
          <w:sz w:val="18"/>
          <w:szCs w:val="18"/>
        </w:rPr>
        <w:t>8(1).</w:t>
      </w:r>
    </w:p>
  </w:endnote>
  <w:endnote w:id="28">
    <w:p w14:paraId="33312020" w14:textId="77777777" w:rsidR="00152AA8" w:rsidRPr="003461B2" w:rsidRDefault="00152AA8" w:rsidP="00E46B8B">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Paragraph 146 of the Explanatory Notes of the </w:t>
      </w:r>
      <w:r w:rsidRPr="003461B2">
        <w:rPr>
          <w:rFonts w:cs="Arial"/>
          <w:i/>
          <w:sz w:val="18"/>
          <w:szCs w:val="18"/>
        </w:rPr>
        <w:t xml:space="preserve">Religious Discrimination Bill 2019 </w:t>
      </w:r>
      <w:r w:rsidRPr="003461B2">
        <w:rPr>
          <w:rFonts w:cs="Arial"/>
          <w:sz w:val="18"/>
          <w:szCs w:val="18"/>
        </w:rPr>
        <w:t>(Cth).</w:t>
      </w:r>
    </w:p>
  </w:endnote>
  <w:endnote w:id="29">
    <w:p w14:paraId="68ACC1F1" w14:textId="51CC9334" w:rsidR="00152AA8" w:rsidRPr="003461B2" w:rsidRDefault="00152AA8" w:rsidP="0048537C">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Paragraph 140 of the Explanatory Notes of the </w:t>
      </w:r>
      <w:r w:rsidRPr="003461B2">
        <w:rPr>
          <w:rFonts w:cs="Arial"/>
          <w:i/>
          <w:sz w:val="18"/>
          <w:szCs w:val="18"/>
        </w:rPr>
        <w:t xml:space="preserve">Religious Discrimination Bill 2019 </w:t>
      </w:r>
      <w:r w:rsidRPr="003461B2">
        <w:rPr>
          <w:rFonts w:cs="Arial"/>
          <w:sz w:val="18"/>
          <w:szCs w:val="18"/>
        </w:rPr>
        <w:t xml:space="preserve">(Cth) acknowledges that clause 8(5) ‘recognises that statutory conscientious objections provisions are primarily a matter for the states and territories.’ </w:t>
      </w:r>
    </w:p>
  </w:endnote>
  <w:endnote w:id="30">
    <w:p w14:paraId="46993030" w14:textId="70BC391C" w:rsidR="00152AA8" w:rsidRPr="003461B2" w:rsidRDefault="00152AA8" w:rsidP="0048537C">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A “health service” is defined in cl 5 as a ‘service provided in the practice of any of the following health professions: a) Aboriginal and Torres Strait Islander health practice; b) dental (not including the professions of dental therapist, dental hygienist, dental prosthetist or oral health therapist); c) medical; d) medical radiation practice; e) midwifery; f) nursing; g) occupational therapy; h) optometry; i) pharmacy; j) physiotherapy; k) podiatry; l) psychology.  </w:t>
      </w:r>
    </w:p>
  </w:endnote>
  <w:endnote w:id="31">
    <w:p w14:paraId="3944B9CD" w14:textId="07D530D3" w:rsidR="003461B2" w:rsidRPr="003461B2" w:rsidRDefault="003461B2" w:rsidP="003461B2">
      <w:pPr>
        <w:pStyle w:val="NoSpacing"/>
        <w:rPr>
          <w:szCs w:val="18"/>
        </w:rPr>
      </w:pPr>
      <w:r w:rsidRPr="003461B2">
        <w:rPr>
          <w:rStyle w:val="EndnoteReference"/>
          <w:szCs w:val="18"/>
        </w:rPr>
        <w:endnoteRef/>
      </w:r>
      <w:r w:rsidRPr="003461B2">
        <w:rPr>
          <w:szCs w:val="18"/>
        </w:rPr>
        <w:t xml:space="preserve"> For example, see best-practice guidance from the Australian Medical Association on how general practitioners should conscientiously object: Australian Medical Association, </w:t>
      </w:r>
      <w:r w:rsidRPr="003461B2">
        <w:rPr>
          <w:i/>
          <w:szCs w:val="18"/>
        </w:rPr>
        <w:t>AMA Position Statement: Conscientious Objection</w:t>
      </w:r>
      <w:r w:rsidRPr="003461B2">
        <w:rPr>
          <w:szCs w:val="18"/>
        </w:rPr>
        <w:t xml:space="preserve">, (27 March 2019) </w:t>
      </w:r>
      <w:hyperlink r:id="rId13" w:history="1">
        <w:r w:rsidRPr="003461B2">
          <w:rPr>
            <w:rStyle w:val="Hyperlink"/>
            <w:szCs w:val="18"/>
          </w:rPr>
          <w:t>https://ama.com.au/position-statement/conscientious-objection-2019</w:t>
        </w:r>
      </w:hyperlink>
      <w:r w:rsidRPr="003461B2">
        <w:rPr>
          <w:szCs w:val="18"/>
        </w:rPr>
        <w:t xml:space="preserve">. </w:t>
      </w:r>
    </w:p>
  </w:endnote>
  <w:endnote w:id="32">
    <w:p w14:paraId="7DDA8204" w14:textId="77777777" w:rsidR="00152AA8" w:rsidRPr="003461B2" w:rsidRDefault="00152AA8" w:rsidP="0048537C">
      <w:pPr>
        <w:pStyle w:val="NoSpacing"/>
        <w:rPr>
          <w:rFonts w:cs="Arial"/>
          <w:szCs w:val="18"/>
        </w:rPr>
      </w:pPr>
      <w:r w:rsidRPr="003461B2">
        <w:rPr>
          <w:rStyle w:val="EndnoteReference"/>
          <w:rFonts w:cs="Arial"/>
          <w:szCs w:val="18"/>
        </w:rPr>
        <w:endnoteRef/>
      </w:r>
      <w:r w:rsidRPr="003461B2">
        <w:rPr>
          <w:rFonts w:cs="Arial"/>
          <w:szCs w:val="18"/>
        </w:rPr>
        <w:t xml:space="preserve"> There is already evidence of confusion and non-compliance by doctors in existing conscientious objection regimes: Louise Anne Keogh, Lynn Gillam, Maria Bismark, Kathleen McNamee, Amy Webster, Christine Bayly, &amp; Danielle Newton, ‘Conscientious objection to abortion, the law and its implementation in Victoria, Australia: perspectives of abortion service providers’ (2019) 20(11) </w:t>
      </w:r>
      <w:r w:rsidRPr="003461B2">
        <w:rPr>
          <w:rFonts w:cs="Arial"/>
          <w:i/>
          <w:szCs w:val="18"/>
        </w:rPr>
        <w:t>British Medical Journal Medical Ethics</w:t>
      </w:r>
      <w:r w:rsidRPr="003461B2">
        <w:rPr>
          <w:rFonts w:cs="Arial"/>
          <w:szCs w:val="18"/>
        </w:rPr>
        <w:t xml:space="preserve"> 1.</w:t>
      </w:r>
    </w:p>
  </w:endnote>
  <w:endnote w:id="33">
    <w:p w14:paraId="2E12EAB1" w14:textId="0CF8719B" w:rsidR="00152AA8" w:rsidRPr="003461B2" w:rsidRDefault="00152AA8" w:rsidP="007161AB">
      <w:pPr>
        <w:pStyle w:val="NoSpacing"/>
        <w:rPr>
          <w:rFonts w:cs="Arial"/>
          <w:szCs w:val="18"/>
        </w:rPr>
      </w:pPr>
      <w:r w:rsidRPr="003461B2">
        <w:rPr>
          <w:rStyle w:val="EndnoteReference"/>
          <w:rFonts w:cs="Arial"/>
          <w:szCs w:val="18"/>
        </w:rPr>
        <w:endnoteRef/>
      </w:r>
      <w:r w:rsidRPr="003461B2">
        <w:rPr>
          <w:rFonts w:cs="Arial"/>
          <w:szCs w:val="18"/>
        </w:rPr>
        <w:t xml:space="preserve"> </w:t>
      </w:r>
      <w:r w:rsidR="00C54D4B" w:rsidRPr="003461B2">
        <w:rPr>
          <w:rFonts w:cs="Arial"/>
          <w:szCs w:val="18"/>
        </w:rPr>
        <w:t>Ibid</w:t>
      </w:r>
      <w:r w:rsidRPr="003461B2">
        <w:rPr>
          <w:rFonts w:cs="Arial"/>
          <w:szCs w:val="18"/>
        </w:rPr>
        <w:t>.</w:t>
      </w:r>
    </w:p>
  </w:endnote>
  <w:endnote w:id="34">
    <w:p w14:paraId="26693E3C" w14:textId="61AA62D6" w:rsidR="00152AA8" w:rsidRPr="003461B2" w:rsidRDefault="00152AA8" w:rsidP="007161AB">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This example is based on case studies provided by St Kilda Legal Service’s LGBTIQ outreach legal service &lt;</w:t>
      </w:r>
      <w:hyperlink r:id="rId14" w:history="1">
        <w:r w:rsidRPr="003461B2">
          <w:rPr>
            <w:rStyle w:val="Hyperlink"/>
            <w:rFonts w:cs="Arial"/>
            <w:sz w:val="18"/>
            <w:szCs w:val="18"/>
          </w:rPr>
          <w:t>https://www.skls.org.au/</w:t>
        </w:r>
      </w:hyperlink>
      <w:r w:rsidRPr="003461B2">
        <w:rPr>
          <w:rFonts w:cs="Arial"/>
          <w:sz w:val="18"/>
          <w:szCs w:val="18"/>
        </w:rPr>
        <w:t xml:space="preserve">&gt;. </w:t>
      </w:r>
    </w:p>
  </w:endnote>
  <w:endnote w:id="35">
    <w:p w14:paraId="5D5A0F47" w14:textId="098B521D" w:rsidR="00152AA8" w:rsidRPr="003461B2" w:rsidRDefault="00152AA8" w:rsidP="00781243">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w:t>
      </w:r>
      <w:r w:rsidRPr="003461B2">
        <w:rPr>
          <w:rFonts w:cs="Arial"/>
          <w:i/>
          <w:sz w:val="18"/>
          <w:szCs w:val="18"/>
        </w:rPr>
        <w:t xml:space="preserve">Australian Human Rights Commission Act 1986 </w:t>
      </w:r>
      <w:r w:rsidRPr="003461B2">
        <w:rPr>
          <w:rFonts w:cs="Arial"/>
          <w:sz w:val="18"/>
          <w:szCs w:val="18"/>
        </w:rPr>
        <w:t>(Cth), s</w:t>
      </w:r>
      <w:r w:rsidR="00C54D4B" w:rsidRPr="003461B2">
        <w:rPr>
          <w:rFonts w:cs="Arial"/>
          <w:sz w:val="18"/>
          <w:szCs w:val="18"/>
        </w:rPr>
        <w:t xml:space="preserve"> </w:t>
      </w:r>
      <w:r w:rsidRPr="003461B2">
        <w:rPr>
          <w:rFonts w:cs="Arial"/>
          <w:sz w:val="18"/>
          <w:szCs w:val="18"/>
        </w:rPr>
        <w:t>3</w:t>
      </w:r>
      <w:r w:rsidR="003461B2" w:rsidRPr="003461B2">
        <w:rPr>
          <w:rFonts w:cs="Arial"/>
          <w:sz w:val="18"/>
          <w:szCs w:val="18"/>
        </w:rPr>
        <w:t>2(1)(b)</w:t>
      </w:r>
      <w:r w:rsidRPr="003461B2">
        <w:rPr>
          <w:rFonts w:cs="Arial"/>
          <w:sz w:val="18"/>
          <w:szCs w:val="18"/>
        </w:rPr>
        <w:t xml:space="preserve">. </w:t>
      </w:r>
    </w:p>
  </w:endnote>
  <w:endnote w:id="36">
    <w:p w14:paraId="0F7B296C" w14:textId="5803954B" w:rsidR="00152AA8" w:rsidRPr="003461B2" w:rsidRDefault="00152AA8">
      <w:pPr>
        <w:pStyle w:val="EndnoteText"/>
        <w:rPr>
          <w:rFonts w:cs="Arial"/>
          <w:i/>
          <w:sz w:val="18"/>
          <w:szCs w:val="18"/>
        </w:rPr>
      </w:pPr>
      <w:r w:rsidRPr="003461B2">
        <w:rPr>
          <w:rStyle w:val="EndnoteReference"/>
          <w:rFonts w:cs="Arial"/>
          <w:sz w:val="18"/>
          <w:szCs w:val="18"/>
        </w:rPr>
        <w:endnoteRef/>
      </w:r>
      <w:r w:rsidRPr="003461B2">
        <w:rPr>
          <w:rFonts w:cs="Arial"/>
          <w:sz w:val="18"/>
          <w:szCs w:val="18"/>
        </w:rPr>
        <w:t xml:space="preserve"> Section 5 of the </w:t>
      </w:r>
      <w:r w:rsidRPr="003461B2">
        <w:rPr>
          <w:rFonts w:cs="Arial"/>
          <w:i/>
          <w:sz w:val="18"/>
          <w:szCs w:val="18"/>
        </w:rPr>
        <w:t xml:space="preserve">Equal Opportunity Act 2010 </w:t>
      </w:r>
      <w:r w:rsidRPr="003461B2">
        <w:rPr>
          <w:rFonts w:cs="Arial"/>
          <w:sz w:val="18"/>
          <w:szCs w:val="18"/>
        </w:rPr>
        <w:t xml:space="preserve">(Vic) defines a person as “an unincorporated association and, in relation to a natural person, means a person of any age”, which is mirrored in section 3 of the </w:t>
      </w:r>
      <w:r w:rsidRPr="003461B2">
        <w:rPr>
          <w:rFonts w:cs="Arial"/>
          <w:i/>
          <w:sz w:val="18"/>
          <w:szCs w:val="18"/>
        </w:rPr>
        <w:t xml:space="preserve">Racial and Religious Tolerance Act 2001 </w:t>
      </w:r>
      <w:r w:rsidRPr="003461B2">
        <w:rPr>
          <w:rFonts w:cs="Arial"/>
          <w:sz w:val="18"/>
          <w:szCs w:val="18"/>
        </w:rPr>
        <w:t xml:space="preserve">(Vic). A person means a “human being” under the </w:t>
      </w:r>
      <w:r w:rsidRPr="003461B2">
        <w:rPr>
          <w:rFonts w:cs="Arial"/>
          <w:i/>
          <w:sz w:val="18"/>
          <w:szCs w:val="18"/>
        </w:rPr>
        <w:t xml:space="preserve">Charter of Human Rights and Responsibilities Act 2006 </w:t>
      </w:r>
      <w:r w:rsidRPr="003461B2">
        <w:rPr>
          <w:rFonts w:cs="Arial"/>
          <w:sz w:val="18"/>
          <w:szCs w:val="18"/>
        </w:rPr>
        <w:t xml:space="preserve">(Vic). The meaning of “person” in section 2C of the </w:t>
      </w:r>
      <w:r w:rsidRPr="003461B2">
        <w:rPr>
          <w:rFonts w:cs="Arial"/>
          <w:i/>
          <w:sz w:val="18"/>
          <w:szCs w:val="18"/>
        </w:rPr>
        <w:t xml:space="preserve">Acts Interpretation Act 1901 </w:t>
      </w:r>
      <w:r w:rsidRPr="003461B2">
        <w:rPr>
          <w:rFonts w:cs="Arial"/>
          <w:sz w:val="18"/>
          <w:szCs w:val="18"/>
        </w:rPr>
        <w:t xml:space="preserve">(Cth) is not imported into </w:t>
      </w:r>
      <w:r w:rsidRPr="003461B2">
        <w:rPr>
          <w:rFonts w:cs="Arial"/>
          <w:i/>
          <w:sz w:val="18"/>
          <w:szCs w:val="18"/>
        </w:rPr>
        <w:t xml:space="preserve">Age Discrimination Act 2004 </w:t>
      </w:r>
      <w:r w:rsidRPr="003461B2">
        <w:rPr>
          <w:rFonts w:cs="Arial"/>
          <w:sz w:val="18"/>
          <w:szCs w:val="18"/>
        </w:rPr>
        <w:t xml:space="preserve">(Cth), </w:t>
      </w:r>
      <w:r w:rsidRPr="003461B2">
        <w:rPr>
          <w:rFonts w:cs="Arial"/>
          <w:i/>
          <w:sz w:val="18"/>
          <w:szCs w:val="18"/>
        </w:rPr>
        <w:t xml:space="preserve">Sex Discrimination Act 1984 </w:t>
      </w:r>
      <w:r w:rsidRPr="003461B2">
        <w:rPr>
          <w:rFonts w:cs="Arial"/>
          <w:sz w:val="18"/>
          <w:szCs w:val="18"/>
        </w:rPr>
        <w:t xml:space="preserve">(Cth), </w:t>
      </w:r>
      <w:r w:rsidRPr="003461B2">
        <w:rPr>
          <w:rFonts w:cs="Arial"/>
          <w:i/>
          <w:sz w:val="18"/>
          <w:szCs w:val="18"/>
        </w:rPr>
        <w:t xml:space="preserve">Disability Discrimination Act 1992 </w:t>
      </w:r>
      <w:r w:rsidRPr="003461B2">
        <w:rPr>
          <w:rFonts w:cs="Arial"/>
          <w:sz w:val="18"/>
          <w:szCs w:val="18"/>
        </w:rPr>
        <w:t xml:space="preserve">(Cth), and the </w:t>
      </w:r>
      <w:r w:rsidRPr="003461B2">
        <w:rPr>
          <w:rFonts w:cs="Arial"/>
          <w:i/>
          <w:sz w:val="18"/>
          <w:szCs w:val="18"/>
        </w:rPr>
        <w:t>Racial Discrimination Act 1975.</w:t>
      </w:r>
    </w:p>
  </w:endnote>
  <w:endnote w:id="37">
    <w:p w14:paraId="60F8B3D9" w14:textId="67844245" w:rsidR="00152AA8" w:rsidRPr="003461B2" w:rsidRDefault="00152AA8" w:rsidP="00262F02">
      <w:pPr>
        <w:pStyle w:val="NormalWeb"/>
        <w:rPr>
          <w:rFonts w:cs="Arial"/>
          <w:sz w:val="18"/>
          <w:szCs w:val="18"/>
        </w:rPr>
      </w:pPr>
      <w:r w:rsidRPr="003461B2">
        <w:rPr>
          <w:rStyle w:val="EndnoteReference"/>
          <w:rFonts w:cs="Arial"/>
          <w:sz w:val="18"/>
          <w:szCs w:val="18"/>
        </w:rPr>
        <w:endnoteRef/>
      </w:r>
      <w:r w:rsidRPr="003461B2">
        <w:rPr>
          <w:rFonts w:cs="Arial"/>
          <w:sz w:val="18"/>
          <w:szCs w:val="18"/>
        </w:rPr>
        <w:t xml:space="preserve"> </w:t>
      </w:r>
      <w:r w:rsidRPr="003461B2">
        <w:rPr>
          <w:rFonts w:cs="Arial"/>
          <w:i/>
          <w:sz w:val="18"/>
          <w:szCs w:val="18"/>
        </w:rPr>
        <w:t xml:space="preserve">Universal Declaration of Human Rights </w:t>
      </w:r>
      <w:r w:rsidRPr="003461B2">
        <w:rPr>
          <w:rFonts w:cs="Arial"/>
          <w:sz w:val="18"/>
          <w:szCs w:val="18"/>
        </w:rPr>
        <w:t>preamble provides</w:t>
      </w:r>
      <w:r w:rsidR="00C54D4B" w:rsidRPr="003461B2">
        <w:rPr>
          <w:rFonts w:cs="Arial"/>
          <w:sz w:val="18"/>
          <w:szCs w:val="18"/>
        </w:rPr>
        <w:t xml:space="preserve"> </w:t>
      </w:r>
      <w:r w:rsidRPr="003461B2">
        <w:rPr>
          <w:rFonts w:cs="Arial"/>
          <w:sz w:val="18"/>
          <w:szCs w:val="18"/>
        </w:rPr>
        <w:t xml:space="preserve">‘Whereas recognition of the inherent dignity and of the equal and inalienable rights of all members of the human family is the foundation of freedom, justice and peace in the world…’: </w:t>
      </w:r>
      <w:r w:rsidRPr="003461B2">
        <w:rPr>
          <w:rFonts w:cs="Arial"/>
          <w:sz w:val="18"/>
          <w:szCs w:val="18"/>
          <w:shd w:val="clear" w:color="auto" w:fill="F9F9F9"/>
        </w:rPr>
        <w:t>UN General Assembly, </w:t>
      </w:r>
      <w:r w:rsidRPr="003461B2">
        <w:rPr>
          <w:rFonts w:cs="Arial"/>
          <w:i/>
          <w:iCs/>
          <w:sz w:val="18"/>
          <w:szCs w:val="18"/>
        </w:rPr>
        <w:t>Universal Declaration of Human Rights</w:t>
      </w:r>
      <w:r w:rsidRPr="003461B2">
        <w:rPr>
          <w:rFonts w:cs="Arial"/>
          <w:sz w:val="18"/>
          <w:szCs w:val="18"/>
          <w:shd w:val="clear" w:color="auto" w:fill="F9F9F9"/>
        </w:rPr>
        <w:t>, 10 December 1948, 217 A (III)</w:t>
      </w:r>
      <w:r w:rsidR="00C54D4B" w:rsidRPr="003461B2">
        <w:rPr>
          <w:rFonts w:cs="Arial"/>
          <w:sz w:val="18"/>
          <w:szCs w:val="18"/>
          <w:shd w:val="clear" w:color="auto" w:fill="F9F9F9"/>
        </w:rPr>
        <w:t xml:space="preserve">; </w:t>
      </w:r>
      <w:r w:rsidRPr="003461B2">
        <w:rPr>
          <w:rFonts w:cs="Arial"/>
          <w:i/>
          <w:sz w:val="18"/>
          <w:szCs w:val="18"/>
        </w:rPr>
        <w:t>International Covenant on Civil and Political Rights</w:t>
      </w:r>
      <w:r w:rsidRPr="003461B2">
        <w:rPr>
          <w:rFonts w:cs="Arial"/>
          <w:sz w:val="18"/>
          <w:szCs w:val="18"/>
          <w:shd w:val="clear" w:color="auto" w:fill="FFFFFF"/>
        </w:rPr>
        <w:t xml:space="preserve"> preamble</w:t>
      </w:r>
      <w:r w:rsidRPr="003461B2">
        <w:rPr>
          <w:rFonts w:cs="Arial"/>
          <w:sz w:val="18"/>
          <w:szCs w:val="18"/>
        </w:rPr>
        <w:t xml:space="preserve"> provides ‘recognition of the inherent dignity and of the equal and inalienable rights of all members of the human family is the foundation of freedom, justice and peace in the world, Recognizing that these rights derive from the inherent dignity of the human person’: UN General Assembly, </w:t>
      </w:r>
      <w:r w:rsidRPr="003461B2">
        <w:rPr>
          <w:rFonts w:cs="Arial"/>
          <w:i/>
          <w:iCs/>
          <w:sz w:val="18"/>
          <w:szCs w:val="18"/>
        </w:rPr>
        <w:t>International Covenant on Civil and Political Rights</w:t>
      </w:r>
      <w:r w:rsidRPr="003461B2">
        <w:rPr>
          <w:rFonts w:cs="Arial"/>
          <w:sz w:val="18"/>
          <w:szCs w:val="18"/>
        </w:rPr>
        <w:t xml:space="preserve">, 16 December 1966, United Nations, Treaty Series, vol. 999,. The Australian Human Rights Commission has expressed similar concerns: Australian Human Rights Commission, </w:t>
      </w:r>
      <w:r w:rsidRPr="003461B2">
        <w:rPr>
          <w:rFonts w:cs="Arial"/>
          <w:i/>
          <w:sz w:val="18"/>
          <w:szCs w:val="18"/>
        </w:rPr>
        <w:t xml:space="preserve">Religious Freedoms Bill </w:t>
      </w:r>
      <w:r w:rsidRPr="003461B2">
        <w:rPr>
          <w:rFonts w:cs="Arial"/>
          <w:sz w:val="18"/>
          <w:szCs w:val="18"/>
        </w:rPr>
        <w:t>(Submission to the Attorney-General’s Department, 27 September 2019) at 15-18 &lt;</w:t>
      </w:r>
      <w:hyperlink r:id="rId15" w:history="1">
        <w:r w:rsidRPr="003461B2">
          <w:rPr>
            <w:rStyle w:val="Hyperlink"/>
            <w:rFonts w:cs="Arial"/>
            <w:sz w:val="18"/>
            <w:szCs w:val="18"/>
          </w:rPr>
          <w:t>https://www.humanrights.gov.au/our-work/legal/submission/religious-freedom-bills</w:t>
        </w:r>
      </w:hyperlink>
      <w:r w:rsidRPr="003461B2">
        <w:rPr>
          <w:rFonts w:cs="Arial"/>
          <w:sz w:val="18"/>
          <w:szCs w:val="18"/>
        </w:rPr>
        <w:t>&gt;</w:t>
      </w:r>
    </w:p>
  </w:endnote>
  <w:endnote w:id="38">
    <w:p w14:paraId="4B0C0064" w14:textId="77777777" w:rsidR="00152AA8" w:rsidRPr="003461B2" w:rsidRDefault="00152AA8" w:rsidP="00E06573">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See the </w:t>
      </w:r>
      <w:r w:rsidRPr="003461B2">
        <w:rPr>
          <w:rFonts w:cs="Arial"/>
          <w:i/>
          <w:sz w:val="18"/>
          <w:szCs w:val="18"/>
        </w:rPr>
        <w:t xml:space="preserve">Equal Opportunity Act 2010 </w:t>
      </w:r>
      <w:r w:rsidRPr="003461B2">
        <w:rPr>
          <w:rFonts w:cs="Arial"/>
          <w:sz w:val="18"/>
          <w:szCs w:val="18"/>
        </w:rPr>
        <w:t xml:space="preserve">(Vic) s 114; </w:t>
      </w:r>
      <w:r w:rsidRPr="003461B2">
        <w:rPr>
          <w:rFonts w:cs="Arial"/>
          <w:i/>
          <w:sz w:val="18"/>
          <w:szCs w:val="18"/>
        </w:rPr>
        <w:t xml:space="preserve">Racial and Religious Tolerance Act 2001 </w:t>
      </w:r>
      <w:r w:rsidRPr="003461B2">
        <w:rPr>
          <w:rFonts w:cs="Arial"/>
          <w:sz w:val="18"/>
          <w:szCs w:val="18"/>
        </w:rPr>
        <w:t xml:space="preserve">(Vic) s 20. The Australian Human Rights Commission can accept representative complaints under s 46PB </w:t>
      </w:r>
      <w:r w:rsidRPr="003461B2">
        <w:rPr>
          <w:rFonts w:cs="Arial"/>
          <w:i/>
          <w:sz w:val="18"/>
          <w:szCs w:val="18"/>
        </w:rPr>
        <w:t xml:space="preserve">Australian Human Rights Commission Act 1986 </w:t>
      </w:r>
      <w:r w:rsidRPr="003461B2">
        <w:rPr>
          <w:rFonts w:cs="Arial"/>
          <w:sz w:val="18"/>
          <w:szCs w:val="18"/>
        </w:rPr>
        <w:t>(Cth).</w:t>
      </w:r>
    </w:p>
  </w:endnote>
  <w:endnote w:id="39">
    <w:p w14:paraId="3001CA0F" w14:textId="57EF2FB3" w:rsidR="00152AA8" w:rsidRPr="003461B2" w:rsidRDefault="00152AA8" w:rsidP="007161AB">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See</w:t>
      </w:r>
      <w:r w:rsidR="00C54D4B" w:rsidRPr="003461B2">
        <w:rPr>
          <w:rFonts w:cs="Arial"/>
          <w:sz w:val="18"/>
          <w:szCs w:val="18"/>
        </w:rPr>
        <w:t>:</w:t>
      </w:r>
      <w:r w:rsidRPr="003461B2">
        <w:rPr>
          <w:rFonts w:cs="Arial"/>
          <w:sz w:val="18"/>
          <w:szCs w:val="18"/>
        </w:rPr>
        <w:t xml:space="preserve"> </w:t>
      </w:r>
      <w:r w:rsidRPr="003461B2">
        <w:rPr>
          <w:rFonts w:cs="Arial"/>
          <w:i/>
          <w:sz w:val="18"/>
          <w:szCs w:val="18"/>
        </w:rPr>
        <w:t xml:space="preserve">Equal Opportunity Act 2010 </w:t>
      </w:r>
      <w:r w:rsidRPr="003461B2">
        <w:rPr>
          <w:rFonts w:cs="Arial"/>
          <w:sz w:val="18"/>
          <w:szCs w:val="18"/>
        </w:rPr>
        <w:t xml:space="preserve">(Vic) s 82; </w:t>
      </w:r>
      <w:r w:rsidRPr="003461B2">
        <w:rPr>
          <w:rFonts w:cs="Arial"/>
          <w:i/>
          <w:sz w:val="18"/>
          <w:szCs w:val="18"/>
        </w:rPr>
        <w:t xml:space="preserve">Anti-Discrimination Act 1991 </w:t>
      </w:r>
      <w:r w:rsidRPr="003461B2">
        <w:rPr>
          <w:rFonts w:cs="Arial"/>
          <w:sz w:val="18"/>
          <w:szCs w:val="18"/>
        </w:rPr>
        <w:t xml:space="preserve">(Qld) s 109(d); </w:t>
      </w:r>
      <w:r w:rsidRPr="003461B2">
        <w:rPr>
          <w:rFonts w:cs="Arial"/>
          <w:i/>
          <w:sz w:val="18"/>
          <w:szCs w:val="18"/>
        </w:rPr>
        <w:t xml:space="preserve">Anti-Discrimination Act 1977 </w:t>
      </w:r>
      <w:r w:rsidRPr="003461B2">
        <w:rPr>
          <w:rFonts w:cs="Arial"/>
          <w:sz w:val="18"/>
          <w:szCs w:val="18"/>
        </w:rPr>
        <w:t xml:space="preserve">(NSW) s 56. </w:t>
      </w:r>
    </w:p>
  </w:endnote>
  <w:endnote w:id="40">
    <w:p w14:paraId="65A5C522" w14:textId="04CABBE7" w:rsidR="00152AA8" w:rsidRPr="003461B2" w:rsidRDefault="00152AA8" w:rsidP="007161AB">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See example, </w:t>
      </w:r>
      <w:r w:rsidRPr="003461B2">
        <w:rPr>
          <w:rFonts w:cs="Arial"/>
          <w:i/>
          <w:sz w:val="18"/>
          <w:szCs w:val="18"/>
        </w:rPr>
        <w:t xml:space="preserve">Equal Opportunity Act 2010 </w:t>
      </w:r>
      <w:r w:rsidRPr="003461B2">
        <w:rPr>
          <w:rFonts w:cs="Arial"/>
          <w:sz w:val="18"/>
          <w:szCs w:val="18"/>
        </w:rPr>
        <w:t xml:space="preserve">(Vic), s 82 protects conduct by religious bodies against claims of discrimination if the conduct conforms with the doctrines, beliefs or principles of the religion, or, is reasonably necessary to avoid injury to the religious sensitivities of adherents of the religion. Similarly, s 37(1)(d) of the </w:t>
      </w:r>
      <w:r w:rsidRPr="003461B2">
        <w:rPr>
          <w:rFonts w:cs="Arial"/>
          <w:i/>
          <w:sz w:val="18"/>
          <w:szCs w:val="18"/>
        </w:rPr>
        <w:t xml:space="preserve">Sex Discrimination Act 1984 </w:t>
      </w:r>
      <w:r w:rsidRPr="003461B2">
        <w:rPr>
          <w:rFonts w:cs="Arial"/>
          <w:sz w:val="18"/>
          <w:szCs w:val="18"/>
        </w:rPr>
        <w:t>(Cth) provides a test that the conduct will be protected if the act ‘conforms to the doctrines, tenets or beliefs of that religion or is necessary to avoid injury to the religious susceptibilities of adherents of that religion.’ However, s 37(2) provides that religious bodies do not enjoy this protection if the body is a Commonwealth-funded aged care service, or related to employment of persons to provide that aged care service.</w:t>
      </w:r>
    </w:p>
  </w:endnote>
  <w:endnote w:id="41">
    <w:p w14:paraId="07848A1F" w14:textId="77AA5F1B" w:rsidR="00152AA8" w:rsidRPr="003461B2" w:rsidRDefault="00152AA8">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See the recommendations 5, 6, 7 and 8 which articulate the need to reform religious exceptions to better balance with anti-discrimination protections: Expert Panel, </w:t>
      </w:r>
      <w:r w:rsidRPr="003461B2">
        <w:rPr>
          <w:rFonts w:cs="Arial"/>
          <w:i/>
          <w:sz w:val="18"/>
          <w:szCs w:val="18"/>
        </w:rPr>
        <w:t>Religious Freedom Review</w:t>
      </w:r>
      <w:r w:rsidRPr="003461B2">
        <w:rPr>
          <w:rFonts w:cs="Arial"/>
          <w:sz w:val="18"/>
          <w:szCs w:val="18"/>
        </w:rPr>
        <w:t xml:space="preserve"> (2019) &lt;</w:t>
      </w:r>
      <w:r w:rsidRPr="003461B2">
        <w:rPr>
          <w:sz w:val="18"/>
          <w:szCs w:val="18"/>
        </w:rPr>
        <w:t xml:space="preserve"> </w:t>
      </w:r>
      <w:hyperlink r:id="rId16" w:history="1">
        <w:r w:rsidRPr="003461B2">
          <w:rPr>
            <w:rStyle w:val="Hyperlink"/>
            <w:sz w:val="18"/>
            <w:szCs w:val="18"/>
          </w:rPr>
          <w:t>https://www.ag.gov.au/RightsAndProtections/HumanRights/Documents/religious-freedom-review-expert-panel-report-2018.pdf</w:t>
        </w:r>
      </w:hyperlink>
      <w:r w:rsidRPr="003461B2">
        <w:rPr>
          <w:sz w:val="18"/>
          <w:szCs w:val="18"/>
        </w:rPr>
        <w:t>&gt;</w:t>
      </w:r>
      <w:r w:rsidRPr="003461B2">
        <w:rPr>
          <w:rFonts w:cs="Arial"/>
          <w:sz w:val="18"/>
          <w:szCs w:val="18"/>
        </w:rPr>
        <w:t xml:space="preserve">. </w:t>
      </w:r>
    </w:p>
  </w:endnote>
  <w:endnote w:id="42">
    <w:p w14:paraId="2E25D19E" w14:textId="04C5A2A9" w:rsidR="00152AA8" w:rsidRPr="003461B2" w:rsidRDefault="00152AA8">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Attorney General for Australia &amp; Minister for Industrial Relations, ‘Review into Framework of Religious Exemptions in Anti discrimination Legislation’ (Media Release, 10 April 2019) available at &lt;</w:t>
      </w:r>
      <w:hyperlink r:id="rId17" w:history="1">
        <w:r w:rsidRPr="003461B2">
          <w:rPr>
            <w:rStyle w:val="Hyperlink"/>
            <w:sz w:val="18"/>
            <w:szCs w:val="18"/>
          </w:rPr>
          <w:t>https://www.attorneygeneral.gov.au/Media/Pages/Review-into-the-Framework-of-Religious-Exemptions-in-Anti-discrimination-Legislation-10-april-19.aspx</w:t>
        </w:r>
      </w:hyperlink>
      <w:r w:rsidRPr="003461B2">
        <w:rPr>
          <w:sz w:val="18"/>
          <w:szCs w:val="18"/>
        </w:rPr>
        <w:t xml:space="preserve">&gt; </w:t>
      </w:r>
      <w:r w:rsidRPr="003461B2">
        <w:rPr>
          <w:rFonts w:cs="Arial"/>
          <w:sz w:val="18"/>
          <w:szCs w:val="18"/>
        </w:rPr>
        <w:t xml:space="preserve"> </w:t>
      </w:r>
    </w:p>
  </w:endnote>
  <w:endnote w:id="43">
    <w:p w14:paraId="75B83285" w14:textId="77777777" w:rsidR="00AA40A8" w:rsidRPr="003461B2" w:rsidRDefault="00AA40A8" w:rsidP="00AA40A8">
      <w:pPr>
        <w:pStyle w:val="EndnoteText"/>
        <w:rPr>
          <w:rFonts w:cs="Arial"/>
          <w:sz w:val="18"/>
          <w:szCs w:val="18"/>
        </w:rPr>
      </w:pPr>
      <w:r w:rsidRPr="003461B2">
        <w:rPr>
          <w:rStyle w:val="EndnoteReference"/>
          <w:rFonts w:cs="Arial"/>
          <w:sz w:val="18"/>
          <w:szCs w:val="18"/>
        </w:rPr>
        <w:endnoteRef/>
      </w:r>
      <w:r w:rsidRPr="003461B2">
        <w:rPr>
          <w:rFonts w:cs="Arial"/>
          <w:sz w:val="18"/>
          <w:szCs w:val="18"/>
        </w:rPr>
        <w:t xml:space="preserve"> While paragraph 174 of the Explanatory Notes indicate that this would not include aged care or religious hospitals, this should be better clarified, for example through explicit provisions such as s 37(2) of the </w:t>
      </w:r>
      <w:r w:rsidRPr="003461B2">
        <w:rPr>
          <w:rFonts w:cs="Arial"/>
          <w:i/>
          <w:sz w:val="18"/>
          <w:szCs w:val="18"/>
        </w:rPr>
        <w:t xml:space="preserve">Sex Discrimination Act 1984 </w:t>
      </w:r>
      <w:r w:rsidRPr="003461B2">
        <w:rPr>
          <w:rFonts w:cs="Arial"/>
          <w:sz w:val="18"/>
          <w:szCs w:val="18"/>
        </w:rPr>
        <w:t>(Cth).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utiger 55 Roman">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710959"/>
      <w:docPartObj>
        <w:docPartGallery w:val="Page Numbers (Bottom of Page)"/>
        <w:docPartUnique/>
      </w:docPartObj>
    </w:sdtPr>
    <w:sdtEndPr>
      <w:rPr>
        <w:noProof/>
        <w:sz w:val="20"/>
      </w:rPr>
    </w:sdtEndPr>
    <w:sdtContent>
      <w:p w14:paraId="64A9A9CA" w14:textId="4778D526" w:rsidR="005B5F9C" w:rsidRPr="005B5F9C" w:rsidRDefault="005B5F9C">
        <w:pPr>
          <w:pStyle w:val="Footer"/>
          <w:jc w:val="right"/>
          <w:rPr>
            <w:sz w:val="20"/>
          </w:rPr>
        </w:pPr>
        <w:r w:rsidRPr="005B5F9C">
          <w:rPr>
            <w:sz w:val="20"/>
          </w:rPr>
          <w:fldChar w:fldCharType="begin"/>
        </w:r>
        <w:r w:rsidRPr="005B5F9C">
          <w:rPr>
            <w:sz w:val="20"/>
          </w:rPr>
          <w:instrText xml:space="preserve"> PAGE   \* MERGEFORMAT </w:instrText>
        </w:r>
        <w:r w:rsidRPr="005B5F9C">
          <w:rPr>
            <w:sz w:val="20"/>
          </w:rPr>
          <w:fldChar w:fldCharType="separate"/>
        </w:r>
        <w:r w:rsidRPr="005B5F9C">
          <w:rPr>
            <w:noProof/>
            <w:sz w:val="20"/>
          </w:rPr>
          <w:t>2</w:t>
        </w:r>
        <w:r w:rsidRPr="005B5F9C">
          <w:rPr>
            <w:noProof/>
            <w:sz w:val="20"/>
          </w:rPr>
          <w:fldChar w:fldCharType="end"/>
        </w:r>
      </w:p>
    </w:sdtContent>
  </w:sdt>
  <w:p w14:paraId="507D8A78" w14:textId="77777777" w:rsidR="005B5F9C" w:rsidRDefault="005B5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E79A7" w14:textId="180EF0B5" w:rsidR="00152AA8" w:rsidRDefault="00152AA8" w:rsidP="0060206F">
    <w:pPr>
      <w:pStyle w:val="VEOHRCFootnotetext"/>
      <w:tabs>
        <w:tab w:val="right" w:pos="9540"/>
      </w:tabs>
    </w:pPr>
    <w:r>
      <w:tab/>
    </w:r>
  </w:p>
  <w:p w14:paraId="300DC420" w14:textId="5FE45A9C" w:rsidR="00152AA8" w:rsidRDefault="005B5F9C" w:rsidP="005B5F9C">
    <w:pPr>
      <w:pStyle w:val="VEOHRCFootnotetext"/>
      <w:tabs>
        <w:tab w:val="right" w:pos="9540"/>
      </w:tabs>
      <w:jc w:val="center"/>
    </w:pPr>
    <w:r>
      <w:rPr>
        <w:noProof/>
      </w:rPr>
      <w:drawing>
        <wp:inline distT="0" distB="0" distL="0" distR="0" wp14:anchorId="5674EBC3" wp14:editId="5E85708E">
          <wp:extent cx="5095875" cy="1047750"/>
          <wp:effectExtent l="0" t="0" r="9525" b="0"/>
          <wp:docPr id="3" name="Picture 2" descr="Letterhead foote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footer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5875" cy="1047750"/>
                  </a:xfrm>
                  <a:prstGeom prst="rect">
                    <a:avLst/>
                  </a:prstGeom>
                  <a:noFill/>
                  <a:ln>
                    <a:noFill/>
                  </a:ln>
                </pic:spPr>
              </pic:pic>
            </a:graphicData>
          </a:graphic>
        </wp:inline>
      </w:drawing>
    </w:r>
  </w:p>
  <w:p w14:paraId="1B29CBE8" w14:textId="77777777" w:rsidR="00152AA8" w:rsidRPr="0060206F" w:rsidRDefault="00152AA8" w:rsidP="00602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67398" w14:textId="77777777" w:rsidR="001A2C00" w:rsidRDefault="001A2C00">
      <w:r>
        <w:separator/>
      </w:r>
    </w:p>
  </w:footnote>
  <w:footnote w:type="continuationSeparator" w:id="0">
    <w:p w14:paraId="2A2C748A" w14:textId="77777777" w:rsidR="001A2C00" w:rsidRDefault="001A2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7D78" w14:textId="63CA33CB" w:rsidR="005B5F9C" w:rsidRPr="005B5F9C" w:rsidRDefault="005B5F9C" w:rsidP="005B5F9C">
    <w:pPr>
      <w:pStyle w:val="Header"/>
    </w:pPr>
    <w:r>
      <w:rPr>
        <w:noProof/>
      </w:rPr>
      <w:drawing>
        <wp:inline distT="0" distB="0" distL="0" distR="0" wp14:anchorId="5F31CC5C" wp14:editId="1479C88E">
          <wp:extent cx="2924175" cy="923925"/>
          <wp:effectExtent l="0" t="0" r="9525" b="9525"/>
          <wp:docPr id="4" name="Picture 1" descr="VEOHRC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OHRC LETTERHEA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46953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15:restartNumberingAfterBreak="0">
    <w:nsid w:val="09CF736D"/>
    <w:multiLevelType w:val="hybridMultilevel"/>
    <w:tmpl w:val="C314560E"/>
    <w:lvl w:ilvl="0" w:tplc="0F22E9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2135CF"/>
    <w:multiLevelType w:val="multilevel"/>
    <w:tmpl w:val="CF6ACFDC"/>
    <w:lvl w:ilvl="0">
      <w:start w:val="1"/>
      <w:numFmt w:val="decimal"/>
      <w:pStyle w:val="VEOHRCNumberedlist"/>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 w15:restartNumberingAfterBreak="0">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F167765"/>
    <w:multiLevelType w:val="multilevel"/>
    <w:tmpl w:val="35266F38"/>
    <w:styleLink w:val="AppendixHeadingmaster"/>
    <w:lvl w:ilvl="0">
      <w:start w:val="1"/>
      <w:numFmt w:val="upperLetter"/>
      <w:pStyle w:val="AppendixHeading1"/>
      <w:lvlText w:val="Appendix %1"/>
      <w:lvlJc w:val="left"/>
      <w:pPr>
        <w:ind w:left="2325" w:hanging="2325"/>
      </w:pPr>
      <w:rPr>
        <w:rFonts w:ascii="Arial" w:hAnsi="Arial" w:hint="default"/>
        <w:b w:val="0"/>
        <w:i w:val="0"/>
        <w:color w:val="auto"/>
        <w:sz w:val="48"/>
      </w:rPr>
    </w:lvl>
    <w:lvl w:ilvl="1">
      <w:start w:val="1"/>
      <w:numFmt w:val="decimal"/>
      <w:pStyle w:val="AppendixHeading2"/>
      <w:lvlText w:val="%1.%2."/>
      <w:lvlJc w:val="left"/>
      <w:pPr>
        <w:ind w:left="1021" w:hanging="1021"/>
      </w:pPr>
      <w:rPr>
        <w:rFonts w:hint="default"/>
        <w:b/>
        <w:i w:val="0"/>
        <w:sz w:val="36"/>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1D7367"/>
    <w:multiLevelType w:val="hybridMultilevel"/>
    <w:tmpl w:val="A1F85494"/>
    <w:lvl w:ilvl="0" w:tplc="01988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B02EB0"/>
    <w:multiLevelType w:val="hybridMultilevel"/>
    <w:tmpl w:val="40FEAF76"/>
    <w:lvl w:ilvl="0" w:tplc="B47475E4">
      <w:start w:val="1"/>
      <w:numFmt w:val="lowerLetter"/>
      <w:lvlText w:val="%1)"/>
      <w:lvlJc w:val="left"/>
      <w:pPr>
        <w:tabs>
          <w:tab w:val="num" w:pos="360"/>
        </w:tabs>
        <w:ind w:left="360" w:hanging="360"/>
      </w:pPr>
      <w:rPr>
        <w:color w:val="auto"/>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E40681"/>
    <w:multiLevelType w:val="hybridMultilevel"/>
    <w:tmpl w:val="8954C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FB6F5D"/>
    <w:multiLevelType w:val="multilevel"/>
    <w:tmpl w:val="540CA36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A7F0768"/>
    <w:multiLevelType w:val="hybridMultilevel"/>
    <w:tmpl w:val="AE3CC6AA"/>
    <w:lvl w:ilvl="0" w:tplc="8282276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23141B"/>
    <w:multiLevelType w:val="multilevel"/>
    <w:tmpl w:val="B43E4C26"/>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080"/>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21" w15:restartNumberingAfterBreak="0">
    <w:nsid w:val="2BDC4A7E"/>
    <w:multiLevelType w:val="multilevel"/>
    <w:tmpl w:val="35266F38"/>
    <w:numStyleLink w:val="AppendixHeadingmaster"/>
  </w:abstractNum>
  <w:abstractNum w:abstractNumId="22" w15:restartNumberingAfterBreak="0">
    <w:nsid w:val="2E3D1375"/>
    <w:multiLevelType w:val="hybridMultilevel"/>
    <w:tmpl w:val="30D4C086"/>
    <w:lvl w:ilvl="0" w:tplc="58DE90D8">
      <w:start w:val="1"/>
      <w:numFmt w:val="bullet"/>
      <w:pStyle w:val="VEOHRCList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211D66"/>
    <w:multiLevelType w:val="hybridMultilevel"/>
    <w:tmpl w:val="F760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C766DF"/>
    <w:multiLevelType w:val="hybridMultilevel"/>
    <w:tmpl w:val="A5E6D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0CD3262"/>
    <w:multiLevelType w:val="multilevel"/>
    <w:tmpl w:val="30465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8115C0"/>
    <w:multiLevelType w:val="multilevel"/>
    <w:tmpl w:val="0B26205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519173D9"/>
    <w:multiLevelType w:val="singleLevel"/>
    <w:tmpl w:val="0C090017"/>
    <w:lvl w:ilvl="0">
      <w:start w:val="1"/>
      <w:numFmt w:val="lowerLetter"/>
      <w:lvlText w:val="%1)"/>
      <w:lvlJc w:val="left"/>
      <w:pPr>
        <w:tabs>
          <w:tab w:val="num" w:pos="360"/>
        </w:tabs>
        <w:ind w:left="360" w:hanging="360"/>
      </w:pPr>
      <w:rPr>
        <w:color w:val="auto"/>
      </w:rPr>
    </w:lvl>
  </w:abstractNum>
  <w:abstractNum w:abstractNumId="28" w15:restartNumberingAfterBreak="0">
    <w:nsid w:val="600728A6"/>
    <w:multiLevelType w:val="multilevel"/>
    <w:tmpl w:val="6C70A5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E6CBA"/>
    <w:multiLevelType w:val="multilevel"/>
    <w:tmpl w:val="540CA368"/>
    <w:styleLink w:val="ListBulletmaster"/>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2238E0"/>
    <w:multiLevelType w:val="hybridMultilevel"/>
    <w:tmpl w:val="37529A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AA555B0"/>
    <w:multiLevelType w:val="hybridMultilevel"/>
    <w:tmpl w:val="DF4AB91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096B57"/>
    <w:multiLevelType w:val="hybridMultilevel"/>
    <w:tmpl w:val="8DCE7C6A"/>
    <w:lvl w:ilvl="0" w:tplc="8C3409F8">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3B522B"/>
    <w:multiLevelType w:val="hybridMultilevel"/>
    <w:tmpl w:val="B0543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6"/>
  </w:num>
  <w:num w:numId="13">
    <w:abstractNumId w:val="12"/>
  </w:num>
  <w:num w:numId="14">
    <w:abstractNumId w:val="20"/>
  </w:num>
  <w:num w:numId="15">
    <w:abstractNumId w:val="11"/>
  </w:num>
  <w:num w:numId="16">
    <w:abstractNumId w:val="26"/>
  </w:num>
  <w:num w:numId="17">
    <w:abstractNumId w:val="22"/>
  </w:num>
  <w:num w:numId="18">
    <w:abstractNumId w:val="28"/>
  </w:num>
  <w:num w:numId="19">
    <w:abstractNumId w:val="33"/>
  </w:num>
  <w:num w:numId="20">
    <w:abstractNumId w:val="22"/>
  </w:num>
  <w:num w:numId="21">
    <w:abstractNumId w:val="9"/>
  </w:num>
  <w:num w:numId="22">
    <w:abstractNumId w:val="33"/>
  </w:num>
  <w:num w:numId="23">
    <w:abstractNumId w:val="22"/>
  </w:num>
  <w:num w:numId="24">
    <w:abstractNumId w:val="22"/>
  </w:num>
  <w:num w:numId="25">
    <w:abstractNumId w:val="11"/>
  </w:num>
  <w:num w:numId="26">
    <w:abstractNumId w:val="11"/>
  </w:num>
  <w:num w:numId="27">
    <w:abstractNumId w:val="11"/>
  </w:num>
  <w:num w:numId="28">
    <w:abstractNumId w:val="24"/>
  </w:num>
  <w:num w:numId="29">
    <w:abstractNumId w:val="29"/>
  </w:num>
  <w:num w:numId="30">
    <w:abstractNumId w:val="18"/>
  </w:num>
  <w:num w:numId="31">
    <w:abstractNumId w:val="29"/>
  </w:num>
  <w:num w:numId="32">
    <w:abstractNumId w:val="32"/>
  </w:num>
  <w:num w:numId="33">
    <w:abstractNumId w:val="19"/>
  </w:num>
  <w:num w:numId="34">
    <w:abstractNumId w:val="23"/>
  </w:num>
  <w:num w:numId="35">
    <w:abstractNumId w:val="13"/>
  </w:num>
  <w:num w:numId="36">
    <w:abstractNumId w:val="21"/>
  </w:num>
  <w:num w:numId="37">
    <w:abstractNumId w:val="34"/>
  </w:num>
  <w:num w:numId="38">
    <w:abstractNumId w:val="27"/>
    <w:lvlOverride w:ilvl="0">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7"/>
  </w:num>
  <w:num w:numId="42">
    <w:abstractNumId w:val="25"/>
  </w:num>
  <w:num w:numId="43">
    <w:abstractNumId w:val="14"/>
  </w:num>
  <w:num w:numId="44">
    <w:abstractNumId w:val="10"/>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AB"/>
    <w:rsid w:val="0000454D"/>
    <w:rsid w:val="00011DB0"/>
    <w:rsid w:val="000125D6"/>
    <w:rsid w:val="0001284D"/>
    <w:rsid w:val="00020BFF"/>
    <w:rsid w:val="00024E06"/>
    <w:rsid w:val="0003080D"/>
    <w:rsid w:val="00035DB1"/>
    <w:rsid w:val="00041AEB"/>
    <w:rsid w:val="00061FEF"/>
    <w:rsid w:val="00062877"/>
    <w:rsid w:val="000735CB"/>
    <w:rsid w:val="0008249B"/>
    <w:rsid w:val="00091467"/>
    <w:rsid w:val="00091833"/>
    <w:rsid w:val="00091ED0"/>
    <w:rsid w:val="0009617C"/>
    <w:rsid w:val="00097A77"/>
    <w:rsid w:val="000A0CC8"/>
    <w:rsid w:val="000A1A1E"/>
    <w:rsid w:val="000A2C22"/>
    <w:rsid w:val="000A2EA7"/>
    <w:rsid w:val="000A4416"/>
    <w:rsid w:val="000A4C6A"/>
    <w:rsid w:val="000B480F"/>
    <w:rsid w:val="000B7ECF"/>
    <w:rsid w:val="000D08BD"/>
    <w:rsid w:val="000D697C"/>
    <w:rsid w:val="000E2477"/>
    <w:rsid w:val="000F03D2"/>
    <w:rsid w:val="000F077B"/>
    <w:rsid w:val="000F79BE"/>
    <w:rsid w:val="00102540"/>
    <w:rsid w:val="001044E4"/>
    <w:rsid w:val="00124749"/>
    <w:rsid w:val="00125596"/>
    <w:rsid w:val="001438B4"/>
    <w:rsid w:val="00152AA8"/>
    <w:rsid w:val="001726DA"/>
    <w:rsid w:val="00181097"/>
    <w:rsid w:val="00181974"/>
    <w:rsid w:val="001A2C00"/>
    <w:rsid w:val="001D13CA"/>
    <w:rsid w:val="001E4496"/>
    <w:rsid w:val="001F3A6A"/>
    <w:rsid w:val="001F6CC7"/>
    <w:rsid w:val="0020178F"/>
    <w:rsid w:val="00204E24"/>
    <w:rsid w:val="00205316"/>
    <w:rsid w:val="00205A10"/>
    <w:rsid w:val="00206FA6"/>
    <w:rsid w:val="00213381"/>
    <w:rsid w:val="00220CA9"/>
    <w:rsid w:val="002446BF"/>
    <w:rsid w:val="00247EB3"/>
    <w:rsid w:val="002551DC"/>
    <w:rsid w:val="00255976"/>
    <w:rsid w:val="00256174"/>
    <w:rsid w:val="00256EFE"/>
    <w:rsid w:val="00262F02"/>
    <w:rsid w:val="00265A2C"/>
    <w:rsid w:val="002734B7"/>
    <w:rsid w:val="00281D6F"/>
    <w:rsid w:val="00285521"/>
    <w:rsid w:val="00290D28"/>
    <w:rsid w:val="002A038D"/>
    <w:rsid w:val="002A317C"/>
    <w:rsid w:val="002A52BA"/>
    <w:rsid w:val="002A55C2"/>
    <w:rsid w:val="002A58FD"/>
    <w:rsid w:val="002B2223"/>
    <w:rsid w:val="002B231B"/>
    <w:rsid w:val="002B4ECE"/>
    <w:rsid w:val="002C7E52"/>
    <w:rsid w:val="002D732E"/>
    <w:rsid w:val="002E170F"/>
    <w:rsid w:val="002E7179"/>
    <w:rsid w:val="002F016E"/>
    <w:rsid w:val="002F13A4"/>
    <w:rsid w:val="002F3A69"/>
    <w:rsid w:val="002F5A1E"/>
    <w:rsid w:val="002F5E93"/>
    <w:rsid w:val="00301FC7"/>
    <w:rsid w:val="00304EEA"/>
    <w:rsid w:val="003142AA"/>
    <w:rsid w:val="003461B2"/>
    <w:rsid w:val="00346ABD"/>
    <w:rsid w:val="00347252"/>
    <w:rsid w:val="00352744"/>
    <w:rsid w:val="00353F9A"/>
    <w:rsid w:val="00356FB8"/>
    <w:rsid w:val="003645F6"/>
    <w:rsid w:val="003664FE"/>
    <w:rsid w:val="003728ED"/>
    <w:rsid w:val="0037445E"/>
    <w:rsid w:val="003846ED"/>
    <w:rsid w:val="003901AD"/>
    <w:rsid w:val="00395436"/>
    <w:rsid w:val="00395EEE"/>
    <w:rsid w:val="00397886"/>
    <w:rsid w:val="003B5661"/>
    <w:rsid w:val="003C5E29"/>
    <w:rsid w:val="003C623E"/>
    <w:rsid w:val="003D0A30"/>
    <w:rsid w:val="003D1E98"/>
    <w:rsid w:val="003D618D"/>
    <w:rsid w:val="003E13B9"/>
    <w:rsid w:val="003E676F"/>
    <w:rsid w:val="003E6A25"/>
    <w:rsid w:val="00404E8A"/>
    <w:rsid w:val="00417C2E"/>
    <w:rsid w:val="00430C66"/>
    <w:rsid w:val="004345B3"/>
    <w:rsid w:val="00466615"/>
    <w:rsid w:val="00472031"/>
    <w:rsid w:val="0048537C"/>
    <w:rsid w:val="00497875"/>
    <w:rsid w:val="004A32E8"/>
    <w:rsid w:val="004A38C5"/>
    <w:rsid w:val="004B4B84"/>
    <w:rsid w:val="004C01B6"/>
    <w:rsid w:val="004C13EF"/>
    <w:rsid w:val="004C73A1"/>
    <w:rsid w:val="004D48B8"/>
    <w:rsid w:val="004D5A5A"/>
    <w:rsid w:val="004E2B42"/>
    <w:rsid w:val="004E5B64"/>
    <w:rsid w:val="004F42FF"/>
    <w:rsid w:val="00500F88"/>
    <w:rsid w:val="00505A15"/>
    <w:rsid w:val="00517085"/>
    <w:rsid w:val="0052389A"/>
    <w:rsid w:val="00527499"/>
    <w:rsid w:val="00530F52"/>
    <w:rsid w:val="00535117"/>
    <w:rsid w:val="00540F42"/>
    <w:rsid w:val="00541044"/>
    <w:rsid w:val="00542482"/>
    <w:rsid w:val="00550368"/>
    <w:rsid w:val="0055214F"/>
    <w:rsid w:val="00553F0F"/>
    <w:rsid w:val="0056016E"/>
    <w:rsid w:val="00560C1C"/>
    <w:rsid w:val="0057095D"/>
    <w:rsid w:val="00586305"/>
    <w:rsid w:val="005A2471"/>
    <w:rsid w:val="005A27E1"/>
    <w:rsid w:val="005B0C29"/>
    <w:rsid w:val="005B274A"/>
    <w:rsid w:val="005B5F9C"/>
    <w:rsid w:val="005C2970"/>
    <w:rsid w:val="005D1AE2"/>
    <w:rsid w:val="005D44E1"/>
    <w:rsid w:val="005E0F6A"/>
    <w:rsid w:val="005E5263"/>
    <w:rsid w:val="005E67C6"/>
    <w:rsid w:val="005F340B"/>
    <w:rsid w:val="005F40F2"/>
    <w:rsid w:val="005F445F"/>
    <w:rsid w:val="00601D5A"/>
    <w:rsid w:val="0060206F"/>
    <w:rsid w:val="00603CD8"/>
    <w:rsid w:val="00603E03"/>
    <w:rsid w:val="0060657E"/>
    <w:rsid w:val="006074D5"/>
    <w:rsid w:val="00615AA6"/>
    <w:rsid w:val="0062600D"/>
    <w:rsid w:val="00632DC2"/>
    <w:rsid w:val="006514E4"/>
    <w:rsid w:val="00657857"/>
    <w:rsid w:val="00665228"/>
    <w:rsid w:val="00673E4B"/>
    <w:rsid w:val="006768BE"/>
    <w:rsid w:val="00682CCE"/>
    <w:rsid w:val="006910F5"/>
    <w:rsid w:val="00693E97"/>
    <w:rsid w:val="006A0C4C"/>
    <w:rsid w:val="006A368D"/>
    <w:rsid w:val="006A3BA1"/>
    <w:rsid w:val="006A7E00"/>
    <w:rsid w:val="006B61C2"/>
    <w:rsid w:val="006C0C29"/>
    <w:rsid w:val="006D7584"/>
    <w:rsid w:val="006E0A3A"/>
    <w:rsid w:val="006E2B93"/>
    <w:rsid w:val="006E2C59"/>
    <w:rsid w:val="006F0298"/>
    <w:rsid w:val="006F10D4"/>
    <w:rsid w:val="006F3382"/>
    <w:rsid w:val="00712BA2"/>
    <w:rsid w:val="007161AB"/>
    <w:rsid w:val="007165B6"/>
    <w:rsid w:val="00720705"/>
    <w:rsid w:val="00720892"/>
    <w:rsid w:val="00726B53"/>
    <w:rsid w:val="00731CF6"/>
    <w:rsid w:val="00735CD1"/>
    <w:rsid w:val="00736F3E"/>
    <w:rsid w:val="007466FA"/>
    <w:rsid w:val="00746A40"/>
    <w:rsid w:val="00761ABA"/>
    <w:rsid w:val="00764445"/>
    <w:rsid w:val="0076743D"/>
    <w:rsid w:val="00773509"/>
    <w:rsid w:val="007802EB"/>
    <w:rsid w:val="00781243"/>
    <w:rsid w:val="007829B2"/>
    <w:rsid w:val="00782E7A"/>
    <w:rsid w:val="00784437"/>
    <w:rsid w:val="00787080"/>
    <w:rsid w:val="00793561"/>
    <w:rsid w:val="00793C15"/>
    <w:rsid w:val="007A7241"/>
    <w:rsid w:val="007C0E81"/>
    <w:rsid w:val="007D4EE0"/>
    <w:rsid w:val="007E2728"/>
    <w:rsid w:val="007E2B11"/>
    <w:rsid w:val="007E30AF"/>
    <w:rsid w:val="007F0781"/>
    <w:rsid w:val="00800651"/>
    <w:rsid w:val="008035E2"/>
    <w:rsid w:val="00805A99"/>
    <w:rsid w:val="00811901"/>
    <w:rsid w:val="0081292B"/>
    <w:rsid w:val="008167CC"/>
    <w:rsid w:val="00825DF3"/>
    <w:rsid w:val="00830F21"/>
    <w:rsid w:val="0083260A"/>
    <w:rsid w:val="00832D1B"/>
    <w:rsid w:val="008346D8"/>
    <w:rsid w:val="00835409"/>
    <w:rsid w:val="00851394"/>
    <w:rsid w:val="00853330"/>
    <w:rsid w:val="00855CC5"/>
    <w:rsid w:val="008601D7"/>
    <w:rsid w:val="00861587"/>
    <w:rsid w:val="008654A3"/>
    <w:rsid w:val="00867D24"/>
    <w:rsid w:val="00884525"/>
    <w:rsid w:val="00885849"/>
    <w:rsid w:val="008879DE"/>
    <w:rsid w:val="008961C3"/>
    <w:rsid w:val="008B4CC4"/>
    <w:rsid w:val="008B70BD"/>
    <w:rsid w:val="008C0D19"/>
    <w:rsid w:val="008C4671"/>
    <w:rsid w:val="008C5EBA"/>
    <w:rsid w:val="008D0F8B"/>
    <w:rsid w:val="008D34B3"/>
    <w:rsid w:val="008D3963"/>
    <w:rsid w:val="008D3A95"/>
    <w:rsid w:val="008D7C88"/>
    <w:rsid w:val="008E479F"/>
    <w:rsid w:val="008E5472"/>
    <w:rsid w:val="008E5966"/>
    <w:rsid w:val="008E6115"/>
    <w:rsid w:val="00900CE2"/>
    <w:rsid w:val="00903D99"/>
    <w:rsid w:val="00912341"/>
    <w:rsid w:val="00923721"/>
    <w:rsid w:val="0093087C"/>
    <w:rsid w:val="0093474C"/>
    <w:rsid w:val="00944B52"/>
    <w:rsid w:val="009576A6"/>
    <w:rsid w:val="009604F9"/>
    <w:rsid w:val="009630AB"/>
    <w:rsid w:val="00963121"/>
    <w:rsid w:val="009659FF"/>
    <w:rsid w:val="009706E8"/>
    <w:rsid w:val="00980402"/>
    <w:rsid w:val="00981954"/>
    <w:rsid w:val="009844FD"/>
    <w:rsid w:val="009863FF"/>
    <w:rsid w:val="00986674"/>
    <w:rsid w:val="00990B9A"/>
    <w:rsid w:val="0099283E"/>
    <w:rsid w:val="009A0FF1"/>
    <w:rsid w:val="009A1E2D"/>
    <w:rsid w:val="009B10AA"/>
    <w:rsid w:val="009B1D95"/>
    <w:rsid w:val="009B2539"/>
    <w:rsid w:val="009B3314"/>
    <w:rsid w:val="009B7135"/>
    <w:rsid w:val="009B740E"/>
    <w:rsid w:val="009C2734"/>
    <w:rsid w:val="009C6257"/>
    <w:rsid w:val="009D78E4"/>
    <w:rsid w:val="009E1B13"/>
    <w:rsid w:val="009E3F98"/>
    <w:rsid w:val="009E4FC9"/>
    <w:rsid w:val="00A11B0D"/>
    <w:rsid w:val="00A12BB5"/>
    <w:rsid w:val="00A140B5"/>
    <w:rsid w:val="00A2050F"/>
    <w:rsid w:val="00A20545"/>
    <w:rsid w:val="00A23F3B"/>
    <w:rsid w:val="00A26952"/>
    <w:rsid w:val="00A422D8"/>
    <w:rsid w:val="00A5310C"/>
    <w:rsid w:val="00A547B3"/>
    <w:rsid w:val="00A60ADA"/>
    <w:rsid w:val="00A61B90"/>
    <w:rsid w:val="00A65B8E"/>
    <w:rsid w:val="00A705FD"/>
    <w:rsid w:val="00A73789"/>
    <w:rsid w:val="00A83640"/>
    <w:rsid w:val="00A84705"/>
    <w:rsid w:val="00A97A9D"/>
    <w:rsid w:val="00AA0D1A"/>
    <w:rsid w:val="00AA142F"/>
    <w:rsid w:val="00AA1998"/>
    <w:rsid w:val="00AA40A8"/>
    <w:rsid w:val="00AB5876"/>
    <w:rsid w:val="00AB641B"/>
    <w:rsid w:val="00AC14F3"/>
    <w:rsid w:val="00AC43E1"/>
    <w:rsid w:val="00AD2279"/>
    <w:rsid w:val="00AD7D45"/>
    <w:rsid w:val="00AF1246"/>
    <w:rsid w:val="00AF4EF5"/>
    <w:rsid w:val="00B02BB1"/>
    <w:rsid w:val="00B050F3"/>
    <w:rsid w:val="00B07EC1"/>
    <w:rsid w:val="00B11139"/>
    <w:rsid w:val="00B1216E"/>
    <w:rsid w:val="00B13F96"/>
    <w:rsid w:val="00B23A45"/>
    <w:rsid w:val="00B3372F"/>
    <w:rsid w:val="00B41301"/>
    <w:rsid w:val="00B43BAB"/>
    <w:rsid w:val="00B574E7"/>
    <w:rsid w:val="00B65391"/>
    <w:rsid w:val="00B800C1"/>
    <w:rsid w:val="00B84636"/>
    <w:rsid w:val="00B93BDC"/>
    <w:rsid w:val="00B946BE"/>
    <w:rsid w:val="00B97EDE"/>
    <w:rsid w:val="00BB05D2"/>
    <w:rsid w:val="00BB410B"/>
    <w:rsid w:val="00BB5331"/>
    <w:rsid w:val="00BB613E"/>
    <w:rsid w:val="00BB6FCF"/>
    <w:rsid w:val="00BB796B"/>
    <w:rsid w:val="00BC16F1"/>
    <w:rsid w:val="00BD79E3"/>
    <w:rsid w:val="00BE115C"/>
    <w:rsid w:val="00BE4C1C"/>
    <w:rsid w:val="00BF450E"/>
    <w:rsid w:val="00C028A8"/>
    <w:rsid w:val="00C0302F"/>
    <w:rsid w:val="00C0309B"/>
    <w:rsid w:val="00C1035C"/>
    <w:rsid w:val="00C132F7"/>
    <w:rsid w:val="00C13979"/>
    <w:rsid w:val="00C20AF6"/>
    <w:rsid w:val="00C2584C"/>
    <w:rsid w:val="00C3367E"/>
    <w:rsid w:val="00C34805"/>
    <w:rsid w:val="00C41D2F"/>
    <w:rsid w:val="00C54D4B"/>
    <w:rsid w:val="00C55CD8"/>
    <w:rsid w:val="00C60382"/>
    <w:rsid w:val="00C60552"/>
    <w:rsid w:val="00C73AB3"/>
    <w:rsid w:val="00C75B4B"/>
    <w:rsid w:val="00C77782"/>
    <w:rsid w:val="00C83E21"/>
    <w:rsid w:val="00C845C5"/>
    <w:rsid w:val="00C9550D"/>
    <w:rsid w:val="00CA0122"/>
    <w:rsid w:val="00CA1A79"/>
    <w:rsid w:val="00CA66FD"/>
    <w:rsid w:val="00CA670A"/>
    <w:rsid w:val="00CA69FE"/>
    <w:rsid w:val="00CB03AF"/>
    <w:rsid w:val="00CB2FDA"/>
    <w:rsid w:val="00CB346E"/>
    <w:rsid w:val="00CC0345"/>
    <w:rsid w:val="00CD4F8F"/>
    <w:rsid w:val="00CF0AC2"/>
    <w:rsid w:val="00CF7A9F"/>
    <w:rsid w:val="00D052E8"/>
    <w:rsid w:val="00D134F6"/>
    <w:rsid w:val="00D145D0"/>
    <w:rsid w:val="00D21805"/>
    <w:rsid w:val="00D24300"/>
    <w:rsid w:val="00D25A32"/>
    <w:rsid w:val="00D27279"/>
    <w:rsid w:val="00D326E4"/>
    <w:rsid w:val="00D33B90"/>
    <w:rsid w:val="00D54424"/>
    <w:rsid w:val="00D60076"/>
    <w:rsid w:val="00D60D46"/>
    <w:rsid w:val="00D70C7B"/>
    <w:rsid w:val="00D74A12"/>
    <w:rsid w:val="00D91B72"/>
    <w:rsid w:val="00D92AF5"/>
    <w:rsid w:val="00D93F19"/>
    <w:rsid w:val="00D966B6"/>
    <w:rsid w:val="00D97BA0"/>
    <w:rsid w:val="00DA598B"/>
    <w:rsid w:val="00DB10A7"/>
    <w:rsid w:val="00DB4403"/>
    <w:rsid w:val="00DB554F"/>
    <w:rsid w:val="00DB59EA"/>
    <w:rsid w:val="00DB6583"/>
    <w:rsid w:val="00DE2969"/>
    <w:rsid w:val="00DF04ED"/>
    <w:rsid w:val="00DF181F"/>
    <w:rsid w:val="00DF3694"/>
    <w:rsid w:val="00E04077"/>
    <w:rsid w:val="00E06573"/>
    <w:rsid w:val="00E06CCF"/>
    <w:rsid w:val="00E11B0D"/>
    <w:rsid w:val="00E1212C"/>
    <w:rsid w:val="00E1621B"/>
    <w:rsid w:val="00E22B2F"/>
    <w:rsid w:val="00E22EC6"/>
    <w:rsid w:val="00E46B8B"/>
    <w:rsid w:val="00E6061D"/>
    <w:rsid w:val="00E61F72"/>
    <w:rsid w:val="00E94B08"/>
    <w:rsid w:val="00E95BE3"/>
    <w:rsid w:val="00EB06D4"/>
    <w:rsid w:val="00EB5C27"/>
    <w:rsid w:val="00EC32A9"/>
    <w:rsid w:val="00ED53C6"/>
    <w:rsid w:val="00EE7C8C"/>
    <w:rsid w:val="00EF2483"/>
    <w:rsid w:val="00EF25B2"/>
    <w:rsid w:val="00EF45A8"/>
    <w:rsid w:val="00F0159C"/>
    <w:rsid w:val="00F01DFA"/>
    <w:rsid w:val="00F02294"/>
    <w:rsid w:val="00F07415"/>
    <w:rsid w:val="00F13062"/>
    <w:rsid w:val="00F16687"/>
    <w:rsid w:val="00F17EE5"/>
    <w:rsid w:val="00F22CAE"/>
    <w:rsid w:val="00F22D3E"/>
    <w:rsid w:val="00F26AF6"/>
    <w:rsid w:val="00F31BC3"/>
    <w:rsid w:val="00F455ED"/>
    <w:rsid w:val="00F456E0"/>
    <w:rsid w:val="00F502DD"/>
    <w:rsid w:val="00F50AD1"/>
    <w:rsid w:val="00F56003"/>
    <w:rsid w:val="00F56CD8"/>
    <w:rsid w:val="00F63A57"/>
    <w:rsid w:val="00F659E8"/>
    <w:rsid w:val="00F732A5"/>
    <w:rsid w:val="00F8145E"/>
    <w:rsid w:val="00F8322F"/>
    <w:rsid w:val="00F83978"/>
    <w:rsid w:val="00F84F9C"/>
    <w:rsid w:val="00FB32EB"/>
    <w:rsid w:val="00FC076C"/>
    <w:rsid w:val="00FC70E2"/>
    <w:rsid w:val="00FD06D7"/>
    <w:rsid w:val="00FD2151"/>
    <w:rsid w:val="00FD552D"/>
    <w:rsid w:val="00FE4F13"/>
    <w:rsid w:val="00FE6179"/>
    <w:rsid w:val="00FE7FC2"/>
    <w:rsid w:val="00FF13B1"/>
    <w:rsid w:val="00FF4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B78AEB"/>
  <w15:chartTrackingRefBased/>
  <w15:docId w15:val="{DA0C9546-9DCB-4D65-A155-73FEA2EF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List Bullet" w:uiPriority="4" w:qFormat="1"/>
    <w:lsdException w:name="Title"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2294"/>
    <w:rPr>
      <w:rFonts w:ascii="Arial" w:eastAsiaTheme="minorHAnsi" w:hAnsi="Arial" w:cstheme="minorBidi"/>
      <w:sz w:val="22"/>
      <w:szCs w:val="24"/>
      <w:lang w:val="en-AU" w:eastAsia="en-US"/>
    </w:rPr>
  </w:style>
  <w:style w:type="paragraph" w:styleId="Heading1">
    <w:name w:val="heading 1"/>
    <w:basedOn w:val="Normal"/>
    <w:next w:val="Normal"/>
    <w:link w:val="Heading1Char"/>
    <w:qFormat/>
    <w:rsid w:val="00AF4EF5"/>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qFormat/>
    <w:rsid w:val="00A11B0D"/>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qFormat/>
    <w:rsid w:val="009844FD"/>
    <w:pPr>
      <w:keepNext/>
      <w:spacing w:before="240" w:after="60"/>
      <w:outlineLvl w:val="2"/>
    </w:pPr>
    <w:rPr>
      <w:rFonts w:ascii="Frutiger 55 Roman" w:hAnsi="Frutiger 55 Roman" w:cs="Arial"/>
      <w:bCs/>
      <w:szCs w:val="26"/>
    </w:rPr>
  </w:style>
  <w:style w:type="paragraph" w:styleId="Heading4">
    <w:name w:val="heading 4"/>
    <w:basedOn w:val="Normal"/>
    <w:next w:val="Normal"/>
    <w:link w:val="Heading4Char"/>
    <w:qFormat/>
    <w:rsid w:val="009844FD"/>
    <w:pPr>
      <w:keepNext/>
      <w:spacing w:before="240" w:after="60"/>
      <w:outlineLvl w:val="3"/>
    </w:pPr>
    <w:rPr>
      <w:bCs/>
      <w:i/>
      <w:szCs w:val="28"/>
    </w:rPr>
  </w:style>
  <w:style w:type="paragraph" w:styleId="Heading5">
    <w:name w:val="heading 5"/>
    <w:basedOn w:val="Normal"/>
    <w:next w:val="Normal"/>
    <w:qFormat/>
    <w:rsid w:val="00CB03AF"/>
    <w:pPr>
      <w:spacing w:before="240" w:after="60"/>
      <w:outlineLvl w:val="4"/>
    </w:pPr>
    <w:rPr>
      <w:b/>
      <w:bCs/>
      <w:i/>
      <w:iCs/>
      <w:sz w:val="26"/>
      <w:szCs w:val="26"/>
    </w:rPr>
  </w:style>
  <w:style w:type="paragraph" w:styleId="Heading6">
    <w:name w:val="heading 6"/>
    <w:basedOn w:val="Normal"/>
    <w:next w:val="Normal"/>
    <w:qFormat/>
    <w:rsid w:val="00CB03AF"/>
    <w:pPr>
      <w:spacing w:before="240" w:after="60"/>
      <w:outlineLvl w:val="5"/>
    </w:pPr>
    <w:rPr>
      <w:b/>
      <w:bCs/>
      <w:szCs w:val="22"/>
    </w:rPr>
  </w:style>
  <w:style w:type="paragraph" w:styleId="Heading7">
    <w:name w:val="heading 7"/>
    <w:basedOn w:val="Normal"/>
    <w:next w:val="Normal"/>
    <w:qFormat/>
    <w:rsid w:val="00CB03AF"/>
    <w:pPr>
      <w:spacing w:before="240" w:after="60"/>
      <w:outlineLvl w:val="6"/>
    </w:pPr>
  </w:style>
  <w:style w:type="paragraph" w:styleId="Heading8">
    <w:name w:val="heading 8"/>
    <w:basedOn w:val="Normal"/>
    <w:next w:val="Normal"/>
    <w:qFormat/>
    <w:rsid w:val="00CB03AF"/>
    <w:pPr>
      <w:spacing w:before="240" w:after="60"/>
      <w:outlineLvl w:val="7"/>
    </w:pPr>
    <w:rPr>
      <w:i/>
      <w:iCs/>
    </w:rPr>
  </w:style>
  <w:style w:type="paragraph" w:styleId="Heading9">
    <w:name w:val="heading 9"/>
    <w:basedOn w:val="Normal"/>
    <w:next w:val="Normal"/>
    <w:qFormat/>
    <w:rsid w:val="00CB03A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4EF5"/>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rsid w:val="00417C2E"/>
    <w:pPr>
      <w:numPr>
        <w:numId w:val="1"/>
      </w:numPr>
      <w:ind w:left="1080"/>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basedOn w:val="DefaultParagraphFont"/>
    <w:qFormat/>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cs="Arial"/>
    </w:rPr>
  </w:style>
  <w:style w:type="paragraph" w:styleId="EnvelopeReturn">
    <w:name w:val="envelope return"/>
    <w:basedOn w:val="Normal"/>
    <w:semiHidden/>
    <w:rsid w:val="00CB03AF"/>
    <w:rPr>
      <w:rFonts w:cs="Arial"/>
      <w:sz w:val="20"/>
      <w:szCs w:val="20"/>
    </w:rPr>
  </w:style>
  <w:style w:type="character" w:styleId="FollowedHyperlink">
    <w:name w:val="FollowedHyperlink"/>
    <w:basedOn w:val="DefaultParagraphFont"/>
    <w:semiHidden/>
    <w:rsid w:val="00CB03AF"/>
    <w:rPr>
      <w:color w:val="800080"/>
      <w:u w:val="single"/>
    </w:rPr>
  </w:style>
  <w:style w:type="paragraph" w:styleId="Footer">
    <w:name w:val="footer"/>
    <w:basedOn w:val="Normal"/>
    <w:link w:val="FooterChar"/>
    <w:uiPriority w:val="99"/>
    <w:rsid w:val="00CB03AF"/>
    <w:pPr>
      <w:tabs>
        <w:tab w:val="center" w:pos="4153"/>
        <w:tab w:val="right" w:pos="8306"/>
      </w:tabs>
    </w:pPr>
  </w:style>
  <w:style w:type="paragraph" w:styleId="Header">
    <w:name w:val="header"/>
    <w:basedOn w:val="Normal"/>
    <w:semiHidden/>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basedOn w:val="DefaultParagraphFont"/>
    <w:semiHidden/>
    <w:rsid w:val="00CB03AF"/>
    <w:rPr>
      <w:i/>
      <w:iCs/>
    </w:rPr>
  </w:style>
  <w:style w:type="character" w:styleId="HTMLCode">
    <w:name w:val="HTML Code"/>
    <w:basedOn w:val="DefaultParagraphFont"/>
    <w:semiHidden/>
    <w:rsid w:val="00CB03AF"/>
    <w:rPr>
      <w:rFonts w:ascii="Courier New" w:hAnsi="Courier New" w:cs="Courier New"/>
      <w:sz w:val="20"/>
      <w:szCs w:val="20"/>
    </w:rPr>
  </w:style>
  <w:style w:type="character" w:styleId="HTMLDefinition">
    <w:name w:val="HTML Definition"/>
    <w:basedOn w:val="DefaultParagraphFont"/>
    <w:semiHidden/>
    <w:rsid w:val="00CB03AF"/>
    <w:rPr>
      <w:i/>
      <w:iCs/>
    </w:rPr>
  </w:style>
  <w:style w:type="character" w:styleId="HTMLKeyboard">
    <w:name w:val="HTML Keyboard"/>
    <w:basedOn w:val="DefaultParagraphFont"/>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basedOn w:val="DefaultParagraphFont"/>
    <w:semiHidden/>
    <w:rsid w:val="00CB03AF"/>
    <w:rPr>
      <w:rFonts w:ascii="Courier New" w:hAnsi="Courier New" w:cs="Courier New"/>
    </w:rPr>
  </w:style>
  <w:style w:type="character" w:styleId="HTMLTypewriter">
    <w:name w:val="HTML Typewriter"/>
    <w:basedOn w:val="DefaultParagraphFont"/>
    <w:semiHidden/>
    <w:rsid w:val="00CB03AF"/>
    <w:rPr>
      <w:rFonts w:ascii="Courier New" w:hAnsi="Courier New" w:cs="Courier New"/>
      <w:sz w:val="20"/>
      <w:szCs w:val="20"/>
    </w:rPr>
  </w:style>
  <w:style w:type="character" w:styleId="HTMLVariable">
    <w:name w:val="HTML Variable"/>
    <w:basedOn w:val="DefaultParagraphFont"/>
    <w:semiHidden/>
    <w:rsid w:val="00CB03AF"/>
    <w:rPr>
      <w:i/>
      <w:iCs/>
    </w:rPr>
  </w:style>
  <w:style w:type="character" w:styleId="Hyperlink">
    <w:name w:val="Hyperlink"/>
    <w:basedOn w:val="DefaultParagraphFont"/>
    <w:semiHidden/>
    <w:rsid w:val="00CB03AF"/>
    <w:rPr>
      <w:color w:val="0000FF"/>
      <w:u w:val="single"/>
    </w:rPr>
  </w:style>
  <w:style w:type="character" w:styleId="LineNumber">
    <w:name w:val="line number"/>
    <w:basedOn w:val="DefaultParagraphFont"/>
    <w:semiHidden/>
    <w:rsid w:val="00CB03AF"/>
  </w:style>
  <w:style w:type="paragraph" w:styleId="FootnoteText">
    <w:name w:val="footnote text"/>
    <w:basedOn w:val="Normal"/>
    <w:link w:val="FootnoteTextChar"/>
    <w:semiHidden/>
    <w:rsid w:val="00205316"/>
    <w:rPr>
      <w:sz w:val="20"/>
      <w:szCs w:val="20"/>
    </w:rPr>
  </w:style>
  <w:style w:type="paragraph" w:customStyle="1" w:styleId="VEOHRCListBullet">
    <w:name w:val="VEOHRC List Bullet"/>
    <w:rsid w:val="00541044"/>
    <w:pPr>
      <w:keepNext/>
      <w:numPr>
        <w:numId w:val="24"/>
      </w:numPr>
      <w:spacing w:after="60" w:line="240" w:lineRule="atLeast"/>
      <w:ind w:left="714" w:hanging="357"/>
    </w:pPr>
    <w:rPr>
      <w:rFonts w:ascii="Arial" w:eastAsia="Arial Unicode MS" w:hAnsi="Arial"/>
      <w:sz w:val="24"/>
      <w:szCs w:val="24"/>
      <w:lang w:eastAsia="en-AU"/>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link w:val="BodyTextChar"/>
    <w:qFormat/>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basedOn w:val="DefaultParagraphFont"/>
    <w:qFormat/>
    <w:rsid w:val="00CB03AF"/>
    <w:rPr>
      <w:b/>
      <w:bCs/>
    </w:rPr>
  </w:style>
  <w:style w:type="paragraph" w:styleId="Subtitle">
    <w:name w:val="Subtitle"/>
    <w:basedOn w:val="Normal"/>
    <w:qFormat/>
    <w:rsid w:val="00CB03AF"/>
    <w:pPr>
      <w:spacing w:after="60"/>
      <w:jc w:val="center"/>
      <w:outlineLvl w:val="1"/>
    </w:pPr>
    <w:rPr>
      <w:rFonts w:cs="Arial"/>
    </w:rPr>
  </w:style>
  <w:style w:type="table" w:styleId="Table3Deffects1">
    <w:name w:val="Table 3D effects 1"/>
    <w:basedOn w:val="TableNormal"/>
    <w:semiHidden/>
    <w:rsid w:val="00CB03A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03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B03AF"/>
    <w:pPr>
      <w:spacing w:before="240" w:after="60"/>
      <w:jc w:val="center"/>
      <w:outlineLvl w:val="0"/>
    </w:pPr>
    <w:rPr>
      <w:rFonts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EB5C27"/>
    <w:pPr>
      <w:spacing w:line="200" w:lineRule="atLeast"/>
    </w:pPr>
    <w:rPr>
      <w:sz w:val="20"/>
      <w:szCs w:val="20"/>
    </w:rPr>
  </w:style>
  <w:style w:type="paragraph" w:customStyle="1" w:styleId="VEOHRCQuotation">
    <w:name w:val="VEOHRC Quotation"/>
    <w:basedOn w:val="Normal"/>
    <w:rsid w:val="004A32E8"/>
    <w:pPr>
      <w:spacing w:before="120" w:after="120"/>
      <w:ind w:left="720" w:right="788"/>
    </w:pPr>
    <w:rPr>
      <w:rFonts w:cs="Arial"/>
    </w:rPr>
  </w:style>
  <w:style w:type="paragraph" w:styleId="List2">
    <w:name w:val="List 2"/>
    <w:basedOn w:val="Normal"/>
    <w:semiHidden/>
    <w:rsid w:val="00EF25B2"/>
    <w:pPr>
      <w:ind w:left="566" w:hanging="283"/>
    </w:pPr>
  </w:style>
  <w:style w:type="paragraph" w:customStyle="1" w:styleId="VEOHRCHeading1">
    <w:name w:val="VEOHRC Heading 1"/>
    <w:basedOn w:val="Heading1"/>
    <w:rsid w:val="00D966B6"/>
    <w:pPr>
      <w:spacing w:before="300" w:after="0" w:line="360" w:lineRule="atLeast"/>
    </w:pPr>
    <w:rPr>
      <w:rFonts w:ascii="Arial" w:hAnsi="Arial" w:cs="Times New Roman"/>
    </w:rPr>
  </w:style>
  <w:style w:type="paragraph" w:customStyle="1" w:styleId="VEOHRCBodytext">
    <w:name w:val="VEOHRC Body text"/>
    <w:link w:val="VEOHRCBodytextChar"/>
    <w:rsid w:val="00541044"/>
    <w:pPr>
      <w:keepNext/>
      <w:spacing w:before="80" w:after="120"/>
    </w:pPr>
    <w:rPr>
      <w:rFonts w:ascii="Arial" w:eastAsia="Arial Unicode MS" w:hAnsi="Arial"/>
      <w:sz w:val="24"/>
      <w:szCs w:val="24"/>
      <w:lang w:eastAsia="en-AU"/>
    </w:rPr>
  </w:style>
  <w:style w:type="paragraph" w:styleId="ListBullet">
    <w:name w:val="List Bullet"/>
    <w:basedOn w:val="Normal"/>
    <w:uiPriority w:val="4"/>
    <w:qFormat/>
    <w:rsid w:val="00EF25B2"/>
    <w:pPr>
      <w:tabs>
        <w:tab w:val="num" w:pos="720"/>
      </w:tabs>
      <w:ind w:left="720" w:hanging="360"/>
    </w:pPr>
  </w:style>
  <w:style w:type="character" w:styleId="FootnoteReference">
    <w:name w:val="footnote reference"/>
    <w:basedOn w:val="DefaultParagraphFont"/>
    <w:semiHidden/>
    <w:rsid w:val="00205316"/>
    <w:rPr>
      <w:vertAlign w:val="superscript"/>
    </w:rPr>
  </w:style>
  <w:style w:type="paragraph" w:customStyle="1" w:styleId="VEOHRCChapterTitle">
    <w:name w:val="VEOHRC Chapter Title"/>
    <w:basedOn w:val="Normal"/>
    <w:rsid w:val="00EB5C27"/>
    <w:pPr>
      <w:spacing w:after="120" w:line="360" w:lineRule="atLeast"/>
    </w:pPr>
    <w:rPr>
      <w:sz w:val="48"/>
    </w:rPr>
  </w:style>
  <w:style w:type="paragraph" w:customStyle="1" w:styleId="VEOHRCHeading2">
    <w:name w:val="VEOHRC Heading 2"/>
    <w:basedOn w:val="Heading2"/>
    <w:rsid w:val="00EB5C27"/>
    <w:pPr>
      <w:spacing w:after="0" w:line="280" w:lineRule="atLeast"/>
    </w:pPr>
    <w:rPr>
      <w:rFonts w:ascii="Arial" w:hAnsi="Arial" w:cs="Times New Roman"/>
    </w:rPr>
  </w:style>
  <w:style w:type="paragraph" w:customStyle="1" w:styleId="VEOHRCHeading3">
    <w:name w:val="VEOHRC Heading 3"/>
    <w:next w:val="VEOHRCBodytext"/>
    <w:rsid w:val="00F13062"/>
    <w:pPr>
      <w:spacing w:before="180" w:line="240" w:lineRule="atLeast"/>
    </w:pPr>
    <w:rPr>
      <w:rFonts w:ascii="Arial" w:hAnsi="Arial" w:cs="Arial"/>
      <w:b/>
      <w:bCs/>
      <w:sz w:val="24"/>
      <w:szCs w:val="26"/>
      <w:lang w:eastAsia="en-AU"/>
    </w:rPr>
  </w:style>
  <w:style w:type="paragraph" w:customStyle="1" w:styleId="VEOHRCHeading4">
    <w:name w:val="VEOHRC Heading 4"/>
    <w:basedOn w:val="Heading4"/>
    <w:link w:val="VEOHRCHeading4Char"/>
    <w:rsid w:val="00EB5C27"/>
    <w:pPr>
      <w:spacing w:before="120" w:after="0"/>
    </w:pPr>
  </w:style>
  <w:style w:type="paragraph" w:customStyle="1" w:styleId="VEOHRCFootnotereference">
    <w:name w:val="VEOHRC Footnote reference"/>
    <w:basedOn w:val="FootnoteText"/>
    <w:link w:val="VEOHRCFootnotereferenceChar"/>
    <w:rsid w:val="00205316"/>
    <w:rPr>
      <w:vertAlign w:val="superscript"/>
    </w:rPr>
  </w:style>
  <w:style w:type="character" w:customStyle="1" w:styleId="FootnoteTextChar">
    <w:name w:val="Footnote Text Char"/>
    <w:basedOn w:val="DefaultParagraphFont"/>
    <w:link w:val="FootnoteText"/>
    <w:rsid w:val="00205316"/>
    <w:rPr>
      <w:rFonts w:ascii="Frutiger 45 Light" w:hAnsi="Frutiger 45 Light"/>
      <w:lang w:val="en-AU" w:eastAsia="en-AU" w:bidi="ar-SA"/>
    </w:rPr>
  </w:style>
  <w:style w:type="character" w:customStyle="1" w:styleId="VEOHRCFootnotereferenceChar">
    <w:name w:val="VEOHRC Footnote reference Char"/>
    <w:basedOn w:val="FootnoteTextChar"/>
    <w:link w:val="VEOHRCFootnotereference"/>
    <w:rsid w:val="00205316"/>
    <w:rPr>
      <w:rFonts w:ascii="Arial" w:hAnsi="Arial"/>
      <w:vertAlign w:val="superscript"/>
      <w:lang w:val="en-AU" w:eastAsia="en-AU" w:bidi="ar-SA"/>
    </w:rPr>
  </w:style>
  <w:style w:type="paragraph" w:customStyle="1" w:styleId="VEOHRCNumberedlist">
    <w:name w:val="VEOHRC Numbered list"/>
    <w:rsid w:val="00417C2E"/>
    <w:pPr>
      <w:numPr>
        <w:numId w:val="27"/>
      </w:numPr>
      <w:ind w:left="720"/>
    </w:pPr>
    <w:rPr>
      <w:rFonts w:ascii="Arial" w:eastAsia="Arial Unicode MS" w:hAnsi="Arial"/>
      <w:sz w:val="24"/>
      <w:szCs w:val="24"/>
      <w:lang w:eastAsia="en-AU"/>
    </w:rPr>
  </w:style>
  <w:style w:type="paragraph" w:customStyle="1" w:styleId="VEOHRCsubhead">
    <w:name w:val="VEOHRC &gt; subhead"/>
    <w:basedOn w:val="VEOHRCBodytext"/>
    <w:rsid w:val="00EB5C27"/>
    <w:rPr>
      <w:sz w:val="28"/>
    </w:rPr>
  </w:style>
  <w:style w:type="character" w:customStyle="1" w:styleId="Heading4Char">
    <w:name w:val="Heading 4 Char"/>
    <w:basedOn w:val="DefaultParagraphFont"/>
    <w:link w:val="Heading4"/>
    <w:rsid w:val="00D70C7B"/>
    <w:rPr>
      <w:rFonts w:ascii="Frutiger 45 Light" w:hAnsi="Frutiger 45 Light"/>
      <w:bCs/>
      <w:i/>
      <w:sz w:val="24"/>
      <w:szCs w:val="28"/>
      <w:lang w:val="en-GB" w:eastAsia="en-AU" w:bidi="ar-SA"/>
    </w:rPr>
  </w:style>
  <w:style w:type="character" w:customStyle="1" w:styleId="VEOHRCHeading4Char">
    <w:name w:val="VEOHRC Heading 4 Char"/>
    <w:basedOn w:val="Heading4Char"/>
    <w:link w:val="VEOHRCHeading4"/>
    <w:rsid w:val="00D70C7B"/>
    <w:rPr>
      <w:rFonts w:ascii="Arial" w:hAnsi="Arial"/>
      <w:bCs/>
      <w:i/>
      <w:sz w:val="24"/>
      <w:szCs w:val="28"/>
      <w:lang w:val="en-GB" w:eastAsia="en-AU" w:bidi="ar-SA"/>
    </w:rPr>
  </w:style>
  <w:style w:type="character" w:customStyle="1" w:styleId="VEOHRCBodytextitalics">
    <w:name w:val="VEOHRC Body text italics"/>
    <w:rsid w:val="008601D7"/>
    <w:rPr>
      <w:rFonts w:ascii="Arial" w:hAnsi="Arial"/>
      <w:i/>
      <w:dstrike w:val="0"/>
      <w:color w:val="auto"/>
      <w:sz w:val="24"/>
      <w:u w:val="none"/>
      <w:vertAlign w:val="baseline"/>
    </w:rPr>
  </w:style>
  <w:style w:type="character" w:customStyle="1" w:styleId="VEOHRCFootnotetextitalics">
    <w:name w:val="VEOHRC Footnote text italics"/>
    <w:rsid w:val="00497875"/>
    <w:rPr>
      <w:rFonts w:ascii="Arial" w:hAnsi="Arial" w:cs="Arial"/>
      <w:bCs/>
      <w:i/>
      <w:dstrike w:val="0"/>
      <w:color w:val="auto"/>
      <w:sz w:val="20"/>
      <w:szCs w:val="26"/>
      <w:u w:val="none"/>
      <w:vertAlign w:val="baseline"/>
      <w:lang w:val="en-GB"/>
    </w:rPr>
  </w:style>
  <w:style w:type="paragraph" w:styleId="TOC3">
    <w:name w:val="toc 3"/>
    <w:next w:val="VEOHRCBodytext"/>
    <w:autoRedefine/>
    <w:semiHidden/>
    <w:rsid w:val="00782E7A"/>
    <w:rPr>
      <w:rFonts w:ascii="Arial" w:hAnsi="Arial"/>
      <w:sz w:val="24"/>
      <w:szCs w:val="24"/>
      <w:lang w:eastAsia="en-AU"/>
    </w:rPr>
  </w:style>
  <w:style w:type="character" w:customStyle="1" w:styleId="VEOHRCBodytextbold">
    <w:name w:val="VEOHRC Body text bold"/>
    <w:rsid w:val="00923721"/>
    <w:rPr>
      <w:rFonts w:ascii="Arial Bold" w:hAnsi="Arial Bold"/>
      <w:b/>
      <w:dstrike w:val="0"/>
      <w:color w:val="auto"/>
      <w:sz w:val="24"/>
      <w:u w:val="none"/>
      <w:vertAlign w:val="baseline"/>
    </w:rPr>
  </w:style>
  <w:style w:type="paragraph" w:styleId="TOC1">
    <w:name w:val="toc 1"/>
    <w:next w:val="VEOHRCBodytext"/>
    <w:autoRedefine/>
    <w:semiHidden/>
    <w:rsid w:val="00181974"/>
    <w:rPr>
      <w:rFonts w:ascii="Arial" w:hAnsi="Arial"/>
      <w:sz w:val="24"/>
      <w:szCs w:val="24"/>
      <w:lang w:eastAsia="en-AU"/>
    </w:rPr>
  </w:style>
  <w:style w:type="paragraph" w:styleId="TOC2">
    <w:name w:val="toc 2"/>
    <w:next w:val="VEOHRCBodytext"/>
    <w:autoRedefine/>
    <w:semiHidden/>
    <w:rsid w:val="00181974"/>
    <w:rPr>
      <w:rFonts w:ascii="Arial" w:hAnsi="Arial"/>
      <w:sz w:val="24"/>
      <w:szCs w:val="24"/>
      <w:lang w:eastAsia="en-AU"/>
    </w:rPr>
  </w:style>
  <w:style w:type="paragraph" w:styleId="TOC4">
    <w:name w:val="toc 4"/>
    <w:next w:val="VEOHRCBodytext"/>
    <w:autoRedefine/>
    <w:semiHidden/>
    <w:rsid w:val="00782E7A"/>
    <w:rPr>
      <w:rFonts w:ascii="Arial" w:hAnsi="Arial"/>
      <w:sz w:val="24"/>
      <w:szCs w:val="24"/>
      <w:lang w:eastAsia="en-AU"/>
    </w:rPr>
  </w:style>
  <w:style w:type="character" w:customStyle="1" w:styleId="VEOHRCBodytextChar">
    <w:name w:val="VEOHRC Body text Char"/>
    <w:basedOn w:val="DefaultParagraphFont"/>
    <w:link w:val="VEOHRCBodytext"/>
    <w:rsid w:val="00541044"/>
    <w:rPr>
      <w:rFonts w:ascii="Arial" w:eastAsia="Arial Unicode MS" w:hAnsi="Arial"/>
      <w:sz w:val="24"/>
      <w:szCs w:val="24"/>
      <w:lang w:val="en-GB" w:eastAsia="en-AU" w:bidi="ar-SA"/>
    </w:rPr>
  </w:style>
  <w:style w:type="paragraph" w:styleId="BalloonText">
    <w:name w:val="Balloon Text"/>
    <w:basedOn w:val="Normal"/>
    <w:link w:val="BalloonTextChar"/>
    <w:rsid w:val="00D326E4"/>
    <w:rPr>
      <w:rFonts w:ascii="Segoe UI" w:hAnsi="Segoe UI" w:cs="Segoe UI"/>
      <w:sz w:val="18"/>
      <w:szCs w:val="18"/>
    </w:rPr>
  </w:style>
  <w:style w:type="character" w:customStyle="1" w:styleId="BalloonTextChar">
    <w:name w:val="Balloon Text Char"/>
    <w:basedOn w:val="DefaultParagraphFont"/>
    <w:link w:val="BalloonText"/>
    <w:rsid w:val="00D326E4"/>
    <w:rPr>
      <w:rFonts w:ascii="Segoe UI" w:hAnsi="Segoe UI" w:cs="Segoe UI"/>
      <w:sz w:val="18"/>
      <w:szCs w:val="18"/>
      <w:lang w:eastAsia="en-AU"/>
    </w:rPr>
  </w:style>
  <w:style w:type="paragraph" w:styleId="EndnoteText">
    <w:name w:val="endnote text"/>
    <w:basedOn w:val="Normal"/>
    <w:link w:val="EndnoteTextChar"/>
    <w:rsid w:val="00B43BAB"/>
    <w:rPr>
      <w:sz w:val="20"/>
      <w:szCs w:val="20"/>
    </w:rPr>
  </w:style>
  <w:style w:type="character" w:customStyle="1" w:styleId="EndnoteTextChar">
    <w:name w:val="Endnote Text Char"/>
    <w:basedOn w:val="DefaultParagraphFont"/>
    <w:link w:val="EndnoteText"/>
    <w:rsid w:val="00B43BAB"/>
    <w:rPr>
      <w:rFonts w:asciiTheme="minorHAnsi" w:eastAsiaTheme="minorHAnsi" w:hAnsiTheme="minorHAnsi" w:cstheme="minorBidi"/>
      <w:lang w:val="en-AU" w:eastAsia="en-US"/>
    </w:rPr>
  </w:style>
  <w:style w:type="character" w:styleId="EndnoteReference">
    <w:name w:val="endnote reference"/>
    <w:basedOn w:val="DefaultParagraphFont"/>
    <w:uiPriority w:val="99"/>
    <w:rsid w:val="00B43BAB"/>
    <w:rPr>
      <w:vertAlign w:val="superscript"/>
    </w:rPr>
  </w:style>
  <w:style w:type="character" w:customStyle="1" w:styleId="BodyTextChar">
    <w:name w:val="Body Text Char"/>
    <w:basedOn w:val="DefaultParagraphFont"/>
    <w:link w:val="BodyText"/>
    <w:rsid w:val="00B43BAB"/>
    <w:rPr>
      <w:rFonts w:ascii="Frutiger 45 Light" w:hAnsi="Frutiger 45 Light"/>
      <w:sz w:val="24"/>
      <w:szCs w:val="24"/>
      <w:lang w:eastAsia="en-AU"/>
    </w:rPr>
  </w:style>
  <w:style w:type="numbering" w:customStyle="1" w:styleId="ListBulletmaster">
    <w:name w:val="List Bullet (master)"/>
    <w:rsid w:val="00B43BAB"/>
    <w:pPr>
      <w:numPr>
        <w:numId w:val="29"/>
      </w:numPr>
    </w:pPr>
  </w:style>
  <w:style w:type="paragraph" w:styleId="NoSpacing">
    <w:name w:val="No Spacing"/>
    <w:uiPriority w:val="1"/>
    <w:qFormat/>
    <w:rsid w:val="00B43BAB"/>
    <w:rPr>
      <w:rFonts w:ascii="Arial" w:hAnsi="Arial"/>
      <w:sz w:val="18"/>
      <w:lang w:eastAsia="en-AU"/>
    </w:rPr>
  </w:style>
  <w:style w:type="table" w:customStyle="1" w:styleId="CustomTablerecommendationsbox">
    <w:name w:val="Custom Table (recommendations box)"/>
    <w:basedOn w:val="TableNormal"/>
    <w:uiPriority w:val="99"/>
    <w:rsid w:val="00B43BAB"/>
    <w:rPr>
      <w:rFonts w:asciiTheme="minorHAnsi" w:eastAsiaTheme="minorHAnsi" w:hAnsiTheme="minorHAnsi" w:cstheme="minorBidi"/>
      <w:lang w:val="en-US" w:eastAsia="en-US"/>
    </w:rPr>
    <w:tblPr/>
    <w:tcPr>
      <w:shd w:val="clear" w:color="auto" w:fill="BDD6EE"/>
    </w:tcPr>
  </w:style>
  <w:style w:type="character" w:styleId="CommentReference">
    <w:name w:val="annotation reference"/>
    <w:basedOn w:val="DefaultParagraphFont"/>
    <w:uiPriority w:val="99"/>
    <w:rsid w:val="00B43BAB"/>
    <w:rPr>
      <w:sz w:val="16"/>
      <w:szCs w:val="16"/>
    </w:rPr>
  </w:style>
  <w:style w:type="paragraph" w:styleId="CommentText">
    <w:name w:val="annotation text"/>
    <w:basedOn w:val="Normal"/>
    <w:link w:val="CommentTextChar"/>
    <w:uiPriority w:val="99"/>
    <w:rsid w:val="00B43BAB"/>
    <w:rPr>
      <w:sz w:val="20"/>
      <w:szCs w:val="20"/>
    </w:rPr>
  </w:style>
  <w:style w:type="character" w:customStyle="1" w:styleId="CommentTextChar">
    <w:name w:val="Comment Text Char"/>
    <w:basedOn w:val="DefaultParagraphFont"/>
    <w:link w:val="CommentText"/>
    <w:uiPriority w:val="99"/>
    <w:rsid w:val="00B43BAB"/>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rsid w:val="00247EB3"/>
    <w:rPr>
      <w:b/>
      <w:bCs/>
    </w:rPr>
  </w:style>
  <w:style w:type="character" w:customStyle="1" w:styleId="CommentSubjectChar">
    <w:name w:val="Comment Subject Char"/>
    <w:basedOn w:val="CommentTextChar"/>
    <w:link w:val="CommentSubject"/>
    <w:rsid w:val="00247EB3"/>
    <w:rPr>
      <w:rFonts w:asciiTheme="minorHAnsi" w:eastAsiaTheme="minorHAnsi" w:hAnsiTheme="minorHAnsi" w:cstheme="minorBidi"/>
      <w:b/>
      <w:bCs/>
      <w:lang w:val="en-AU" w:eastAsia="en-US"/>
    </w:rPr>
  </w:style>
  <w:style w:type="character" w:styleId="UnresolvedMention">
    <w:name w:val="Unresolved Mention"/>
    <w:basedOn w:val="DefaultParagraphFont"/>
    <w:uiPriority w:val="99"/>
    <w:semiHidden/>
    <w:unhideWhenUsed/>
    <w:rsid w:val="00D134F6"/>
    <w:rPr>
      <w:color w:val="605E5C"/>
      <w:shd w:val="clear" w:color="auto" w:fill="E1DFDD"/>
    </w:rPr>
  </w:style>
  <w:style w:type="paragraph" w:customStyle="1" w:styleId="AppendixHeading1">
    <w:name w:val="Appendix Heading 1"/>
    <w:basedOn w:val="Heading1"/>
    <w:next w:val="BodyText"/>
    <w:uiPriority w:val="11"/>
    <w:qFormat/>
    <w:rsid w:val="008961C3"/>
    <w:pPr>
      <w:keepNext w:val="0"/>
      <w:pageBreakBefore/>
      <w:numPr>
        <w:numId w:val="36"/>
      </w:numPr>
      <w:tabs>
        <w:tab w:val="left" w:pos="2268"/>
      </w:tabs>
      <w:suppressAutoHyphens/>
      <w:spacing w:before="0" w:after="240" w:line="360" w:lineRule="atLeast"/>
      <w:contextualSpacing/>
    </w:pPr>
    <w:rPr>
      <w:rFonts w:ascii="Arial" w:eastAsia="Times New Roman" w:hAnsi="Arial"/>
      <w:b w:val="0"/>
      <w:kern w:val="0"/>
      <w:sz w:val="48"/>
      <w:szCs w:val="30"/>
      <w:lang w:eastAsia="en-AU"/>
    </w:rPr>
  </w:style>
  <w:style w:type="numbering" w:customStyle="1" w:styleId="AppendixHeadingmaster">
    <w:name w:val="Appendix Heading (master)"/>
    <w:uiPriority w:val="99"/>
    <w:rsid w:val="008961C3"/>
    <w:pPr>
      <w:numPr>
        <w:numId w:val="35"/>
      </w:numPr>
    </w:pPr>
  </w:style>
  <w:style w:type="paragraph" w:customStyle="1" w:styleId="AppendixHeading2">
    <w:name w:val="Appendix Heading 2"/>
    <w:basedOn w:val="AppendixHeading1"/>
    <w:next w:val="BodyText"/>
    <w:uiPriority w:val="11"/>
    <w:qFormat/>
    <w:rsid w:val="008961C3"/>
    <w:pPr>
      <w:keepNext/>
      <w:pageBreakBefore w:val="0"/>
      <w:numPr>
        <w:ilvl w:val="1"/>
      </w:numPr>
      <w:spacing w:before="300" w:after="0"/>
    </w:pPr>
    <w:rPr>
      <w:b/>
      <w:sz w:val="36"/>
    </w:rPr>
  </w:style>
  <w:style w:type="table" w:customStyle="1" w:styleId="CustomTablebreakoutbox">
    <w:name w:val="Custom Table (breakout box)"/>
    <w:basedOn w:val="TableNormal"/>
    <w:uiPriority w:val="99"/>
    <w:rsid w:val="008961C3"/>
    <w:rPr>
      <w:rFonts w:asciiTheme="minorHAnsi" w:eastAsiaTheme="minorHAnsi" w:hAnsiTheme="minorHAnsi" w:cstheme="minorBidi"/>
      <w:lang w:val="en-US" w:eastAsia="en-US"/>
    </w:rPr>
    <w:tblPr/>
    <w:tcPr>
      <w:shd w:val="clear" w:color="auto" w:fill="C5E0B3"/>
    </w:tcPr>
  </w:style>
  <w:style w:type="paragraph" w:styleId="Revision">
    <w:name w:val="Revision"/>
    <w:hidden/>
    <w:uiPriority w:val="99"/>
    <w:semiHidden/>
    <w:rsid w:val="00761ABA"/>
    <w:rPr>
      <w:rFonts w:ascii="Arial" w:eastAsiaTheme="minorHAnsi" w:hAnsi="Arial" w:cstheme="minorBidi"/>
      <w:sz w:val="22"/>
      <w:szCs w:val="24"/>
      <w:lang w:val="en-AU" w:eastAsia="en-US"/>
    </w:rPr>
  </w:style>
  <w:style w:type="paragraph" w:customStyle="1" w:styleId="xxmsonormal">
    <w:name w:val="x_xmsonormal"/>
    <w:basedOn w:val="Normal"/>
    <w:rsid w:val="007161AB"/>
    <w:rPr>
      <w:rFonts w:ascii="Calibri" w:hAnsi="Calibri" w:cs="Calibri"/>
      <w:szCs w:val="22"/>
      <w:lang w:eastAsia="en-AU"/>
    </w:rPr>
  </w:style>
  <w:style w:type="paragraph" w:customStyle="1" w:styleId="xxmsolistparagraph">
    <w:name w:val="x_xmsolistparagraph"/>
    <w:basedOn w:val="Normal"/>
    <w:rsid w:val="007161AB"/>
    <w:pPr>
      <w:spacing w:before="100" w:beforeAutospacing="1" w:after="100" w:afterAutospacing="1"/>
    </w:pPr>
    <w:rPr>
      <w:rFonts w:ascii="Calibri" w:hAnsi="Calibri" w:cs="Calibri"/>
      <w:szCs w:val="22"/>
      <w:lang w:eastAsia="en-AU"/>
    </w:rPr>
  </w:style>
  <w:style w:type="character" w:customStyle="1" w:styleId="charsectno">
    <w:name w:val="charsectno"/>
    <w:basedOn w:val="DefaultParagraphFont"/>
    <w:rsid w:val="00FB32EB"/>
  </w:style>
  <w:style w:type="character" w:customStyle="1" w:styleId="FooterChar">
    <w:name w:val="Footer Char"/>
    <w:basedOn w:val="DefaultParagraphFont"/>
    <w:link w:val="Footer"/>
    <w:uiPriority w:val="99"/>
    <w:rsid w:val="005B5F9C"/>
    <w:rPr>
      <w:rFonts w:ascii="Arial" w:eastAsiaTheme="minorHAnsi" w:hAnsi="Arial" w:cstheme="minorBidi"/>
      <w:sz w:val="22"/>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73560">
      <w:bodyDiv w:val="1"/>
      <w:marLeft w:val="0"/>
      <w:marRight w:val="0"/>
      <w:marTop w:val="0"/>
      <w:marBottom w:val="0"/>
      <w:divBdr>
        <w:top w:val="none" w:sz="0" w:space="0" w:color="auto"/>
        <w:left w:val="none" w:sz="0" w:space="0" w:color="auto"/>
        <w:bottom w:val="none" w:sz="0" w:space="0" w:color="auto"/>
        <w:right w:val="none" w:sz="0" w:space="0" w:color="auto"/>
      </w:divBdr>
    </w:div>
    <w:div w:id="627323551">
      <w:bodyDiv w:val="1"/>
      <w:marLeft w:val="0"/>
      <w:marRight w:val="0"/>
      <w:marTop w:val="0"/>
      <w:marBottom w:val="0"/>
      <w:divBdr>
        <w:top w:val="none" w:sz="0" w:space="0" w:color="auto"/>
        <w:left w:val="none" w:sz="0" w:space="0" w:color="auto"/>
        <w:bottom w:val="none" w:sz="0" w:space="0" w:color="auto"/>
        <w:right w:val="none" w:sz="0" w:space="0" w:color="auto"/>
      </w:divBdr>
    </w:div>
    <w:div w:id="970017230">
      <w:bodyDiv w:val="1"/>
      <w:marLeft w:val="0"/>
      <w:marRight w:val="0"/>
      <w:marTop w:val="0"/>
      <w:marBottom w:val="0"/>
      <w:divBdr>
        <w:top w:val="none" w:sz="0" w:space="0" w:color="auto"/>
        <w:left w:val="none" w:sz="0" w:space="0" w:color="auto"/>
        <w:bottom w:val="none" w:sz="0" w:space="0" w:color="auto"/>
        <w:right w:val="none" w:sz="0" w:space="0" w:color="auto"/>
      </w:divBdr>
    </w:div>
    <w:div w:id="1482890469">
      <w:bodyDiv w:val="1"/>
      <w:marLeft w:val="0"/>
      <w:marRight w:val="0"/>
      <w:marTop w:val="0"/>
      <w:marBottom w:val="0"/>
      <w:divBdr>
        <w:top w:val="none" w:sz="0" w:space="0" w:color="auto"/>
        <w:left w:val="none" w:sz="0" w:space="0" w:color="auto"/>
        <w:bottom w:val="none" w:sz="0" w:space="0" w:color="auto"/>
        <w:right w:val="none" w:sz="0" w:space="0" w:color="auto"/>
      </w:divBdr>
    </w:div>
    <w:div w:id="15270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Consultation@ag.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about.au.reachout.com/postal-survey-distress-indisputable-calls-for-calm-2017/" TargetMode="External"/><Relationship Id="rId13" Type="http://schemas.openxmlformats.org/officeDocument/2006/relationships/hyperlink" Target="https://ama.com.au/position-statement/conscientious-objection-2019" TargetMode="External"/><Relationship Id="rId3" Type="http://schemas.openxmlformats.org/officeDocument/2006/relationships/hyperlink" Target="https://www.humanrightscommission.vic.gov.au/home/about-us/action-plans/item/1769-multicultural-and-multifaith-engagement-action-plan" TargetMode="External"/><Relationship Id="rId7" Type="http://schemas.openxmlformats.org/officeDocument/2006/relationships/hyperlink" Target="https://www.hrlc.org.au/reports/end-the-hate" TargetMode="External"/><Relationship Id="rId12" Type="http://schemas.openxmlformats.org/officeDocument/2006/relationships/hyperlink" Target="https://www.humanrights.gov.au/our-work/legal/submission/religious-freedom-bills" TargetMode="External"/><Relationship Id="rId17" Type="http://schemas.openxmlformats.org/officeDocument/2006/relationships/hyperlink" Target="https://www.attorneygeneral.gov.au/Media/Pages/Review-into-the-Framework-of-Religious-Exemptions-in-Anti-discrimination-Legislation-10-april-19.aspx" TargetMode="External"/><Relationship Id="rId2" Type="http://schemas.openxmlformats.org/officeDocument/2006/relationships/hyperlink" Target="https://scanlonfoundation.org.au/current-research/" TargetMode="External"/><Relationship Id="rId16" Type="http://schemas.openxmlformats.org/officeDocument/2006/relationships/hyperlink" Target="https://www.ag.gov.au/RightsAndProtections/HumanRights/Documents/religious-freedom-review-expert-panel-report-2018.pdf" TargetMode="External"/><Relationship Id="rId1" Type="http://schemas.openxmlformats.org/officeDocument/2006/relationships/hyperlink" Target="https://www.humanrightscommission.vic.gov.au/policy-submissions" TargetMode="External"/><Relationship Id="rId6" Type="http://schemas.openxmlformats.org/officeDocument/2006/relationships/hyperlink" Target="https://www.twenty10.org.au/wp-content/uploads/2016/04/Robinson-et-al.-2014-Growing-up-Queer.pdf" TargetMode="External"/><Relationship Id="rId11" Type="http://schemas.openxmlformats.org/officeDocument/2006/relationships/hyperlink" Target="https://www.genvic.org.au/media-releases/gen-vic-supports-the-racial-and-religious-tolerance-amendment-bill-2019/" TargetMode="External"/><Relationship Id="rId5" Type="http://schemas.openxmlformats.org/officeDocument/2006/relationships/hyperlink" Target="https://about.au.reachout.com/postal-survey-distress-indisputable-calls-for-calm-2017/" TargetMode="External"/><Relationship Id="rId15" Type="http://schemas.openxmlformats.org/officeDocument/2006/relationships/hyperlink" Target="https://www.humanrights.gov.au/our-work/legal/submission/religious-freedom-bills" TargetMode="External"/><Relationship Id="rId10" Type="http://schemas.openxmlformats.org/officeDocument/2006/relationships/hyperlink" Target="https://www.humanrightscommission.vic.gov.au/home/news-and-events/commission-news/item/1837-victoria%E2%80%99s-anti-vilification-laws-to-be-reviewed-by-a-parliamentary-committee-of-the-legislative-assembly" TargetMode="External"/><Relationship Id="rId4" Type="http://schemas.openxmlformats.org/officeDocument/2006/relationships/hyperlink" Target="https://www.hrlc.org.au/reports/end-the-hate" TargetMode="External"/><Relationship Id="rId9" Type="http://schemas.openxmlformats.org/officeDocument/2006/relationships/hyperlink" Target="https://www.amnesty.org.au/australia-poll-reveals-alarming-impact-online-abuse-women/" TargetMode="External"/><Relationship Id="rId14" Type="http://schemas.openxmlformats.org/officeDocument/2006/relationships/hyperlink" Target="https://www.skls.org.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F9715-AA64-486B-B635-3A4308F8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5198</Words>
  <Characters>30083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KDFNL KFNASKLNFKASLFNSLK ASLFKNSFL LSKFNASFKLN</vt:lpstr>
    </vt:vector>
  </TitlesOfParts>
  <Company>Dept. of Justice Victoria</Company>
  <LinksUpToDate>false</LinksUpToDate>
  <CharactersWithSpaces>35211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KDFNL KFNASKLNFKASLFNSLK ASLFKNSFL LSKFNASFKLN</dc:title>
  <dc:subject/>
  <dc:creator>Simone Cusack (DJR)</dc:creator>
  <cp:keywords/>
  <dc:description/>
  <cp:lastModifiedBy>Jess S Chandler (DJCS)</cp:lastModifiedBy>
  <cp:revision>6</cp:revision>
  <cp:lastPrinted>2019-10-01T02:39:00Z</cp:lastPrinted>
  <dcterms:created xsi:type="dcterms:W3CDTF">2019-10-02T04:06:00Z</dcterms:created>
  <dcterms:modified xsi:type="dcterms:W3CDTF">2019-10-02T04:37:00Z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