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379B08" w14:textId="77777777" w:rsidR="00443949" w:rsidRPr="00066BDD" w:rsidRDefault="00443949" w:rsidP="00AF4B62">
      <w:pPr>
        <w:pStyle w:val="VEOHRCBodytext"/>
        <w:snapToGrid w:val="0"/>
        <w:spacing w:before="0" w:after="240"/>
        <w:rPr>
          <w:rFonts w:asciiTheme="minorHAnsi" w:hAnsiTheme="minorHAnsi" w:cs="Arial"/>
        </w:rPr>
      </w:pPr>
    </w:p>
    <w:p w14:paraId="26A9C5D0" w14:textId="1CF96D6D" w:rsidR="00D152E5" w:rsidRPr="00066BDD" w:rsidRDefault="00465ADF" w:rsidP="00AF4B62">
      <w:pPr>
        <w:pStyle w:val="VEOHRCBodytext"/>
        <w:snapToGrid w:val="0"/>
        <w:spacing w:before="0" w:after="240"/>
        <w:rPr>
          <w:rFonts w:asciiTheme="minorHAnsi" w:hAnsiTheme="minorHAnsi" w:cs="Arial"/>
        </w:rPr>
      </w:pPr>
      <w:r>
        <w:rPr>
          <w:rFonts w:asciiTheme="minorHAnsi" w:hAnsiTheme="minorHAnsi" w:cs="Arial"/>
        </w:rPr>
        <w:t>21</w:t>
      </w:r>
      <w:r w:rsidR="00363E90" w:rsidRPr="00066BDD">
        <w:rPr>
          <w:rFonts w:asciiTheme="minorHAnsi" w:hAnsiTheme="minorHAnsi" w:cs="Arial"/>
        </w:rPr>
        <w:t xml:space="preserve"> May 2018</w:t>
      </w:r>
    </w:p>
    <w:p w14:paraId="2C8CA202" w14:textId="307DFAFB" w:rsidR="00A722A4" w:rsidRPr="00066BDD" w:rsidRDefault="002F5C5B" w:rsidP="00AF4B62">
      <w:pPr>
        <w:pStyle w:val="VEOHRCBodytext"/>
        <w:snapToGrid w:val="0"/>
        <w:spacing w:before="0" w:after="240"/>
        <w:rPr>
          <w:rFonts w:asciiTheme="minorHAnsi" w:hAnsiTheme="minorHAnsi" w:cs="Arial"/>
        </w:rPr>
      </w:pPr>
      <w:r w:rsidRPr="00066BDD">
        <w:rPr>
          <w:rFonts w:asciiTheme="minorHAnsi" w:hAnsiTheme="minorHAnsi" w:cs="Arial"/>
        </w:rPr>
        <w:t>Lizzie Blandthorn MP</w:t>
      </w:r>
      <w:r w:rsidRPr="00066BDD">
        <w:rPr>
          <w:rFonts w:asciiTheme="minorHAnsi" w:hAnsiTheme="minorHAnsi" w:cs="Arial"/>
        </w:rPr>
        <w:br/>
        <w:t>Chairperson</w:t>
      </w:r>
      <w:r w:rsidRPr="00066BDD">
        <w:rPr>
          <w:rFonts w:asciiTheme="minorHAnsi" w:hAnsiTheme="minorHAnsi" w:cs="Arial"/>
        </w:rPr>
        <w:br/>
      </w:r>
      <w:r w:rsidR="00E844FB" w:rsidRPr="00066BDD">
        <w:rPr>
          <w:rFonts w:asciiTheme="minorHAnsi" w:hAnsiTheme="minorHAnsi" w:cs="Arial"/>
        </w:rPr>
        <w:t xml:space="preserve">Scrutiny of Act and Regulations Committee </w:t>
      </w:r>
      <w:r w:rsidRPr="00066BDD">
        <w:rPr>
          <w:rFonts w:asciiTheme="minorHAnsi" w:hAnsiTheme="minorHAnsi" w:cs="Arial"/>
        </w:rPr>
        <w:br/>
      </w:r>
      <w:r w:rsidRPr="00066BDD">
        <w:rPr>
          <w:rFonts w:asciiTheme="minorHAnsi" w:hAnsiTheme="minorHAnsi" w:cs="Arial"/>
          <w:color w:val="000000"/>
          <w:bdr w:val="none" w:sz="0" w:space="0" w:color="auto" w:frame="1"/>
          <w:shd w:val="clear" w:color="auto" w:fill="FFFFFF"/>
        </w:rPr>
        <w:t>Parliament House, Spring Street</w:t>
      </w:r>
      <w:r w:rsidRPr="00066BDD">
        <w:rPr>
          <w:rFonts w:asciiTheme="minorHAnsi" w:hAnsiTheme="minorHAnsi" w:cs="Arial"/>
          <w:color w:val="000000"/>
          <w:bdr w:val="none" w:sz="0" w:space="0" w:color="auto" w:frame="1"/>
          <w:shd w:val="clear" w:color="auto" w:fill="FFFFFF"/>
        </w:rPr>
        <w:br/>
        <w:t>EAST MELBOURNE</w:t>
      </w:r>
      <w:r w:rsidR="00D152E5" w:rsidRPr="00066BDD">
        <w:rPr>
          <w:rFonts w:asciiTheme="minorHAnsi" w:hAnsiTheme="minorHAnsi" w:cs="Arial"/>
          <w:color w:val="000000"/>
          <w:bdr w:val="none" w:sz="0" w:space="0" w:color="auto" w:frame="1"/>
          <w:shd w:val="clear" w:color="auto" w:fill="FFFFFF"/>
        </w:rPr>
        <w:t xml:space="preserve">, VIC </w:t>
      </w:r>
      <w:r w:rsidRPr="00066BDD">
        <w:rPr>
          <w:rFonts w:asciiTheme="minorHAnsi" w:hAnsiTheme="minorHAnsi" w:cs="Arial"/>
          <w:color w:val="000000"/>
          <w:bdr w:val="none" w:sz="0" w:space="0" w:color="auto" w:frame="1"/>
          <w:shd w:val="clear" w:color="auto" w:fill="FFFFFF"/>
        </w:rPr>
        <w:t>3002</w:t>
      </w:r>
      <w:r w:rsidRPr="00066BDD">
        <w:rPr>
          <w:rFonts w:asciiTheme="minorHAnsi" w:hAnsiTheme="minorHAnsi" w:cs="Arial"/>
        </w:rPr>
        <w:t xml:space="preserve"> </w:t>
      </w:r>
    </w:p>
    <w:p w14:paraId="0E870CDE" w14:textId="6C123F6E" w:rsidR="00A722A4" w:rsidRPr="00066BDD" w:rsidRDefault="00DE4C85" w:rsidP="00AF4B62">
      <w:pPr>
        <w:pStyle w:val="VEOHRCBodytext"/>
        <w:snapToGrid w:val="0"/>
        <w:spacing w:before="0" w:after="240"/>
        <w:rPr>
          <w:rFonts w:asciiTheme="minorHAnsi" w:hAnsiTheme="minorHAnsi" w:cs="Arial"/>
        </w:rPr>
      </w:pPr>
      <w:r w:rsidRPr="00066BDD">
        <w:rPr>
          <w:rFonts w:asciiTheme="minorHAnsi" w:hAnsiTheme="minorHAnsi" w:cs="Arial"/>
        </w:rPr>
        <w:t>By e</w:t>
      </w:r>
      <w:r w:rsidR="00CF546C" w:rsidRPr="00066BDD">
        <w:rPr>
          <w:rFonts w:asciiTheme="minorHAnsi" w:hAnsiTheme="minorHAnsi" w:cs="Arial"/>
        </w:rPr>
        <w:t>mail:</w:t>
      </w:r>
      <w:r w:rsidR="002F5C5B" w:rsidRPr="00066BDD">
        <w:rPr>
          <w:rFonts w:asciiTheme="minorHAnsi" w:hAnsiTheme="minorHAnsi" w:cs="Arial"/>
        </w:rPr>
        <w:t xml:space="preserve"> </w:t>
      </w:r>
      <w:hyperlink r:id="rId8" w:history="1">
        <w:r w:rsidR="00CF546C" w:rsidRPr="00066BDD">
          <w:rPr>
            <w:rStyle w:val="Hyperlink"/>
            <w:rFonts w:asciiTheme="minorHAnsi" w:eastAsia="Times New Roman" w:hAnsiTheme="minorHAnsi" w:cs="Arial"/>
            <w:bdr w:val="none" w:sz="0" w:space="0" w:color="auto" w:frame="1"/>
            <w:shd w:val="clear" w:color="auto" w:fill="FFFFFF"/>
          </w:rPr>
          <w:t>sarc@parliament.vic.gov.au</w:t>
        </w:r>
      </w:hyperlink>
      <w:r w:rsidR="00CF546C" w:rsidRPr="00066BDD">
        <w:rPr>
          <w:rFonts w:asciiTheme="minorHAnsi" w:eastAsia="Times New Roman" w:hAnsiTheme="minorHAnsi" w:cs="Arial"/>
          <w:bdr w:val="none" w:sz="0" w:space="0" w:color="auto" w:frame="1"/>
          <w:shd w:val="clear" w:color="auto" w:fill="FFFFFF"/>
        </w:rPr>
        <w:t xml:space="preserve"> </w:t>
      </w:r>
    </w:p>
    <w:p w14:paraId="6E056428" w14:textId="77777777" w:rsidR="002F5C5B" w:rsidRPr="00066BDD" w:rsidRDefault="002F5C5B" w:rsidP="00AF4B62">
      <w:pPr>
        <w:pStyle w:val="VEOHRCBodytext"/>
        <w:snapToGrid w:val="0"/>
        <w:spacing w:before="0" w:after="240"/>
        <w:rPr>
          <w:rFonts w:asciiTheme="minorHAnsi" w:hAnsiTheme="minorHAnsi" w:cs="Arial"/>
        </w:rPr>
      </w:pPr>
      <w:r w:rsidRPr="00066BDD">
        <w:rPr>
          <w:rFonts w:asciiTheme="minorHAnsi" w:hAnsiTheme="minorHAnsi" w:cs="Arial"/>
        </w:rPr>
        <w:t>Dear Ms Blandtho</w:t>
      </w:r>
      <w:r w:rsidR="00BB6346" w:rsidRPr="00066BDD">
        <w:rPr>
          <w:rFonts w:asciiTheme="minorHAnsi" w:hAnsiTheme="minorHAnsi" w:cs="Arial"/>
        </w:rPr>
        <w:t>r</w:t>
      </w:r>
      <w:r w:rsidRPr="00066BDD">
        <w:rPr>
          <w:rFonts w:asciiTheme="minorHAnsi" w:hAnsiTheme="minorHAnsi" w:cs="Arial"/>
        </w:rPr>
        <w:t>n MP</w:t>
      </w:r>
    </w:p>
    <w:p w14:paraId="5FE0459F" w14:textId="0A22DCB9" w:rsidR="002F5C5B" w:rsidRPr="00066BDD" w:rsidRDefault="002F5C5B" w:rsidP="00AF4B62">
      <w:pPr>
        <w:pStyle w:val="VEOHRCHeading1"/>
        <w:snapToGrid w:val="0"/>
        <w:spacing w:before="0" w:after="240" w:line="240" w:lineRule="auto"/>
        <w:rPr>
          <w:rFonts w:asciiTheme="minorHAnsi" w:eastAsia="Calibri" w:hAnsiTheme="minorHAnsi"/>
          <w:sz w:val="24"/>
          <w:szCs w:val="24"/>
          <w:lang w:val="en-AU"/>
        </w:rPr>
      </w:pPr>
      <w:r w:rsidRPr="00066BDD">
        <w:rPr>
          <w:rFonts w:asciiTheme="minorHAnsi" w:eastAsia="Calibri" w:hAnsiTheme="minorHAnsi"/>
          <w:sz w:val="24"/>
          <w:szCs w:val="24"/>
          <w:lang w:val="en-AU"/>
        </w:rPr>
        <w:t xml:space="preserve">RE: Submission on the </w:t>
      </w:r>
      <w:r w:rsidR="00363E90" w:rsidRPr="00066BDD">
        <w:rPr>
          <w:rFonts w:asciiTheme="minorHAnsi" w:hAnsiTheme="minorHAnsi" w:cs="Arial"/>
          <w:sz w:val="24"/>
          <w:szCs w:val="24"/>
        </w:rPr>
        <w:t>Justice Legislation Amendment (Terrorism) Bill 2018</w:t>
      </w:r>
    </w:p>
    <w:p w14:paraId="39DBBE9A" w14:textId="787BBB30" w:rsidR="00F07BEC" w:rsidRPr="00066BDD" w:rsidRDefault="004D2423" w:rsidP="00AF4B62">
      <w:pPr>
        <w:pStyle w:val="ListParagraph"/>
        <w:numPr>
          <w:ilvl w:val="0"/>
          <w:numId w:val="18"/>
        </w:numPr>
        <w:autoSpaceDE w:val="0"/>
        <w:autoSpaceDN w:val="0"/>
        <w:adjustRightInd w:val="0"/>
        <w:snapToGrid w:val="0"/>
        <w:spacing w:after="240"/>
        <w:ind w:left="357" w:right="-45" w:hanging="357"/>
        <w:contextualSpacing w:val="0"/>
        <w:rPr>
          <w:rFonts w:asciiTheme="minorHAnsi" w:hAnsiTheme="minorHAnsi" w:cs="Arial"/>
        </w:rPr>
      </w:pPr>
      <w:r w:rsidRPr="00066BDD">
        <w:rPr>
          <w:rFonts w:asciiTheme="minorHAnsi" w:eastAsia="Calibri" w:hAnsiTheme="minorHAnsi" w:cs="Arial"/>
          <w:lang w:val="en-AU"/>
        </w:rPr>
        <w:t>The Victorian Equal O</w:t>
      </w:r>
      <w:r w:rsidR="002F5C5B" w:rsidRPr="00066BDD">
        <w:rPr>
          <w:rFonts w:asciiTheme="minorHAnsi" w:eastAsia="Calibri" w:hAnsiTheme="minorHAnsi" w:cs="Arial"/>
          <w:lang w:val="en-AU"/>
        </w:rPr>
        <w:t>pportunity and Human Rights Commission (</w:t>
      </w:r>
      <w:r w:rsidR="00AF7A83" w:rsidRPr="00066BDD">
        <w:rPr>
          <w:rFonts w:asciiTheme="minorHAnsi" w:eastAsia="Calibri" w:hAnsiTheme="minorHAnsi" w:cs="Arial"/>
          <w:b/>
          <w:lang w:val="en-AU"/>
        </w:rPr>
        <w:t xml:space="preserve">the </w:t>
      </w:r>
      <w:r w:rsidR="002F5C5B" w:rsidRPr="00066BDD">
        <w:rPr>
          <w:rFonts w:asciiTheme="minorHAnsi" w:eastAsia="Calibri" w:hAnsiTheme="minorHAnsi" w:cs="Arial"/>
          <w:b/>
          <w:lang w:val="en-AU"/>
        </w:rPr>
        <w:t>Commission</w:t>
      </w:r>
      <w:r w:rsidR="002F5C5B" w:rsidRPr="00066BDD">
        <w:rPr>
          <w:rFonts w:asciiTheme="minorHAnsi" w:eastAsia="Calibri" w:hAnsiTheme="minorHAnsi" w:cs="Arial"/>
          <w:lang w:val="en-AU"/>
        </w:rPr>
        <w:t>) seek</w:t>
      </w:r>
      <w:r w:rsidR="0077677C" w:rsidRPr="00066BDD">
        <w:rPr>
          <w:rFonts w:asciiTheme="minorHAnsi" w:eastAsia="Calibri" w:hAnsiTheme="minorHAnsi" w:cs="Arial"/>
          <w:lang w:val="en-AU"/>
        </w:rPr>
        <w:t>s</w:t>
      </w:r>
      <w:r w:rsidR="002F5C5B" w:rsidRPr="00066BDD">
        <w:rPr>
          <w:rFonts w:asciiTheme="minorHAnsi" w:eastAsia="Calibri" w:hAnsiTheme="minorHAnsi" w:cs="Arial"/>
          <w:lang w:val="en-AU"/>
        </w:rPr>
        <w:t xml:space="preserve"> to contribute to the Scrutiny of Acts and Regulations Committee’s (</w:t>
      </w:r>
      <w:r w:rsidR="00EE6F0E" w:rsidRPr="00066BDD">
        <w:rPr>
          <w:rFonts w:asciiTheme="minorHAnsi" w:eastAsia="Calibri" w:hAnsiTheme="minorHAnsi" w:cs="Arial"/>
          <w:b/>
          <w:lang w:val="en-AU"/>
        </w:rPr>
        <w:t>SARC</w:t>
      </w:r>
      <w:r w:rsidR="002F5C5B" w:rsidRPr="00661CD2">
        <w:rPr>
          <w:rFonts w:asciiTheme="minorHAnsi" w:eastAsia="Calibri" w:hAnsiTheme="minorHAnsi" w:cs="Arial"/>
          <w:lang w:val="en-AU"/>
        </w:rPr>
        <w:t>)</w:t>
      </w:r>
      <w:r w:rsidR="002F5C5B" w:rsidRPr="00066BDD">
        <w:rPr>
          <w:rFonts w:asciiTheme="minorHAnsi" w:eastAsia="Calibri" w:hAnsiTheme="minorHAnsi" w:cs="Arial"/>
          <w:lang w:val="en-AU"/>
        </w:rPr>
        <w:t xml:space="preserve"> consideration of the </w:t>
      </w:r>
      <w:r w:rsidR="00363E90" w:rsidRPr="00066BDD">
        <w:rPr>
          <w:rFonts w:asciiTheme="minorHAnsi" w:hAnsiTheme="minorHAnsi" w:cs="Arial"/>
          <w:bCs/>
        </w:rPr>
        <w:t>Justice Legislation Amendment (Terrorism) Bill 2018</w:t>
      </w:r>
      <w:r w:rsidR="002F5C5B" w:rsidRPr="00066BDD">
        <w:rPr>
          <w:rFonts w:asciiTheme="minorHAnsi" w:eastAsia="Calibri" w:hAnsiTheme="minorHAnsi" w:cs="Arial"/>
          <w:lang w:val="en-AU"/>
        </w:rPr>
        <w:t xml:space="preserve"> (</w:t>
      </w:r>
      <w:r w:rsidR="00F07BEC" w:rsidRPr="00066BDD">
        <w:rPr>
          <w:rFonts w:asciiTheme="minorHAnsi" w:eastAsia="Calibri" w:hAnsiTheme="minorHAnsi" w:cs="Arial"/>
          <w:b/>
          <w:lang w:val="en-AU"/>
        </w:rPr>
        <w:t xml:space="preserve">the </w:t>
      </w:r>
      <w:r w:rsidR="0077677C" w:rsidRPr="00066BDD">
        <w:rPr>
          <w:rFonts w:asciiTheme="minorHAnsi" w:eastAsia="Calibri" w:hAnsiTheme="minorHAnsi" w:cs="Arial"/>
          <w:b/>
          <w:lang w:val="en-AU"/>
        </w:rPr>
        <w:t>B</w:t>
      </w:r>
      <w:r w:rsidR="002F5C5B" w:rsidRPr="00066BDD">
        <w:rPr>
          <w:rFonts w:asciiTheme="minorHAnsi" w:eastAsia="Calibri" w:hAnsiTheme="minorHAnsi" w:cs="Arial"/>
          <w:b/>
          <w:lang w:val="en-AU"/>
        </w:rPr>
        <w:t>ill</w:t>
      </w:r>
      <w:r w:rsidR="002F5C5B" w:rsidRPr="00066BDD">
        <w:rPr>
          <w:rFonts w:asciiTheme="minorHAnsi" w:eastAsia="Calibri" w:hAnsiTheme="minorHAnsi" w:cs="Arial"/>
          <w:lang w:val="en-AU"/>
        </w:rPr>
        <w:t xml:space="preserve">). The </w:t>
      </w:r>
      <w:r w:rsidR="00BB6346" w:rsidRPr="00066BDD">
        <w:rPr>
          <w:rFonts w:asciiTheme="minorHAnsi" w:eastAsia="Calibri" w:hAnsiTheme="minorHAnsi" w:cs="Arial"/>
          <w:lang w:val="en-AU"/>
        </w:rPr>
        <w:t>B</w:t>
      </w:r>
      <w:r w:rsidR="002F5C5B" w:rsidRPr="00066BDD">
        <w:rPr>
          <w:rFonts w:asciiTheme="minorHAnsi" w:eastAsia="Calibri" w:hAnsiTheme="minorHAnsi" w:cs="Arial"/>
          <w:lang w:val="en-AU"/>
        </w:rPr>
        <w:t>ill was introduced to the Legislative Assembly on</w:t>
      </w:r>
      <w:r w:rsidR="00363E90" w:rsidRPr="00066BDD">
        <w:rPr>
          <w:rFonts w:asciiTheme="minorHAnsi" w:eastAsia="Calibri" w:hAnsiTheme="minorHAnsi" w:cs="Arial"/>
          <w:lang w:val="en-AU"/>
        </w:rPr>
        <w:t xml:space="preserve"> 10 May 2018</w:t>
      </w:r>
      <w:r w:rsidR="002F5C5B" w:rsidRPr="00066BDD">
        <w:rPr>
          <w:rFonts w:asciiTheme="minorHAnsi" w:eastAsia="Calibri" w:hAnsiTheme="minorHAnsi" w:cs="Arial"/>
          <w:lang w:val="en-AU"/>
        </w:rPr>
        <w:t xml:space="preserve">. </w:t>
      </w:r>
      <w:r w:rsidR="00F07BEC" w:rsidRPr="00066BDD">
        <w:rPr>
          <w:rFonts w:asciiTheme="minorHAnsi" w:hAnsiTheme="minorHAnsi" w:cs="Arial"/>
          <w:lang w:val="en-AU"/>
        </w:rPr>
        <w:t xml:space="preserve">The </w:t>
      </w:r>
      <w:r w:rsidR="0077677C" w:rsidRPr="00066BDD">
        <w:rPr>
          <w:rFonts w:asciiTheme="minorHAnsi" w:hAnsiTheme="minorHAnsi" w:cs="Arial"/>
          <w:lang w:val="en-AU"/>
        </w:rPr>
        <w:t>B</w:t>
      </w:r>
      <w:r w:rsidR="00F07BEC" w:rsidRPr="00066BDD">
        <w:rPr>
          <w:rFonts w:asciiTheme="minorHAnsi" w:hAnsiTheme="minorHAnsi" w:cs="Arial"/>
          <w:lang w:val="en-AU"/>
        </w:rPr>
        <w:t>ill proposes to make a number of amendments to a variety of legislative instruments including the</w:t>
      </w:r>
      <w:r w:rsidR="00363E90" w:rsidRPr="00066BDD">
        <w:rPr>
          <w:rFonts w:asciiTheme="minorHAnsi" w:hAnsiTheme="minorHAnsi" w:cs="Arial"/>
          <w:lang w:val="en-AU"/>
        </w:rPr>
        <w:t xml:space="preserve"> </w:t>
      </w:r>
      <w:r w:rsidR="00363E90" w:rsidRPr="00066BDD">
        <w:rPr>
          <w:rFonts w:asciiTheme="minorHAnsi" w:hAnsiTheme="minorHAnsi"/>
          <w:i/>
        </w:rPr>
        <w:t>Terrorism (Community Protection) Act 2003</w:t>
      </w:r>
      <w:r w:rsidR="00363E90" w:rsidRPr="00066BDD">
        <w:rPr>
          <w:rFonts w:asciiTheme="minorHAnsi" w:hAnsiTheme="minorHAnsi" w:cs="Arial"/>
          <w:lang w:val="en-AU"/>
        </w:rPr>
        <w:t xml:space="preserve"> </w:t>
      </w:r>
      <w:r w:rsidR="00363E90" w:rsidRPr="00066BDD">
        <w:rPr>
          <w:rFonts w:asciiTheme="minorHAnsi" w:hAnsiTheme="minorHAnsi"/>
        </w:rPr>
        <w:t xml:space="preserve">and the </w:t>
      </w:r>
      <w:r w:rsidR="00F07BEC" w:rsidRPr="00066BDD">
        <w:rPr>
          <w:rFonts w:asciiTheme="minorHAnsi" w:hAnsiTheme="minorHAnsi" w:cs="Arial"/>
          <w:i/>
          <w:lang w:val="en-AU"/>
        </w:rPr>
        <w:t>Crimes Act 1958</w:t>
      </w:r>
      <w:r w:rsidR="00363E90" w:rsidRPr="00066BDD">
        <w:rPr>
          <w:rFonts w:asciiTheme="minorHAnsi" w:hAnsiTheme="minorHAnsi" w:cs="Arial"/>
          <w:i/>
          <w:lang w:val="en-AU"/>
        </w:rPr>
        <w:t>.</w:t>
      </w:r>
    </w:p>
    <w:p w14:paraId="3E2BEB9E" w14:textId="522E27F1" w:rsidR="00B016EC" w:rsidRPr="00066BDD" w:rsidRDefault="00A722A4" w:rsidP="00AF4B62">
      <w:pPr>
        <w:pStyle w:val="ListParagraph"/>
        <w:numPr>
          <w:ilvl w:val="0"/>
          <w:numId w:val="18"/>
        </w:numPr>
        <w:autoSpaceDE w:val="0"/>
        <w:autoSpaceDN w:val="0"/>
        <w:adjustRightInd w:val="0"/>
        <w:snapToGrid w:val="0"/>
        <w:spacing w:after="240"/>
        <w:ind w:left="357" w:right="-45" w:hanging="357"/>
        <w:contextualSpacing w:val="0"/>
        <w:rPr>
          <w:rFonts w:asciiTheme="minorHAnsi" w:hAnsiTheme="minorHAnsi" w:cs="Arial"/>
          <w:lang w:val="en-AU"/>
        </w:rPr>
      </w:pPr>
      <w:r w:rsidRPr="00066BDD">
        <w:rPr>
          <w:rFonts w:asciiTheme="minorHAnsi" w:eastAsia="Calibri" w:hAnsiTheme="minorHAnsi" w:cs="Arial"/>
          <w:lang w:val="en-AU"/>
        </w:rPr>
        <w:t>S</w:t>
      </w:r>
      <w:r w:rsidR="00AE73E2" w:rsidRPr="00066BDD">
        <w:rPr>
          <w:rFonts w:asciiTheme="minorHAnsi" w:eastAsia="Calibri" w:hAnsiTheme="minorHAnsi" w:cs="Arial"/>
          <w:lang w:val="en-AU"/>
        </w:rPr>
        <w:t>ARC</w:t>
      </w:r>
      <w:r w:rsidR="002F5C5B" w:rsidRPr="00066BDD">
        <w:rPr>
          <w:rFonts w:asciiTheme="minorHAnsi" w:eastAsia="Calibri" w:hAnsiTheme="minorHAnsi" w:cs="Arial"/>
          <w:lang w:val="en-AU"/>
        </w:rPr>
        <w:t xml:space="preserve"> has a</w:t>
      </w:r>
      <w:r w:rsidR="00AE73E2" w:rsidRPr="00066BDD">
        <w:rPr>
          <w:rFonts w:asciiTheme="minorHAnsi" w:eastAsia="Calibri" w:hAnsiTheme="minorHAnsi" w:cs="Arial"/>
          <w:lang w:val="en-AU"/>
        </w:rPr>
        <w:t>n important</w:t>
      </w:r>
      <w:r w:rsidR="002F5C5B" w:rsidRPr="00066BDD">
        <w:rPr>
          <w:rFonts w:asciiTheme="minorHAnsi" w:eastAsia="Calibri" w:hAnsiTheme="minorHAnsi" w:cs="Arial"/>
          <w:lang w:val="en-AU"/>
        </w:rPr>
        <w:t xml:space="preserve"> role in considering and reporting on whether </w:t>
      </w:r>
      <w:r w:rsidR="00137C5C" w:rsidRPr="00066BDD">
        <w:rPr>
          <w:rFonts w:asciiTheme="minorHAnsi" w:eastAsia="Calibri" w:hAnsiTheme="minorHAnsi" w:cs="Arial"/>
          <w:lang w:val="en-AU"/>
        </w:rPr>
        <w:t>B</w:t>
      </w:r>
      <w:r w:rsidR="002F5C5B" w:rsidRPr="00066BDD">
        <w:rPr>
          <w:rFonts w:asciiTheme="minorHAnsi" w:eastAsia="Calibri" w:hAnsiTheme="minorHAnsi" w:cs="Arial"/>
          <w:lang w:val="en-AU"/>
        </w:rPr>
        <w:t xml:space="preserve">ills introduced into Parliament are compatible with the </w:t>
      </w:r>
      <w:r w:rsidR="002F5C5B" w:rsidRPr="00066BDD">
        <w:rPr>
          <w:rFonts w:asciiTheme="minorHAnsi" w:eastAsia="Calibri" w:hAnsiTheme="minorHAnsi" w:cs="Arial"/>
          <w:i/>
          <w:lang w:val="en-AU"/>
        </w:rPr>
        <w:t xml:space="preserve">Charter of Human Rights and Responsibilities Act 2006 </w:t>
      </w:r>
      <w:r w:rsidR="002F5C5B" w:rsidRPr="00066BDD">
        <w:rPr>
          <w:rFonts w:asciiTheme="minorHAnsi" w:eastAsia="Calibri" w:hAnsiTheme="minorHAnsi" w:cs="Arial"/>
          <w:lang w:val="en-AU"/>
        </w:rPr>
        <w:t>(</w:t>
      </w:r>
      <w:r w:rsidR="005E678D" w:rsidRPr="00066BDD">
        <w:rPr>
          <w:rFonts w:asciiTheme="minorHAnsi" w:eastAsia="Calibri" w:hAnsiTheme="minorHAnsi" w:cs="Arial"/>
          <w:b/>
          <w:bCs/>
          <w:lang w:val="en-AU"/>
        </w:rPr>
        <w:t xml:space="preserve">the </w:t>
      </w:r>
      <w:r w:rsidR="002F5C5B" w:rsidRPr="00066BDD">
        <w:rPr>
          <w:rFonts w:asciiTheme="minorHAnsi" w:eastAsia="Calibri" w:hAnsiTheme="minorHAnsi" w:cs="Arial"/>
          <w:b/>
          <w:bCs/>
          <w:lang w:val="en-AU"/>
        </w:rPr>
        <w:t>Charter</w:t>
      </w:r>
      <w:r w:rsidR="002F5C5B" w:rsidRPr="00066BDD">
        <w:rPr>
          <w:rFonts w:asciiTheme="minorHAnsi" w:eastAsia="Calibri" w:hAnsiTheme="minorHAnsi" w:cs="Arial"/>
          <w:lang w:val="en-AU"/>
        </w:rPr>
        <w:t xml:space="preserve">). </w:t>
      </w:r>
    </w:p>
    <w:p w14:paraId="35FAE5CA" w14:textId="5AD6A408" w:rsidR="00AE73E2" w:rsidRPr="00066BDD" w:rsidRDefault="00FA31DE" w:rsidP="00AF4B62">
      <w:pPr>
        <w:pStyle w:val="ListParagraph"/>
        <w:numPr>
          <w:ilvl w:val="0"/>
          <w:numId w:val="18"/>
        </w:numPr>
        <w:autoSpaceDE w:val="0"/>
        <w:autoSpaceDN w:val="0"/>
        <w:adjustRightInd w:val="0"/>
        <w:snapToGrid w:val="0"/>
        <w:spacing w:after="240"/>
        <w:ind w:left="357" w:right="-45" w:hanging="357"/>
        <w:contextualSpacing w:val="0"/>
        <w:rPr>
          <w:rFonts w:asciiTheme="minorHAnsi" w:hAnsiTheme="minorHAnsi" w:cs="Arial"/>
          <w:lang w:val="en-AU"/>
        </w:rPr>
      </w:pPr>
      <w:r w:rsidRPr="00066BDD">
        <w:rPr>
          <w:rFonts w:asciiTheme="minorHAnsi" w:eastAsia="Calibri" w:hAnsiTheme="minorHAnsi" w:cs="Arial"/>
          <w:lang w:val="en-AU"/>
        </w:rPr>
        <w:t xml:space="preserve">As </w:t>
      </w:r>
      <w:r w:rsidR="002F5C5B" w:rsidRPr="00066BDD">
        <w:rPr>
          <w:rFonts w:asciiTheme="minorHAnsi" w:hAnsiTheme="minorHAnsi" w:cs="Arial"/>
          <w:lang w:val="en-AU"/>
        </w:rPr>
        <w:t xml:space="preserve">Victoria’s independent statutory human rights authority </w:t>
      </w:r>
      <w:r w:rsidRPr="00066BDD">
        <w:rPr>
          <w:rFonts w:asciiTheme="minorHAnsi" w:hAnsiTheme="minorHAnsi" w:cs="Arial"/>
          <w:iCs/>
          <w:lang w:val="en-AU"/>
        </w:rPr>
        <w:t xml:space="preserve">the Commission </w:t>
      </w:r>
      <w:r w:rsidR="0077677C" w:rsidRPr="00066BDD">
        <w:rPr>
          <w:rFonts w:asciiTheme="minorHAnsi" w:hAnsiTheme="minorHAnsi" w:cs="Arial"/>
          <w:iCs/>
          <w:lang w:val="en-AU"/>
        </w:rPr>
        <w:t>wishes to draw to SARC’s attention some of the potential human rights impacts that the Bill’s proposed reforms will have on children</w:t>
      </w:r>
      <w:r w:rsidR="00D51C0B">
        <w:rPr>
          <w:rFonts w:asciiTheme="minorHAnsi" w:hAnsiTheme="minorHAnsi" w:cs="Arial"/>
          <w:iCs/>
          <w:lang w:val="en-AU"/>
        </w:rPr>
        <w:t xml:space="preserve"> and vulnerable</w:t>
      </w:r>
      <w:r w:rsidR="0058638D">
        <w:rPr>
          <w:rFonts w:asciiTheme="minorHAnsi" w:hAnsiTheme="minorHAnsi" w:cs="Arial"/>
          <w:iCs/>
          <w:lang w:val="en-AU"/>
        </w:rPr>
        <w:t xml:space="preserve"> persons</w:t>
      </w:r>
      <w:r w:rsidR="0077677C" w:rsidRPr="00066BDD">
        <w:rPr>
          <w:rFonts w:asciiTheme="minorHAnsi" w:hAnsiTheme="minorHAnsi" w:cs="Arial"/>
          <w:iCs/>
          <w:lang w:val="en-AU"/>
        </w:rPr>
        <w:t>.</w:t>
      </w:r>
      <w:r w:rsidR="00AE73E2" w:rsidRPr="00066BDD">
        <w:rPr>
          <w:rFonts w:asciiTheme="minorHAnsi" w:hAnsiTheme="minorHAnsi" w:cs="Arial"/>
          <w:lang w:val="en-AU"/>
        </w:rPr>
        <w:t xml:space="preserve"> </w:t>
      </w:r>
      <w:r w:rsidRPr="00066BDD">
        <w:rPr>
          <w:rFonts w:asciiTheme="minorHAnsi" w:eastAsia="Calibri" w:hAnsiTheme="minorHAnsi" w:cs="Arial"/>
          <w:lang w:val="en-AU"/>
        </w:rPr>
        <w:t xml:space="preserve">We invite SARC to consider this submission and to publish </w:t>
      </w:r>
      <w:r w:rsidR="004570F7" w:rsidRPr="00066BDD">
        <w:rPr>
          <w:rFonts w:asciiTheme="minorHAnsi" w:eastAsia="Calibri" w:hAnsiTheme="minorHAnsi" w:cs="Arial"/>
          <w:lang w:val="en-AU"/>
        </w:rPr>
        <w:t xml:space="preserve">the submission </w:t>
      </w:r>
      <w:r w:rsidR="0058638D">
        <w:rPr>
          <w:rFonts w:asciiTheme="minorHAnsi" w:eastAsia="Calibri" w:hAnsiTheme="minorHAnsi" w:cs="Arial"/>
          <w:lang w:val="en-AU"/>
        </w:rPr>
        <w:t xml:space="preserve">on its </w:t>
      </w:r>
      <w:r w:rsidRPr="00066BDD">
        <w:rPr>
          <w:rFonts w:asciiTheme="minorHAnsi" w:eastAsia="Calibri" w:hAnsiTheme="minorHAnsi" w:cs="Arial"/>
          <w:lang w:val="en-AU"/>
        </w:rPr>
        <w:t>website.</w:t>
      </w:r>
    </w:p>
    <w:p w14:paraId="754E449B" w14:textId="77777777" w:rsidR="009656C9" w:rsidRPr="00066BDD" w:rsidRDefault="009656C9" w:rsidP="00AF4B62">
      <w:pPr>
        <w:pStyle w:val="ListParagraph"/>
        <w:numPr>
          <w:ilvl w:val="0"/>
          <w:numId w:val="18"/>
        </w:numPr>
        <w:autoSpaceDE w:val="0"/>
        <w:autoSpaceDN w:val="0"/>
        <w:adjustRightInd w:val="0"/>
        <w:snapToGrid w:val="0"/>
        <w:spacing w:after="240"/>
        <w:ind w:left="357" w:right="-45" w:hanging="357"/>
        <w:contextualSpacing w:val="0"/>
        <w:rPr>
          <w:rFonts w:asciiTheme="minorHAnsi" w:hAnsiTheme="minorHAnsi" w:cs="Arial"/>
          <w:lang w:val="en-AU"/>
        </w:rPr>
      </w:pPr>
      <w:r w:rsidRPr="00066BDD">
        <w:rPr>
          <w:rFonts w:asciiTheme="minorHAnsi" w:hAnsiTheme="minorHAnsi" w:cs="Arial"/>
          <w:lang w:val="en-AU"/>
        </w:rPr>
        <w:t xml:space="preserve">In </w:t>
      </w:r>
      <w:proofErr w:type="gramStart"/>
      <w:r w:rsidRPr="00066BDD">
        <w:rPr>
          <w:rFonts w:asciiTheme="minorHAnsi" w:hAnsiTheme="minorHAnsi" w:cs="Arial"/>
          <w:lang w:val="en-AU"/>
        </w:rPr>
        <w:t>summary</w:t>
      </w:r>
      <w:proofErr w:type="gramEnd"/>
      <w:r w:rsidRPr="00066BDD">
        <w:rPr>
          <w:rFonts w:asciiTheme="minorHAnsi" w:hAnsiTheme="minorHAnsi" w:cs="Arial"/>
          <w:lang w:val="en-AU"/>
        </w:rPr>
        <w:t xml:space="preserve"> the Commission </w:t>
      </w:r>
      <w:r w:rsidR="0077677C" w:rsidRPr="00066BDD">
        <w:rPr>
          <w:rFonts w:asciiTheme="minorHAnsi" w:hAnsiTheme="minorHAnsi" w:cs="Arial"/>
          <w:lang w:val="en-AU"/>
        </w:rPr>
        <w:t xml:space="preserve">makes </w:t>
      </w:r>
      <w:r w:rsidRPr="00066BDD">
        <w:rPr>
          <w:rFonts w:asciiTheme="minorHAnsi" w:hAnsiTheme="minorHAnsi" w:cs="Arial"/>
          <w:lang w:val="en-AU"/>
        </w:rPr>
        <w:t xml:space="preserve">the following </w:t>
      </w:r>
      <w:r w:rsidR="0077677C" w:rsidRPr="00066BDD">
        <w:rPr>
          <w:rFonts w:asciiTheme="minorHAnsi" w:hAnsiTheme="minorHAnsi" w:cs="Arial"/>
          <w:lang w:val="en-AU"/>
        </w:rPr>
        <w:t>points</w:t>
      </w:r>
      <w:r w:rsidRPr="00066BDD">
        <w:rPr>
          <w:rFonts w:asciiTheme="minorHAnsi" w:hAnsiTheme="minorHAnsi" w:cs="Arial"/>
          <w:lang w:val="en-AU"/>
        </w:rPr>
        <w:t>:</w:t>
      </w:r>
    </w:p>
    <w:p w14:paraId="13AA54F3" w14:textId="511D9C52" w:rsidR="0069659D" w:rsidRDefault="00D51C0B" w:rsidP="0069659D">
      <w:pPr>
        <w:numPr>
          <w:ilvl w:val="0"/>
          <w:numId w:val="16"/>
        </w:numPr>
        <w:autoSpaceDE w:val="0"/>
        <w:autoSpaceDN w:val="0"/>
        <w:adjustRightInd w:val="0"/>
        <w:snapToGrid w:val="0"/>
        <w:spacing w:after="240"/>
        <w:ind w:right="-46"/>
        <w:rPr>
          <w:rFonts w:asciiTheme="minorHAnsi" w:hAnsiTheme="minorHAnsi" w:cs="Arial"/>
          <w:lang w:val="en-AU"/>
        </w:rPr>
      </w:pPr>
      <w:r>
        <w:rPr>
          <w:rFonts w:asciiTheme="minorHAnsi" w:hAnsiTheme="minorHAnsi" w:cs="Arial"/>
          <w:lang w:val="en-AU"/>
        </w:rPr>
        <w:t>The Commission acknowledges the importance of effective laws that protect the community from the threat of te</w:t>
      </w:r>
      <w:r w:rsidR="0069659D">
        <w:rPr>
          <w:rFonts w:asciiTheme="minorHAnsi" w:hAnsiTheme="minorHAnsi" w:cs="Arial"/>
          <w:lang w:val="en-AU"/>
        </w:rPr>
        <w:t xml:space="preserve">rrorism and violent extremism, but notes the importance of ensuring these laws are not disproportionate to the risks they pose to fundamental rights. </w:t>
      </w:r>
    </w:p>
    <w:p w14:paraId="02B38BB7" w14:textId="3DC90F1B" w:rsidR="005A6B73" w:rsidRPr="0069659D" w:rsidRDefault="0069659D" w:rsidP="0069659D">
      <w:pPr>
        <w:numPr>
          <w:ilvl w:val="0"/>
          <w:numId w:val="16"/>
        </w:numPr>
        <w:autoSpaceDE w:val="0"/>
        <w:autoSpaceDN w:val="0"/>
        <w:adjustRightInd w:val="0"/>
        <w:snapToGrid w:val="0"/>
        <w:spacing w:after="240"/>
        <w:ind w:right="-46"/>
        <w:rPr>
          <w:rFonts w:asciiTheme="minorHAnsi" w:hAnsiTheme="minorHAnsi" w:cs="Arial"/>
          <w:lang w:val="en-AU"/>
        </w:rPr>
      </w:pPr>
      <w:r>
        <w:rPr>
          <w:rFonts w:asciiTheme="minorHAnsi" w:hAnsiTheme="minorHAnsi" w:cs="Arial"/>
          <w:lang w:val="en-AU"/>
        </w:rPr>
        <w:t>The Commission</w:t>
      </w:r>
      <w:r w:rsidRPr="0069659D">
        <w:rPr>
          <w:rFonts w:asciiTheme="minorHAnsi" w:hAnsiTheme="minorHAnsi" w:cs="Arial"/>
          <w:lang w:val="en-AU"/>
        </w:rPr>
        <w:t xml:space="preserve"> </w:t>
      </w:r>
      <w:r w:rsidR="005A6B73" w:rsidRPr="0069659D">
        <w:rPr>
          <w:rFonts w:asciiTheme="minorHAnsi" w:hAnsiTheme="minorHAnsi" w:cs="Arial"/>
          <w:lang w:val="en-AU"/>
        </w:rPr>
        <w:t xml:space="preserve">notes that the Bill implements many of the recommendations to improve Victoria’s counter-terrorism framework made by the </w:t>
      </w:r>
      <w:r w:rsidR="00C00865" w:rsidRPr="0069659D">
        <w:rPr>
          <w:rFonts w:asciiTheme="minorHAnsi" w:hAnsiTheme="minorHAnsi" w:cs="Arial"/>
          <w:lang w:val="en-AU"/>
        </w:rPr>
        <w:t>Panel</w:t>
      </w:r>
      <w:r w:rsidR="005A6B73" w:rsidRPr="0069659D">
        <w:rPr>
          <w:rFonts w:asciiTheme="minorHAnsi" w:hAnsiTheme="minorHAnsi" w:cs="Arial"/>
          <w:lang w:val="en-AU"/>
        </w:rPr>
        <w:t xml:space="preserve"> on Terrorism and Violent Extremism Prevention and Response Powers (</w:t>
      </w:r>
      <w:r w:rsidR="003718E2">
        <w:rPr>
          <w:rFonts w:asciiTheme="minorHAnsi" w:hAnsiTheme="minorHAnsi" w:cs="Arial"/>
          <w:b/>
          <w:lang w:val="en-AU"/>
        </w:rPr>
        <w:t>t</w:t>
      </w:r>
      <w:r w:rsidR="005A6B73" w:rsidRPr="0069659D">
        <w:rPr>
          <w:rFonts w:asciiTheme="minorHAnsi" w:hAnsiTheme="minorHAnsi" w:cs="Arial"/>
          <w:b/>
          <w:lang w:val="en-AU"/>
        </w:rPr>
        <w:t xml:space="preserve">he </w:t>
      </w:r>
      <w:r w:rsidR="00C00865" w:rsidRPr="0069659D">
        <w:rPr>
          <w:rFonts w:asciiTheme="minorHAnsi" w:hAnsiTheme="minorHAnsi" w:cs="Arial"/>
          <w:b/>
          <w:lang w:val="en-AU"/>
        </w:rPr>
        <w:t>Panel</w:t>
      </w:r>
      <w:r w:rsidR="005A6B73" w:rsidRPr="0069659D">
        <w:rPr>
          <w:rFonts w:asciiTheme="minorHAnsi" w:hAnsiTheme="minorHAnsi" w:cs="Arial"/>
          <w:lang w:val="en-AU"/>
        </w:rPr>
        <w:t>)</w:t>
      </w:r>
      <w:r w:rsidR="00465ADF" w:rsidRPr="0069659D">
        <w:rPr>
          <w:rFonts w:asciiTheme="minorHAnsi" w:hAnsiTheme="minorHAnsi" w:cs="Arial"/>
          <w:lang w:val="en-AU"/>
        </w:rPr>
        <w:t xml:space="preserve">. </w:t>
      </w:r>
    </w:p>
    <w:p w14:paraId="58250126" w14:textId="5792902A" w:rsidR="00711635" w:rsidRDefault="00711635" w:rsidP="00AF4B62">
      <w:pPr>
        <w:numPr>
          <w:ilvl w:val="0"/>
          <w:numId w:val="16"/>
        </w:numPr>
        <w:autoSpaceDE w:val="0"/>
        <w:autoSpaceDN w:val="0"/>
        <w:adjustRightInd w:val="0"/>
        <w:snapToGrid w:val="0"/>
        <w:spacing w:after="240"/>
        <w:ind w:right="-46"/>
        <w:rPr>
          <w:rFonts w:asciiTheme="minorHAnsi" w:hAnsiTheme="minorHAnsi" w:cs="Arial"/>
          <w:lang w:val="en-AU"/>
        </w:rPr>
      </w:pPr>
      <w:r>
        <w:rPr>
          <w:rFonts w:asciiTheme="minorHAnsi" w:hAnsiTheme="minorHAnsi" w:cs="Arial"/>
          <w:lang w:val="en-AU"/>
        </w:rPr>
        <w:lastRenderedPageBreak/>
        <w:t>The Commission shares the Panel’s concerns regarding extending the Preventative Detention Scheme to children as young as 14, and is concerned that some of the important safeguards the Pa</w:t>
      </w:r>
      <w:r w:rsidR="003F0215">
        <w:rPr>
          <w:rFonts w:asciiTheme="minorHAnsi" w:hAnsiTheme="minorHAnsi" w:cs="Arial"/>
          <w:lang w:val="en-AU"/>
        </w:rPr>
        <w:t xml:space="preserve">nel recommended to protect </w:t>
      </w:r>
      <w:r>
        <w:rPr>
          <w:rFonts w:asciiTheme="minorHAnsi" w:hAnsiTheme="minorHAnsi" w:cs="Arial"/>
          <w:lang w:val="en-AU"/>
        </w:rPr>
        <w:t xml:space="preserve">children in this scheme have not been included in the Bill. These are the Panel’s Recommendations 22 and 23 of its Report 2. </w:t>
      </w:r>
    </w:p>
    <w:p w14:paraId="0FF4102E" w14:textId="0973664D" w:rsidR="00EC36D8" w:rsidRDefault="00D50C13" w:rsidP="00AF4B62">
      <w:pPr>
        <w:numPr>
          <w:ilvl w:val="0"/>
          <w:numId w:val="16"/>
        </w:numPr>
        <w:autoSpaceDE w:val="0"/>
        <w:autoSpaceDN w:val="0"/>
        <w:adjustRightInd w:val="0"/>
        <w:snapToGrid w:val="0"/>
        <w:spacing w:after="240"/>
        <w:ind w:right="-46"/>
        <w:rPr>
          <w:rFonts w:asciiTheme="minorHAnsi" w:hAnsiTheme="minorHAnsi" w:cs="Arial"/>
          <w:lang w:val="en-AU"/>
        </w:rPr>
      </w:pPr>
      <w:r>
        <w:rPr>
          <w:rFonts w:asciiTheme="minorHAnsi" w:hAnsiTheme="minorHAnsi" w:cs="Arial"/>
          <w:lang w:val="en-AU"/>
        </w:rPr>
        <w:t xml:space="preserve">The Commission is concerned that the </w:t>
      </w:r>
      <w:r w:rsidR="0015072F">
        <w:rPr>
          <w:rFonts w:asciiTheme="minorHAnsi" w:hAnsiTheme="minorHAnsi" w:cs="Arial"/>
          <w:lang w:val="en-AU"/>
        </w:rPr>
        <w:t>Bill does not include the Panel’s Recommendation 2</w:t>
      </w:r>
      <w:r w:rsidR="00EA4574">
        <w:rPr>
          <w:rFonts w:asciiTheme="minorHAnsi" w:hAnsiTheme="minorHAnsi" w:cs="Arial"/>
          <w:lang w:val="en-AU"/>
        </w:rPr>
        <w:t xml:space="preserve"> of its Report 1</w:t>
      </w:r>
      <w:r w:rsidR="0015072F">
        <w:rPr>
          <w:rFonts w:asciiTheme="minorHAnsi" w:hAnsiTheme="minorHAnsi" w:cs="Arial"/>
          <w:lang w:val="en-AU"/>
        </w:rPr>
        <w:t xml:space="preserve"> as it relates to the safeguards within the </w:t>
      </w:r>
      <w:r>
        <w:rPr>
          <w:rFonts w:asciiTheme="minorHAnsi" w:hAnsiTheme="minorHAnsi" w:cs="Arial"/>
          <w:lang w:val="en-AU"/>
        </w:rPr>
        <w:t xml:space="preserve">proposed preventative </w:t>
      </w:r>
      <w:r w:rsidR="00465ADF">
        <w:rPr>
          <w:rFonts w:asciiTheme="minorHAnsi" w:hAnsiTheme="minorHAnsi" w:cs="Arial"/>
          <w:lang w:val="en-AU"/>
        </w:rPr>
        <w:t>detention scheme</w:t>
      </w:r>
      <w:r>
        <w:rPr>
          <w:rFonts w:asciiTheme="minorHAnsi" w:hAnsiTheme="minorHAnsi" w:cs="Arial"/>
          <w:lang w:val="en-AU"/>
        </w:rPr>
        <w:t xml:space="preserve"> to protect the h</w:t>
      </w:r>
      <w:r w:rsidR="0058638D">
        <w:rPr>
          <w:rFonts w:asciiTheme="minorHAnsi" w:hAnsiTheme="minorHAnsi" w:cs="Arial"/>
          <w:lang w:val="en-AU"/>
        </w:rPr>
        <w:t xml:space="preserve">uman rights of vulnerable persons, such as those who may be </w:t>
      </w:r>
      <w:r w:rsidR="00D24994">
        <w:rPr>
          <w:rFonts w:asciiTheme="minorHAnsi" w:hAnsiTheme="minorHAnsi" w:cs="Arial"/>
          <w:lang w:val="en-AU"/>
        </w:rPr>
        <w:t>cogitatively</w:t>
      </w:r>
      <w:r w:rsidR="0058638D">
        <w:rPr>
          <w:rFonts w:asciiTheme="minorHAnsi" w:hAnsiTheme="minorHAnsi" w:cs="Arial"/>
          <w:lang w:val="en-AU"/>
        </w:rPr>
        <w:t xml:space="preserve"> or physically impaired</w:t>
      </w:r>
      <w:r>
        <w:rPr>
          <w:rFonts w:asciiTheme="minorHAnsi" w:hAnsiTheme="minorHAnsi" w:cs="Arial"/>
          <w:lang w:val="en-AU"/>
        </w:rPr>
        <w:t xml:space="preserve">. </w:t>
      </w:r>
    </w:p>
    <w:p w14:paraId="37F1651D" w14:textId="24D3A525" w:rsidR="0058638D" w:rsidRPr="0058638D" w:rsidRDefault="0015072F" w:rsidP="0058638D">
      <w:pPr>
        <w:numPr>
          <w:ilvl w:val="0"/>
          <w:numId w:val="16"/>
        </w:numPr>
        <w:shd w:val="clear" w:color="auto" w:fill="FFFFFF"/>
        <w:snapToGrid w:val="0"/>
        <w:spacing w:after="240"/>
        <w:ind w:right="340"/>
        <w:textAlignment w:val="baseline"/>
        <w:rPr>
          <w:rFonts w:asciiTheme="minorHAnsi" w:eastAsia="Calibri" w:hAnsiTheme="minorHAnsi" w:cs="Arial"/>
          <w:lang w:val="en-AU"/>
        </w:rPr>
      </w:pPr>
      <w:r>
        <w:rPr>
          <w:rFonts w:asciiTheme="minorHAnsi" w:eastAsia="Calibri" w:hAnsiTheme="minorHAnsi" w:cs="Arial"/>
          <w:lang w:val="en-AU"/>
        </w:rPr>
        <w:t xml:space="preserve">In considering this Bill </w:t>
      </w:r>
      <w:r w:rsidR="0058638D">
        <w:rPr>
          <w:rFonts w:asciiTheme="minorHAnsi" w:eastAsia="Calibri" w:hAnsiTheme="minorHAnsi" w:cs="Arial"/>
          <w:lang w:val="en-AU"/>
        </w:rPr>
        <w:t>Parliament needs to be satisfied that the rights of children and vulnerable persons detained under the proposed preventative detention scheme are protected to the greatest extent possible and that any limitations on their rights are reasonable and demonstrably justified under section7(2) of the Charter.</w:t>
      </w:r>
      <w:r w:rsidR="00711635">
        <w:rPr>
          <w:rFonts w:asciiTheme="minorHAnsi" w:eastAsia="Calibri" w:hAnsiTheme="minorHAnsi" w:cs="Arial"/>
          <w:lang w:val="en-AU"/>
        </w:rPr>
        <w:t xml:space="preserve"> </w:t>
      </w:r>
    </w:p>
    <w:p w14:paraId="7EDBF1FD" w14:textId="3EC9BE07" w:rsidR="00A125F0" w:rsidRPr="00066BDD" w:rsidRDefault="008B59B2" w:rsidP="00AF4B62">
      <w:pPr>
        <w:pStyle w:val="VEOHRCHeading1"/>
        <w:snapToGrid w:val="0"/>
        <w:spacing w:before="0" w:after="240" w:line="240" w:lineRule="auto"/>
        <w:rPr>
          <w:rFonts w:asciiTheme="minorHAnsi" w:eastAsia="Calibri" w:hAnsiTheme="minorHAnsi"/>
          <w:sz w:val="24"/>
          <w:szCs w:val="24"/>
          <w:lang w:val="en-AU"/>
        </w:rPr>
      </w:pPr>
      <w:r>
        <w:rPr>
          <w:rFonts w:asciiTheme="minorHAnsi" w:eastAsia="Calibri" w:hAnsiTheme="minorHAnsi"/>
          <w:sz w:val="24"/>
          <w:szCs w:val="24"/>
          <w:lang w:val="en-AU"/>
        </w:rPr>
        <w:t>Modification of t</w:t>
      </w:r>
      <w:r w:rsidR="003D4AE7">
        <w:rPr>
          <w:rFonts w:asciiTheme="minorHAnsi" w:eastAsia="Calibri" w:hAnsiTheme="minorHAnsi"/>
          <w:sz w:val="24"/>
          <w:szCs w:val="24"/>
          <w:lang w:val="en-AU"/>
        </w:rPr>
        <w:t xml:space="preserve">he preventative </w:t>
      </w:r>
      <w:r w:rsidR="00465ADF">
        <w:rPr>
          <w:rFonts w:asciiTheme="minorHAnsi" w:eastAsia="Calibri" w:hAnsiTheme="minorHAnsi"/>
          <w:sz w:val="24"/>
          <w:szCs w:val="24"/>
          <w:lang w:val="en-AU"/>
        </w:rPr>
        <w:t>detention scheme</w:t>
      </w:r>
    </w:p>
    <w:p w14:paraId="5D33A9AC" w14:textId="630748B1" w:rsidR="00E077C9" w:rsidRDefault="003F2947" w:rsidP="00A05F01">
      <w:pPr>
        <w:pStyle w:val="ListParagraph"/>
        <w:numPr>
          <w:ilvl w:val="0"/>
          <w:numId w:val="18"/>
        </w:numPr>
        <w:autoSpaceDE w:val="0"/>
        <w:autoSpaceDN w:val="0"/>
        <w:adjustRightInd w:val="0"/>
        <w:snapToGrid w:val="0"/>
        <w:spacing w:after="240"/>
        <w:contextualSpacing w:val="0"/>
        <w:rPr>
          <w:rFonts w:asciiTheme="minorHAnsi" w:hAnsiTheme="minorHAnsi"/>
        </w:rPr>
      </w:pPr>
      <w:r w:rsidRPr="008B59B2">
        <w:rPr>
          <w:rFonts w:asciiTheme="minorHAnsi" w:hAnsiTheme="minorHAnsi"/>
        </w:rPr>
        <w:t xml:space="preserve">The Bill </w:t>
      </w:r>
      <w:r w:rsidR="003D4AE7">
        <w:rPr>
          <w:rFonts w:asciiTheme="minorHAnsi" w:hAnsiTheme="minorHAnsi"/>
        </w:rPr>
        <w:t>modifies the existing framework</w:t>
      </w:r>
      <w:r w:rsidR="00697479" w:rsidRPr="008B59B2">
        <w:rPr>
          <w:rFonts w:asciiTheme="minorHAnsi" w:hAnsiTheme="minorHAnsi"/>
        </w:rPr>
        <w:t xml:space="preserve"> for preventative police de</w:t>
      </w:r>
      <w:r w:rsidRPr="008B59B2">
        <w:rPr>
          <w:rFonts w:asciiTheme="minorHAnsi" w:hAnsiTheme="minorHAnsi"/>
        </w:rPr>
        <w:t xml:space="preserve">tention (currently applicable to </w:t>
      </w:r>
      <w:r w:rsidR="008B59B2" w:rsidRPr="008B59B2">
        <w:rPr>
          <w:rFonts w:asciiTheme="minorHAnsi" w:hAnsiTheme="minorHAnsi"/>
        </w:rPr>
        <w:t>people</w:t>
      </w:r>
      <w:r w:rsidRPr="008B59B2">
        <w:rPr>
          <w:rFonts w:asciiTheme="minorHAnsi" w:hAnsiTheme="minorHAnsi"/>
        </w:rPr>
        <w:t xml:space="preserve"> 16 years and over), and extends </w:t>
      </w:r>
      <w:r w:rsidR="003D4AE7">
        <w:rPr>
          <w:rFonts w:asciiTheme="minorHAnsi" w:hAnsiTheme="minorHAnsi"/>
        </w:rPr>
        <w:t>it</w:t>
      </w:r>
      <w:r w:rsidRPr="008B59B2">
        <w:rPr>
          <w:rFonts w:asciiTheme="minorHAnsi" w:hAnsiTheme="minorHAnsi"/>
        </w:rPr>
        <w:t xml:space="preserve"> to children</w:t>
      </w:r>
      <w:r w:rsidR="00361A6F">
        <w:rPr>
          <w:rFonts w:asciiTheme="minorHAnsi" w:hAnsiTheme="minorHAnsi"/>
        </w:rPr>
        <w:t xml:space="preserve"> aged 14 and</w:t>
      </w:r>
      <w:r w:rsidR="00697479" w:rsidRPr="008B59B2">
        <w:rPr>
          <w:rFonts w:asciiTheme="minorHAnsi" w:hAnsiTheme="minorHAnsi"/>
        </w:rPr>
        <w:t xml:space="preserve"> 15.</w:t>
      </w:r>
      <w:r w:rsidR="008B59B2">
        <w:rPr>
          <w:rStyle w:val="FootnoteReference"/>
          <w:rFonts w:asciiTheme="minorHAnsi" w:hAnsiTheme="minorHAnsi"/>
        </w:rPr>
        <w:footnoteReference w:id="1"/>
      </w:r>
      <w:r w:rsidR="00697479" w:rsidRPr="008B59B2">
        <w:rPr>
          <w:rFonts w:asciiTheme="minorHAnsi" w:hAnsiTheme="minorHAnsi"/>
        </w:rPr>
        <w:t xml:space="preserve"> </w:t>
      </w:r>
      <w:r w:rsidR="00A05F01">
        <w:rPr>
          <w:rFonts w:asciiTheme="minorHAnsi" w:hAnsiTheme="minorHAnsi"/>
        </w:rPr>
        <w:t xml:space="preserve">It </w:t>
      </w:r>
      <w:r w:rsidR="008B59B2">
        <w:rPr>
          <w:rFonts w:asciiTheme="minorHAnsi" w:hAnsiTheme="minorHAnsi"/>
        </w:rPr>
        <w:t xml:space="preserve">authorises a police officer to detain a person where he or she is satisfied that </w:t>
      </w:r>
      <w:r w:rsidR="00E077C9" w:rsidRPr="008B59B2">
        <w:rPr>
          <w:rFonts w:asciiTheme="minorHAnsi" w:hAnsiTheme="minorHAnsi"/>
          <w:lang w:val="en-AU"/>
        </w:rPr>
        <w:t xml:space="preserve">the person will engage in a terrorist act, and </w:t>
      </w:r>
      <w:r w:rsidR="00361A6F">
        <w:rPr>
          <w:rFonts w:asciiTheme="minorHAnsi" w:hAnsiTheme="minorHAnsi"/>
          <w:lang w:val="en-AU"/>
        </w:rPr>
        <w:t xml:space="preserve">that </w:t>
      </w:r>
      <w:r w:rsidR="00E077C9" w:rsidRPr="008B59B2">
        <w:rPr>
          <w:rFonts w:asciiTheme="minorHAnsi" w:hAnsiTheme="minorHAnsi"/>
          <w:lang w:val="en-AU"/>
        </w:rPr>
        <w:t xml:space="preserve">detaining the person is </w:t>
      </w:r>
      <w:r w:rsidR="008B59B2" w:rsidRPr="008B59B2">
        <w:rPr>
          <w:rFonts w:asciiTheme="minorHAnsi" w:hAnsiTheme="minorHAnsi"/>
          <w:lang w:val="en-AU"/>
        </w:rPr>
        <w:t>reasonably</w:t>
      </w:r>
      <w:r w:rsidR="00E077C9" w:rsidRPr="008B59B2">
        <w:rPr>
          <w:rFonts w:asciiTheme="minorHAnsi" w:hAnsiTheme="minorHAnsi"/>
          <w:lang w:val="en-AU"/>
        </w:rPr>
        <w:t xml:space="preserve"> necessary to substantially assist in preventing a terrorist act occurring.</w:t>
      </w:r>
      <w:r w:rsidR="00E077C9" w:rsidRPr="008B59B2">
        <w:rPr>
          <w:rFonts w:asciiTheme="minorHAnsi" w:hAnsiTheme="minorHAnsi"/>
          <w:vertAlign w:val="superscript"/>
        </w:rPr>
        <w:footnoteReference w:id="2"/>
      </w:r>
      <w:r w:rsidR="00E077C9" w:rsidRPr="008B59B2">
        <w:rPr>
          <w:rFonts w:asciiTheme="minorHAnsi" w:hAnsiTheme="minorHAnsi"/>
        </w:rPr>
        <w:t xml:space="preserve">  </w:t>
      </w:r>
      <w:r w:rsidR="008B59B2">
        <w:rPr>
          <w:rFonts w:asciiTheme="minorHAnsi" w:hAnsiTheme="minorHAnsi"/>
        </w:rPr>
        <w:t>A police officer</w:t>
      </w:r>
      <w:r w:rsidR="00697479" w:rsidRPr="008B59B2">
        <w:rPr>
          <w:rFonts w:asciiTheme="minorHAnsi" w:hAnsiTheme="minorHAnsi"/>
        </w:rPr>
        <w:t xml:space="preserve"> must apply to the Supreme Court for</w:t>
      </w:r>
      <w:r w:rsidR="008B59B2">
        <w:rPr>
          <w:rFonts w:asciiTheme="minorHAnsi" w:hAnsiTheme="minorHAnsi"/>
        </w:rPr>
        <w:t xml:space="preserve"> a preventative detention order</w:t>
      </w:r>
      <w:r w:rsidR="00697479" w:rsidRPr="008B59B2">
        <w:rPr>
          <w:rFonts w:asciiTheme="minorHAnsi" w:hAnsiTheme="minorHAnsi"/>
        </w:rPr>
        <w:t xml:space="preserve"> as soon as reasonably practicable after a minor has been taken into custody and no later than 36 hours after this occurs.</w:t>
      </w:r>
      <w:r w:rsidR="00E077C9">
        <w:rPr>
          <w:rStyle w:val="FootnoteReference"/>
          <w:rFonts w:asciiTheme="minorHAnsi" w:hAnsiTheme="minorHAnsi"/>
        </w:rPr>
        <w:footnoteReference w:id="3"/>
      </w:r>
      <w:r w:rsidR="00697479" w:rsidRPr="008B59B2">
        <w:rPr>
          <w:rFonts w:asciiTheme="minorHAnsi" w:hAnsiTheme="minorHAnsi"/>
        </w:rPr>
        <w:t xml:space="preserve">  </w:t>
      </w:r>
    </w:p>
    <w:p w14:paraId="7CCA91B0" w14:textId="6E41B57B" w:rsidR="00865457" w:rsidRPr="008B59B2" w:rsidRDefault="005B50F9" w:rsidP="00A05F01">
      <w:pPr>
        <w:pStyle w:val="ListParagraph"/>
        <w:numPr>
          <w:ilvl w:val="0"/>
          <w:numId w:val="18"/>
        </w:numPr>
        <w:autoSpaceDE w:val="0"/>
        <w:autoSpaceDN w:val="0"/>
        <w:adjustRightInd w:val="0"/>
        <w:snapToGrid w:val="0"/>
        <w:spacing w:after="240"/>
        <w:contextualSpacing w:val="0"/>
        <w:rPr>
          <w:rFonts w:asciiTheme="minorHAnsi" w:hAnsiTheme="minorHAnsi"/>
        </w:rPr>
      </w:pPr>
      <w:r>
        <w:rPr>
          <w:rFonts w:asciiTheme="minorHAnsi" w:hAnsiTheme="minorHAnsi"/>
        </w:rPr>
        <w:t>For adults, the Bill proposes</w:t>
      </w:r>
      <w:r w:rsidR="00865457">
        <w:rPr>
          <w:rFonts w:asciiTheme="minorHAnsi" w:hAnsiTheme="minorHAnsi"/>
        </w:rPr>
        <w:t xml:space="preserve"> extending the time police can detain a</w:t>
      </w:r>
      <w:r w:rsidR="00DF2453">
        <w:rPr>
          <w:rFonts w:asciiTheme="minorHAnsi" w:hAnsiTheme="minorHAnsi"/>
        </w:rPr>
        <w:t xml:space="preserve"> person without an order from the Supreme Court</w:t>
      </w:r>
      <w:r w:rsidR="00865457">
        <w:rPr>
          <w:rFonts w:asciiTheme="minorHAnsi" w:hAnsiTheme="minorHAnsi"/>
        </w:rPr>
        <w:t xml:space="preserve"> from 48 hours to 4 days.</w:t>
      </w:r>
      <w:r w:rsidR="006C6199">
        <w:rPr>
          <w:rStyle w:val="FootnoteReference"/>
          <w:rFonts w:asciiTheme="minorHAnsi" w:hAnsiTheme="minorHAnsi"/>
        </w:rPr>
        <w:footnoteReference w:id="4"/>
      </w:r>
      <w:r w:rsidR="00865457">
        <w:rPr>
          <w:rFonts w:asciiTheme="minorHAnsi" w:hAnsiTheme="minorHAnsi"/>
        </w:rPr>
        <w:t xml:space="preserve"> </w:t>
      </w:r>
    </w:p>
    <w:p w14:paraId="78B9BF1B" w14:textId="0579553F" w:rsidR="00E077C9" w:rsidRPr="00E077C9" w:rsidRDefault="00E077C9" w:rsidP="00AF4B62">
      <w:pPr>
        <w:pStyle w:val="ListParagraph"/>
        <w:numPr>
          <w:ilvl w:val="0"/>
          <w:numId w:val="18"/>
        </w:numPr>
        <w:autoSpaceDE w:val="0"/>
        <w:autoSpaceDN w:val="0"/>
        <w:adjustRightInd w:val="0"/>
        <w:snapToGrid w:val="0"/>
        <w:spacing w:after="240"/>
        <w:contextualSpacing w:val="0"/>
        <w:rPr>
          <w:rFonts w:asciiTheme="minorHAnsi" w:hAnsiTheme="minorHAnsi"/>
        </w:rPr>
      </w:pPr>
      <w:r w:rsidRPr="00E077C9">
        <w:rPr>
          <w:rFonts w:asciiTheme="minorHAnsi" w:eastAsia="Calibri" w:hAnsiTheme="minorHAnsi"/>
          <w:lang w:val="en-AU"/>
        </w:rPr>
        <w:t xml:space="preserve">The Supreme Court may make a preventative detention order for up to 14 days if it is satisfied on </w:t>
      </w:r>
      <w:r w:rsidR="00AF4B62" w:rsidRPr="00E077C9">
        <w:rPr>
          <w:rFonts w:asciiTheme="minorHAnsi" w:eastAsia="Calibri" w:hAnsiTheme="minorHAnsi"/>
          <w:lang w:val="en-AU"/>
        </w:rPr>
        <w:t>reasonable</w:t>
      </w:r>
      <w:r w:rsidRPr="00E077C9">
        <w:rPr>
          <w:rFonts w:asciiTheme="minorHAnsi" w:eastAsia="Calibri" w:hAnsiTheme="minorHAnsi"/>
          <w:lang w:val="en-AU"/>
        </w:rPr>
        <w:t xml:space="preserve"> grounds that the person will engage in a terrorist act, and </w:t>
      </w:r>
      <w:r w:rsidR="00361A6F">
        <w:rPr>
          <w:rFonts w:asciiTheme="minorHAnsi" w:eastAsia="Calibri" w:hAnsiTheme="minorHAnsi"/>
          <w:lang w:val="en-AU"/>
        </w:rPr>
        <w:t xml:space="preserve">that </w:t>
      </w:r>
      <w:r w:rsidRPr="00E077C9">
        <w:rPr>
          <w:rFonts w:asciiTheme="minorHAnsi" w:eastAsia="Calibri" w:hAnsiTheme="minorHAnsi"/>
          <w:lang w:val="en-AU"/>
        </w:rPr>
        <w:t xml:space="preserve">detaining the person is </w:t>
      </w:r>
      <w:r w:rsidR="00AF4B62" w:rsidRPr="00E077C9">
        <w:rPr>
          <w:rFonts w:asciiTheme="minorHAnsi" w:eastAsia="Calibri" w:hAnsiTheme="minorHAnsi"/>
          <w:lang w:val="en-AU"/>
        </w:rPr>
        <w:t>reasonably</w:t>
      </w:r>
      <w:r w:rsidRPr="00E077C9">
        <w:rPr>
          <w:rFonts w:asciiTheme="minorHAnsi" w:eastAsia="Calibri" w:hAnsiTheme="minorHAnsi"/>
          <w:lang w:val="en-AU"/>
        </w:rPr>
        <w:t xml:space="preserve"> necessary to substantially assist in preventing a terrorist act occurring.</w:t>
      </w:r>
      <w:r w:rsidRPr="00E077C9">
        <w:rPr>
          <w:rFonts w:eastAsia="Calibri"/>
          <w:vertAlign w:val="superscript"/>
        </w:rPr>
        <w:footnoteReference w:id="5"/>
      </w:r>
      <w:r w:rsidRPr="00E077C9">
        <w:rPr>
          <w:rFonts w:asciiTheme="minorHAnsi" w:eastAsia="Calibri" w:hAnsiTheme="minorHAnsi"/>
        </w:rPr>
        <w:t xml:space="preserve">  </w:t>
      </w:r>
    </w:p>
    <w:p w14:paraId="042BBFB3" w14:textId="6E58632F" w:rsidR="00A125F0" w:rsidRDefault="00E077C9" w:rsidP="00AF4B62">
      <w:pPr>
        <w:pStyle w:val="VEOHRCHeading1"/>
        <w:snapToGrid w:val="0"/>
        <w:spacing w:before="0" w:after="240" w:line="240" w:lineRule="auto"/>
        <w:rPr>
          <w:rFonts w:asciiTheme="minorHAnsi" w:eastAsia="Calibri" w:hAnsiTheme="minorHAnsi"/>
          <w:sz w:val="24"/>
          <w:szCs w:val="24"/>
          <w:lang w:val="en-AU"/>
        </w:rPr>
      </w:pPr>
      <w:r>
        <w:rPr>
          <w:rFonts w:asciiTheme="minorHAnsi" w:eastAsia="Calibri" w:hAnsiTheme="minorHAnsi"/>
          <w:sz w:val="24"/>
          <w:szCs w:val="24"/>
          <w:lang w:val="en-AU"/>
        </w:rPr>
        <w:lastRenderedPageBreak/>
        <w:t xml:space="preserve">Extending the </w:t>
      </w:r>
      <w:r w:rsidR="00AF4B62">
        <w:rPr>
          <w:rFonts w:asciiTheme="minorHAnsi" w:eastAsia="Calibri" w:hAnsiTheme="minorHAnsi"/>
          <w:sz w:val="24"/>
          <w:szCs w:val="24"/>
          <w:lang w:val="en-AU"/>
        </w:rPr>
        <w:t>preventative</w:t>
      </w:r>
      <w:r w:rsidR="003D4AE7">
        <w:rPr>
          <w:rFonts w:asciiTheme="minorHAnsi" w:eastAsia="Calibri" w:hAnsiTheme="minorHAnsi"/>
          <w:sz w:val="24"/>
          <w:szCs w:val="24"/>
          <w:lang w:val="en-AU"/>
        </w:rPr>
        <w:t xml:space="preserve"> </w:t>
      </w:r>
      <w:r w:rsidR="00465ADF">
        <w:rPr>
          <w:rFonts w:asciiTheme="minorHAnsi" w:eastAsia="Calibri" w:hAnsiTheme="minorHAnsi"/>
          <w:sz w:val="24"/>
          <w:szCs w:val="24"/>
          <w:lang w:val="en-AU"/>
        </w:rPr>
        <w:t>detention scheme</w:t>
      </w:r>
      <w:r>
        <w:rPr>
          <w:rFonts w:asciiTheme="minorHAnsi" w:eastAsia="Calibri" w:hAnsiTheme="minorHAnsi"/>
          <w:sz w:val="24"/>
          <w:szCs w:val="24"/>
          <w:lang w:val="en-AU"/>
        </w:rPr>
        <w:t xml:space="preserve"> to 14 and 15 year olds</w:t>
      </w:r>
    </w:p>
    <w:p w14:paraId="3B5177BC" w14:textId="4D1E7F88" w:rsidR="00F22680" w:rsidRPr="00066BDD" w:rsidRDefault="000E1914" w:rsidP="00AF4B62">
      <w:pPr>
        <w:pStyle w:val="ListParagraph"/>
        <w:numPr>
          <w:ilvl w:val="0"/>
          <w:numId w:val="18"/>
        </w:numPr>
        <w:snapToGrid w:val="0"/>
        <w:spacing w:after="240"/>
        <w:ind w:left="357" w:hanging="357"/>
        <w:contextualSpacing w:val="0"/>
        <w:rPr>
          <w:rFonts w:asciiTheme="minorHAnsi" w:hAnsiTheme="minorHAnsi"/>
        </w:rPr>
      </w:pPr>
      <w:r>
        <w:rPr>
          <w:rFonts w:asciiTheme="minorHAnsi" w:hAnsiTheme="minorHAnsi" w:cs="Arial"/>
        </w:rPr>
        <w:t xml:space="preserve">The Panel </w:t>
      </w:r>
      <w:r w:rsidR="00A125F0" w:rsidRPr="00066BDD">
        <w:rPr>
          <w:rFonts w:asciiTheme="minorHAnsi" w:hAnsiTheme="minorHAnsi" w:cs="Arial"/>
        </w:rPr>
        <w:t xml:space="preserve">acknowledged that preventative detention has </w:t>
      </w:r>
      <w:r w:rsidR="00A05F01">
        <w:rPr>
          <w:rFonts w:asciiTheme="minorHAnsi" w:hAnsiTheme="minorHAnsi" w:cs="Arial"/>
        </w:rPr>
        <w:t>“been l</w:t>
      </w:r>
      <w:r w:rsidR="00A125F0" w:rsidRPr="00066BDD">
        <w:rPr>
          <w:rFonts w:asciiTheme="minorHAnsi" w:hAnsiTheme="minorHAnsi" w:cs="Arial"/>
        </w:rPr>
        <w:t>ong criticised as an unjustifiable intrusion on civil liberties and fundamental human rights such as the right not be subject to arbitrary arrest or detention and the right to liberty</w:t>
      </w:r>
      <w:r w:rsidR="008B59B2">
        <w:rPr>
          <w:rFonts w:asciiTheme="minorHAnsi" w:hAnsiTheme="minorHAnsi" w:cs="Arial"/>
        </w:rPr>
        <w:t>”</w:t>
      </w:r>
      <w:r w:rsidR="00A125F0" w:rsidRPr="00066BDD">
        <w:rPr>
          <w:rFonts w:asciiTheme="minorHAnsi" w:hAnsiTheme="minorHAnsi" w:cs="Arial"/>
        </w:rPr>
        <w:t>.</w:t>
      </w:r>
      <w:r w:rsidR="008B59B2">
        <w:rPr>
          <w:rStyle w:val="FootnoteReference"/>
          <w:rFonts w:asciiTheme="minorHAnsi" w:hAnsiTheme="minorHAnsi" w:cs="Arial"/>
        </w:rPr>
        <w:footnoteReference w:id="6"/>
      </w:r>
      <w:r w:rsidR="00735D51" w:rsidRPr="00066BDD">
        <w:rPr>
          <w:rFonts w:asciiTheme="minorHAnsi" w:hAnsiTheme="minorHAnsi"/>
        </w:rPr>
        <w:t xml:space="preserve"> </w:t>
      </w:r>
      <w:r w:rsidR="00A125F0" w:rsidRPr="00066BDD">
        <w:rPr>
          <w:rFonts w:asciiTheme="minorHAnsi" w:hAnsiTheme="minorHAnsi" w:cs="Arial"/>
        </w:rPr>
        <w:t xml:space="preserve">The Panel acknowledged </w:t>
      </w:r>
      <w:r w:rsidR="00AF7206">
        <w:rPr>
          <w:rFonts w:asciiTheme="minorHAnsi" w:hAnsiTheme="minorHAnsi" w:cs="Arial"/>
        </w:rPr>
        <w:t>“</w:t>
      </w:r>
      <w:r w:rsidR="00A125F0" w:rsidRPr="00066BDD">
        <w:rPr>
          <w:rFonts w:asciiTheme="minorHAnsi" w:hAnsiTheme="minorHAnsi" w:cs="Arial"/>
        </w:rPr>
        <w:t>significant misgivings</w:t>
      </w:r>
      <w:r w:rsidR="00AF7206">
        <w:rPr>
          <w:rFonts w:asciiTheme="minorHAnsi" w:hAnsiTheme="minorHAnsi" w:cs="Arial"/>
        </w:rPr>
        <w:t>”</w:t>
      </w:r>
      <w:r w:rsidR="00A125F0" w:rsidRPr="00066BDD">
        <w:rPr>
          <w:rFonts w:asciiTheme="minorHAnsi" w:hAnsiTheme="minorHAnsi" w:cs="Arial"/>
        </w:rPr>
        <w:t xml:space="preserve"> about applying the scheme to</w:t>
      </w:r>
      <w:r w:rsidR="00361A6F">
        <w:rPr>
          <w:rFonts w:asciiTheme="minorHAnsi" w:hAnsiTheme="minorHAnsi" w:cs="Arial"/>
        </w:rPr>
        <w:t xml:space="preserve"> children aged 14 and 15</w:t>
      </w:r>
      <w:r w:rsidR="00DF2453">
        <w:rPr>
          <w:rFonts w:asciiTheme="minorHAnsi" w:hAnsiTheme="minorHAnsi" w:cs="Arial"/>
        </w:rPr>
        <w:t>. It</w:t>
      </w:r>
      <w:r w:rsidR="00A05F01">
        <w:rPr>
          <w:rFonts w:asciiTheme="minorHAnsi" w:hAnsiTheme="minorHAnsi" w:cs="Arial"/>
        </w:rPr>
        <w:t xml:space="preserve"> stated:</w:t>
      </w:r>
    </w:p>
    <w:p w14:paraId="10F4FCC3" w14:textId="383C2A38" w:rsidR="00A125F0" w:rsidRPr="00066BDD" w:rsidRDefault="00F22680" w:rsidP="00AF4B62">
      <w:pPr>
        <w:snapToGrid w:val="0"/>
        <w:spacing w:after="240"/>
        <w:ind w:left="720" w:right="-330"/>
        <w:rPr>
          <w:rFonts w:asciiTheme="minorHAnsi" w:hAnsiTheme="minorHAnsi" w:cs="Arial"/>
          <w:i/>
          <w:iCs/>
        </w:rPr>
      </w:pPr>
      <w:r w:rsidRPr="00066BDD">
        <w:rPr>
          <w:rFonts w:asciiTheme="minorHAnsi" w:hAnsiTheme="minorHAnsi" w:cs="Arial"/>
          <w:i/>
          <w:iCs/>
        </w:rPr>
        <w:t>t</w:t>
      </w:r>
      <w:r w:rsidR="00A125F0" w:rsidRPr="00066BDD">
        <w:rPr>
          <w:rFonts w:asciiTheme="minorHAnsi" w:hAnsiTheme="minorHAnsi" w:cs="Arial"/>
          <w:i/>
          <w:iCs/>
        </w:rPr>
        <w:t xml:space="preserve">he </w:t>
      </w:r>
      <w:r w:rsidRPr="00066BDD">
        <w:rPr>
          <w:rFonts w:asciiTheme="minorHAnsi" w:hAnsiTheme="minorHAnsi" w:cs="Arial"/>
          <w:i/>
          <w:iCs/>
        </w:rPr>
        <w:t xml:space="preserve">application of </w:t>
      </w:r>
      <w:r w:rsidR="00E73308" w:rsidRPr="00066BDD">
        <w:rPr>
          <w:rFonts w:asciiTheme="minorHAnsi" w:hAnsiTheme="minorHAnsi" w:cs="Arial"/>
          <w:i/>
          <w:iCs/>
        </w:rPr>
        <w:t>preventative</w:t>
      </w:r>
      <w:r w:rsidRPr="00066BDD">
        <w:rPr>
          <w:rFonts w:asciiTheme="minorHAnsi" w:hAnsiTheme="minorHAnsi" w:cs="Arial"/>
          <w:i/>
          <w:iCs/>
        </w:rPr>
        <w:t xml:space="preserve"> detention orders</w:t>
      </w:r>
      <w:r w:rsidR="00A125F0" w:rsidRPr="00066BDD">
        <w:rPr>
          <w:rFonts w:asciiTheme="minorHAnsi" w:hAnsiTheme="minorHAnsi" w:cs="Arial"/>
          <w:i/>
          <w:iCs/>
        </w:rPr>
        <w:t xml:space="preserve"> is an extraordinary power with extension to children of particular concern given the potential for even a short period of detention to cause irreparable harm to a child as young as 14 or 15.</w:t>
      </w:r>
      <w:r w:rsidR="00A125F0" w:rsidRPr="00066BDD">
        <w:rPr>
          <w:rStyle w:val="FootnoteReference"/>
          <w:rFonts w:asciiTheme="minorHAnsi" w:hAnsiTheme="minorHAnsi" w:cs="Arial"/>
          <w:i/>
          <w:iCs/>
        </w:rPr>
        <w:footnoteReference w:id="7"/>
      </w:r>
      <w:r w:rsidR="00A125F0" w:rsidRPr="00066BDD">
        <w:rPr>
          <w:rFonts w:asciiTheme="minorHAnsi" w:hAnsiTheme="minorHAnsi" w:cs="Arial"/>
          <w:i/>
          <w:iCs/>
        </w:rPr>
        <w:t xml:space="preserve"> </w:t>
      </w:r>
    </w:p>
    <w:p w14:paraId="1A1813A3" w14:textId="68EAF3D4" w:rsidR="004C14E1" w:rsidRDefault="005E678D" w:rsidP="004C14E1">
      <w:pPr>
        <w:pStyle w:val="ListParagraph"/>
        <w:numPr>
          <w:ilvl w:val="0"/>
          <w:numId w:val="18"/>
        </w:numPr>
        <w:snapToGrid w:val="0"/>
        <w:spacing w:after="240"/>
        <w:ind w:left="357" w:right="-329" w:hanging="357"/>
        <w:contextualSpacing w:val="0"/>
        <w:rPr>
          <w:rFonts w:asciiTheme="minorHAnsi" w:hAnsiTheme="minorHAnsi" w:cs="Arial"/>
        </w:rPr>
      </w:pPr>
      <w:r w:rsidRPr="00066BDD">
        <w:rPr>
          <w:rFonts w:asciiTheme="minorHAnsi" w:hAnsiTheme="minorHAnsi" w:cs="Arial"/>
        </w:rPr>
        <w:t>H</w:t>
      </w:r>
      <w:r w:rsidR="004C14E1">
        <w:rPr>
          <w:rFonts w:asciiTheme="minorHAnsi" w:hAnsiTheme="minorHAnsi" w:cs="Arial"/>
        </w:rPr>
        <w:t>owever</w:t>
      </w:r>
      <w:r w:rsidR="00BD36A0" w:rsidRPr="00066BDD">
        <w:rPr>
          <w:rFonts w:asciiTheme="minorHAnsi" w:hAnsiTheme="minorHAnsi" w:cs="Arial"/>
        </w:rPr>
        <w:t>,</w:t>
      </w:r>
      <w:r w:rsidR="004C14E1">
        <w:rPr>
          <w:rFonts w:asciiTheme="minorHAnsi" w:hAnsiTheme="minorHAnsi" w:cs="Arial"/>
        </w:rPr>
        <w:t xml:space="preserve"> despite describing the extension of the preventative </w:t>
      </w:r>
      <w:r w:rsidR="00465ADF">
        <w:rPr>
          <w:rFonts w:asciiTheme="minorHAnsi" w:hAnsiTheme="minorHAnsi" w:cs="Arial"/>
        </w:rPr>
        <w:t>detention scheme</w:t>
      </w:r>
      <w:r w:rsidR="004C14E1">
        <w:rPr>
          <w:rFonts w:asciiTheme="minorHAnsi" w:hAnsiTheme="minorHAnsi" w:cs="Arial"/>
        </w:rPr>
        <w:t xml:space="preserve"> to 14 and 15 year olds as “regrettable and troubling”, it </w:t>
      </w:r>
      <w:r w:rsidR="00BD36A0" w:rsidRPr="00066BDD">
        <w:rPr>
          <w:rFonts w:asciiTheme="minorHAnsi" w:hAnsiTheme="minorHAnsi" w:cs="Arial"/>
        </w:rPr>
        <w:t xml:space="preserve">recommended </w:t>
      </w:r>
      <w:r w:rsidR="004539DE">
        <w:rPr>
          <w:rFonts w:asciiTheme="minorHAnsi" w:hAnsiTheme="minorHAnsi" w:cs="Arial"/>
        </w:rPr>
        <w:t>a</w:t>
      </w:r>
      <w:r w:rsidR="000207AE" w:rsidRPr="00066BDD">
        <w:rPr>
          <w:rFonts w:asciiTheme="minorHAnsi" w:hAnsiTheme="minorHAnsi" w:cs="Arial"/>
        </w:rPr>
        <w:t xml:space="preserve"> </w:t>
      </w:r>
      <w:r w:rsidR="00E73308" w:rsidRPr="00066BDD">
        <w:rPr>
          <w:rFonts w:asciiTheme="minorHAnsi" w:hAnsiTheme="minorHAnsi" w:cs="Arial"/>
        </w:rPr>
        <w:t>modified</w:t>
      </w:r>
      <w:r w:rsidR="000207AE" w:rsidRPr="00066BDD">
        <w:rPr>
          <w:rFonts w:asciiTheme="minorHAnsi" w:hAnsiTheme="minorHAnsi" w:cs="Arial"/>
        </w:rPr>
        <w:t xml:space="preserve"> preventative detention scheme </w:t>
      </w:r>
      <w:r w:rsidR="00A05F01">
        <w:rPr>
          <w:rFonts w:asciiTheme="minorHAnsi" w:hAnsiTheme="minorHAnsi" w:cs="Arial"/>
        </w:rPr>
        <w:t>be extended</w:t>
      </w:r>
      <w:r w:rsidR="000207AE" w:rsidRPr="00066BDD">
        <w:rPr>
          <w:rFonts w:asciiTheme="minorHAnsi" w:hAnsiTheme="minorHAnsi" w:cs="Arial"/>
        </w:rPr>
        <w:t xml:space="preserve"> </w:t>
      </w:r>
      <w:r w:rsidR="00361A6F">
        <w:rPr>
          <w:rFonts w:asciiTheme="minorHAnsi" w:hAnsiTheme="minorHAnsi" w:cs="Arial"/>
        </w:rPr>
        <w:t xml:space="preserve">to children </w:t>
      </w:r>
      <w:r w:rsidR="00DF2453">
        <w:rPr>
          <w:rFonts w:asciiTheme="minorHAnsi" w:hAnsiTheme="minorHAnsi" w:cs="Arial"/>
        </w:rPr>
        <w:t>aged</w:t>
      </w:r>
      <w:r w:rsidR="00361A6F">
        <w:rPr>
          <w:rFonts w:asciiTheme="minorHAnsi" w:hAnsiTheme="minorHAnsi" w:cs="Arial"/>
        </w:rPr>
        <w:t xml:space="preserve"> 14</w:t>
      </w:r>
      <w:r w:rsidR="0071477E">
        <w:rPr>
          <w:rFonts w:asciiTheme="minorHAnsi" w:hAnsiTheme="minorHAnsi" w:cs="Arial"/>
        </w:rPr>
        <w:t xml:space="preserve"> and 15</w:t>
      </w:r>
      <w:r w:rsidR="004C14E1">
        <w:rPr>
          <w:rFonts w:asciiTheme="minorHAnsi" w:hAnsiTheme="minorHAnsi" w:cs="Arial"/>
        </w:rPr>
        <w:t>. It did so</w:t>
      </w:r>
      <w:r w:rsidR="000207AE" w:rsidRPr="00066BDD">
        <w:rPr>
          <w:rFonts w:asciiTheme="minorHAnsi" w:hAnsiTheme="minorHAnsi" w:cs="Arial"/>
        </w:rPr>
        <w:t xml:space="preserve"> </w:t>
      </w:r>
      <w:r w:rsidR="00BD36A0" w:rsidRPr="00066BDD">
        <w:rPr>
          <w:rFonts w:asciiTheme="minorHAnsi" w:hAnsiTheme="minorHAnsi" w:cs="Arial"/>
        </w:rPr>
        <w:t>citing</w:t>
      </w:r>
      <w:r w:rsidR="001D3742">
        <w:rPr>
          <w:rFonts w:asciiTheme="minorHAnsi" w:hAnsiTheme="minorHAnsi" w:cs="Arial"/>
        </w:rPr>
        <w:t xml:space="preserve"> examples of violent extremism </w:t>
      </w:r>
      <w:r w:rsidR="00D24994">
        <w:rPr>
          <w:rFonts w:asciiTheme="minorHAnsi" w:hAnsiTheme="minorHAnsi" w:cs="Arial"/>
        </w:rPr>
        <w:t>involving</w:t>
      </w:r>
      <w:r w:rsidR="001D3742">
        <w:rPr>
          <w:rFonts w:asciiTheme="minorHAnsi" w:hAnsiTheme="minorHAnsi" w:cs="Arial"/>
        </w:rPr>
        <w:t xml:space="preserve"> minors aged 14 and 15. It also cited Australia’s</w:t>
      </w:r>
      <w:r w:rsidR="00BD36A0" w:rsidRPr="00066BDD">
        <w:rPr>
          <w:rFonts w:asciiTheme="minorHAnsi" w:hAnsiTheme="minorHAnsi" w:cs="Arial"/>
        </w:rPr>
        <w:t xml:space="preserve"> </w:t>
      </w:r>
      <w:r w:rsidR="000207AE" w:rsidRPr="00066BDD">
        <w:rPr>
          <w:rFonts w:asciiTheme="minorHAnsi" w:hAnsiTheme="minorHAnsi" w:cs="Arial"/>
        </w:rPr>
        <w:t>“</w:t>
      </w:r>
      <w:r w:rsidR="00A125F0" w:rsidRPr="00066BDD">
        <w:rPr>
          <w:rFonts w:asciiTheme="minorHAnsi" w:hAnsiTheme="minorHAnsi" w:cs="Arial"/>
        </w:rPr>
        <w:t>national agreement on strengthened preventative detention laws based on a NSW model which permits detention of children as young as 14 years”</w:t>
      </w:r>
      <w:r w:rsidR="000207AE" w:rsidRPr="00066BDD">
        <w:rPr>
          <w:rFonts w:asciiTheme="minorHAnsi" w:hAnsiTheme="minorHAnsi" w:cs="Arial"/>
        </w:rPr>
        <w:t>,</w:t>
      </w:r>
      <w:r w:rsidR="00A125F0" w:rsidRPr="00066BDD">
        <w:rPr>
          <w:rStyle w:val="FootnoteReference"/>
          <w:rFonts w:asciiTheme="minorHAnsi" w:hAnsiTheme="minorHAnsi" w:cs="Arial"/>
        </w:rPr>
        <w:footnoteReference w:id="8"/>
      </w:r>
      <w:r w:rsidR="000207AE" w:rsidRPr="00066BDD">
        <w:rPr>
          <w:rFonts w:asciiTheme="minorHAnsi" w:hAnsiTheme="minorHAnsi" w:cs="Arial"/>
        </w:rPr>
        <w:t xml:space="preserve"> and noting that counter-</w:t>
      </w:r>
      <w:r w:rsidR="00E73308" w:rsidRPr="00066BDD">
        <w:rPr>
          <w:rFonts w:asciiTheme="minorHAnsi" w:hAnsiTheme="minorHAnsi" w:cs="Arial"/>
        </w:rPr>
        <w:t>terrorism</w:t>
      </w:r>
      <w:r w:rsidR="000207AE" w:rsidRPr="00066BDD">
        <w:rPr>
          <w:rFonts w:asciiTheme="minorHAnsi" w:hAnsiTheme="minorHAnsi" w:cs="Arial"/>
        </w:rPr>
        <w:t xml:space="preserve"> legislative reform is guided by “the conduct that threatens the safety of the Australian community … </w:t>
      </w:r>
      <w:r w:rsidR="00E73308" w:rsidRPr="00066BDD">
        <w:rPr>
          <w:rFonts w:asciiTheme="minorHAnsi" w:hAnsiTheme="minorHAnsi" w:cs="Arial"/>
        </w:rPr>
        <w:t>regardless</w:t>
      </w:r>
      <w:r w:rsidR="000207AE" w:rsidRPr="00066BDD">
        <w:rPr>
          <w:rFonts w:asciiTheme="minorHAnsi" w:hAnsiTheme="minorHAnsi" w:cs="Arial"/>
        </w:rPr>
        <w:t xml:space="preserve"> of the</w:t>
      </w:r>
      <w:r w:rsidR="00A125F0" w:rsidRPr="00066BDD">
        <w:rPr>
          <w:rFonts w:asciiTheme="minorHAnsi" w:hAnsiTheme="minorHAnsi" w:cs="Arial"/>
        </w:rPr>
        <w:t xml:space="preserve"> age, ethnicity or religious affiliation of individuals</w:t>
      </w:r>
      <w:r w:rsidR="008B59B2">
        <w:rPr>
          <w:rFonts w:asciiTheme="minorHAnsi" w:hAnsiTheme="minorHAnsi" w:cs="Arial"/>
        </w:rPr>
        <w:t>”</w:t>
      </w:r>
      <w:r w:rsidR="00A125F0" w:rsidRPr="00066BDD">
        <w:rPr>
          <w:rFonts w:asciiTheme="minorHAnsi" w:hAnsiTheme="minorHAnsi" w:cs="Arial"/>
        </w:rPr>
        <w:t>.</w:t>
      </w:r>
      <w:r w:rsidR="00BD36A0" w:rsidRPr="00066BDD">
        <w:rPr>
          <w:rStyle w:val="FootnoteReference"/>
          <w:rFonts w:asciiTheme="minorHAnsi" w:hAnsiTheme="minorHAnsi" w:cs="Arial"/>
        </w:rPr>
        <w:footnoteReference w:id="9"/>
      </w:r>
    </w:p>
    <w:p w14:paraId="1FA18ABF" w14:textId="2DC16F8C" w:rsidR="00BE2009" w:rsidRPr="004C14E1" w:rsidRDefault="00BE2009" w:rsidP="004C14E1">
      <w:pPr>
        <w:pStyle w:val="ListParagraph"/>
        <w:numPr>
          <w:ilvl w:val="0"/>
          <w:numId w:val="18"/>
        </w:numPr>
        <w:snapToGrid w:val="0"/>
        <w:spacing w:after="240"/>
        <w:ind w:left="357" w:right="-329" w:hanging="357"/>
        <w:contextualSpacing w:val="0"/>
        <w:rPr>
          <w:rFonts w:asciiTheme="minorHAnsi" w:hAnsiTheme="minorHAnsi" w:cs="Arial"/>
        </w:rPr>
      </w:pPr>
      <w:r>
        <w:rPr>
          <w:rFonts w:asciiTheme="minorHAnsi" w:hAnsiTheme="minorHAnsi" w:cs="Arial"/>
        </w:rPr>
        <w:t xml:space="preserve">Importantly, in </w:t>
      </w:r>
      <w:r w:rsidR="00C75603">
        <w:rPr>
          <w:rFonts w:asciiTheme="minorHAnsi" w:hAnsiTheme="minorHAnsi" w:cs="Arial"/>
        </w:rPr>
        <w:t>recognition</w:t>
      </w:r>
      <w:r>
        <w:rPr>
          <w:rFonts w:asciiTheme="minorHAnsi" w:hAnsiTheme="minorHAnsi" w:cs="Arial"/>
        </w:rPr>
        <w:t xml:space="preserve"> of its serious concerns regarding extending the preventative detention scheme to children as young as 14, the Panel recommended additional safeguards be implemented to protect the rights of children</w:t>
      </w:r>
      <w:r w:rsidR="0071477E">
        <w:rPr>
          <w:rFonts w:asciiTheme="minorHAnsi" w:hAnsiTheme="minorHAnsi" w:cs="Arial"/>
        </w:rPr>
        <w:t xml:space="preserve"> subject to the scheme</w:t>
      </w:r>
      <w:r>
        <w:rPr>
          <w:rFonts w:asciiTheme="minorHAnsi" w:hAnsiTheme="minorHAnsi" w:cs="Arial"/>
        </w:rPr>
        <w:t>.</w:t>
      </w:r>
    </w:p>
    <w:p w14:paraId="2D51B397" w14:textId="7CE55B4B" w:rsidR="00AF7206" w:rsidRDefault="00AF7206" w:rsidP="008E68E9">
      <w:pPr>
        <w:numPr>
          <w:ilvl w:val="0"/>
          <w:numId w:val="18"/>
        </w:numPr>
        <w:autoSpaceDE w:val="0"/>
        <w:autoSpaceDN w:val="0"/>
        <w:adjustRightInd w:val="0"/>
        <w:snapToGrid w:val="0"/>
        <w:spacing w:after="240"/>
        <w:ind w:right="-46"/>
        <w:rPr>
          <w:rFonts w:asciiTheme="minorHAnsi" w:hAnsiTheme="minorHAnsi" w:cs="Arial"/>
        </w:rPr>
      </w:pPr>
      <w:r w:rsidRPr="00066BDD">
        <w:rPr>
          <w:rFonts w:asciiTheme="minorHAnsi" w:hAnsiTheme="minorHAnsi" w:cs="Arial"/>
          <w:lang w:val="en-AU"/>
        </w:rPr>
        <w:t>The Commission is concerned that extending t</w:t>
      </w:r>
      <w:r w:rsidR="00BE2009">
        <w:rPr>
          <w:rFonts w:asciiTheme="minorHAnsi" w:hAnsiTheme="minorHAnsi" w:cs="Arial"/>
          <w:lang w:val="en-AU"/>
        </w:rPr>
        <w:t>he preventative detention scheme</w:t>
      </w:r>
      <w:r w:rsidRPr="00066BDD">
        <w:rPr>
          <w:rFonts w:asciiTheme="minorHAnsi" w:hAnsiTheme="minorHAnsi" w:cs="Arial"/>
          <w:lang w:val="en-AU"/>
        </w:rPr>
        <w:t xml:space="preserve"> </w:t>
      </w:r>
      <w:r>
        <w:rPr>
          <w:rFonts w:asciiTheme="minorHAnsi" w:hAnsiTheme="minorHAnsi" w:cs="Arial"/>
          <w:lang w:val="en-AU"/>
        </w:rPr>
        <w:t xml:space="preserve">to 14 and 15 year olds </w:t>
      </w:r>
      <w:r w:rsidRPr="00066BDD">
        <w:rPr>
          <w:rFonts w:asciiTheme="minorHAnsi" w:hAnsiTheme="minorHAnsi" w:cs="Arial"/>
          <w:lang w:val="en-AU"/>
        </w:rPr>
        <w:t xml:space="preserve">limits a number of Charter rights, including </w:t>
      </w:r>
      <w:r>
        <w:rPr>
          <w:rFonts w:asciiTheme="minorHAnsi" w:hAnsiTheme="minorHAnsi" w:cs="Arial"/>
          <w:lang w:val="en-AU"/>
        </w:rPr>
        <w:t xml:space="preserve">children’s </w:t>
      </w:r>
      <w:r w:rsidRPr="00066BDD">
        <w:rPr>
          <w:rFonts w:asciiTheme="minorHAnsi" w:hAnsiTheme="minorHAnsi" w:cs="Arial"/>
          <w:lang w:val="en-AU"/>
        </w:rPr>
        <w:t xml:space="preserve">right to protection </w:t>
      </w:r>
      <w:r>
        <w:rPr>
          <w:rFonts w:asciiTheme="minorHAnsi" w:hAnsiTheme="minorHAnsi" w:cs="Arial"/>
          <w:lang w:val="en-AU"/>
        </w:rPr>
        <w:t>in their best interest</w:t>
      </w:r>
      <w:r w:rsidRPr="00066BDD">
        <w:rPr>
          <w:rFonts w:asciiTheme="minorHAnsi" w:hAnsiTheme="minorHAnsi" w:cs="Arial"/>
          <w:lang w:val="en-AU"/>
        </w:rPr>
        <w:t>,</w:t>
      </w:r>
      <w:r w:rsidRPr="00066BDD">
        <w:rPr>
          <w:rFonts w:asciiTheme="minorHAnsi" w:hAnsiTheme="minorHAnsi" w:cs="Arial"/>
        </w:rPr>
        <w:t xml:space="preserve"> </w:t>
      </w:r>
      <w:r>
        <w:rPr>
          <w:rFonts w:asciiTheme="minorHAnsi" w:hAnsiTheme="minorHAnsi" w:cs="Arial"/>
          <w:lang w:val="en-AU"/>
        </w:rPr>
        <w:t xml:space="preserve">the right to liberty and security, </w:t>
      </w:r>
      <w:r w:rsidRPr="00066BDD">
        <w:rPr>
          <w:rFonts w:asciiTheme="minorHAnsi" w:hAnsiTheme="minorHAnsi" w:cs="Arial"/>
        </w:rPr>
        <w:t>the right not</w:t>
      </w:r>
      <w:r>
        <w:rPr>
          <w:rFonts w:asciiTheme="minorHAnsi" w:hAnsiTheme="minorHAnsi" w:cs="Arial"/>
        </w:rPr>
        <w:t xml:space="preserve"> to be subjected to arbitrary arrest or detention</w:t>
      </w:r>
      <w:r w:rsidRPr="00066BDD">
        <w:rPr>
          <w:rFonts w:asciiTheme="minorHAnsi" w:hAnsiTheme="minorHAnsi" w:cs="Arial"/>
        </w:rPr>
        <w:t xml:space="preserve">, the right to be presumed innocent until proved </w:t>
      </w:r>
      <w:r>
        <w:rPr>
          <w:rFonts w:asciiTheme="minorHAnsi" w:hAnsiTheme="minorHAnsi" w:cs="Arial"/>
        </w:rPr>
        <w:t>guilty according to law</w:t>
      </w:r>
      <w:r w:rsidRPr="00066BDD">
        <w:rPr>
          <w:rFonts w:asciiTheme="minorHAnsi" w:hAnsiTheme="minorHAnsi" w:cs="Arial"/>
        </w:rPr>
        <w:t>,</w:t>
      </w:r>
      <w:r>
        <w:rPr>
          <w:rFonts w:asciiTheme="minorHAnsi" w:hAnsiTheme="minorHAnsi" w:cs="Arial"/>
        </w:rPr>
        <w:t xml:space="preserve"> and</w:t>
      </w:r>
      <w:r w:rsidRPr="00066BDD">
        <w:rPr>
          <w:rFonts w:asciiTheme="minorHAnsi" w:hAnsiTheme="minorHAnsi" w:cs="Arial"/>
        </w:rPr>
        <w:t xml:space="preserve"> </w:t>
      </w:r>
      <w:r w:rsidRPr="00066BDD">
        <w:rPr>
          <w:rFonts w:asciiTheme="minorHAnsi" w:hAnsiTheme="minorHAnsi" w:cs="Arial"/>
          <w:lang w:val="en-AU"/>
        </w:rPr>
        <w:t xml:space="preserve">the </w:t>
      </w:r>
      <w:r w:rsidRPr="00066BDD">
        <w:rPr>
          <w:rFonts w:asciiTheme="minorHAnsi" w:eastAsia="Calibri" w:hAnsiTheme="minorHAnsi" w:cs="Arial"/>
          <w:lang w:val="en-AU"/>
        </w:rPr>
        <w:t>right to a procedure that takes account</w:t>
      </w:r>
      <w:r>
        <w:rPr>
          <w:rFonts w:asciiTheme="minorHAnsi" w:eastAsia="Calibri" w:hAnsiTheme="minorHAnsi" w:cs="Arial"/>
          <w:lang w:val="en-AU"/>
        </w:rPr>
        <w:t xml:space="preserve"> of children’s</w:t>
      </w:r>
      <w:r w:rsidRPr="00066BDD">
        <w:rPr>
          <w:rFonts w:asciiTheme="minorHAnsi" w:eastAsia="Calibri" w:hAnsiTheme="minorHAnsi" w:cs="Arial"/>
          <w:lang w:val="en-AU"/>
        </w:rPr>
        <w:t xml:space="preserve"> age and the desirability of promoting</w:t>
      </w:r>
      <w:r>
        <w:rPr>
          <w:rFonts w:asciiTheme="minorHAnsi" w:eastAsia="Calibri" w:hAnsiTheme="minorHAnsi" w:cs="Arial"/>
          <w:lang w:val="en-AU"/>
        </w:rPr>
        <w:t xml:space="preserve"> their rehabilitation.</w:t>
      </w:r>
      <w:r>
        <w:rPr>
          <w:rFonts w:asciiTheme="minorHAnsi" w:hAnsiTheme="minorHAnsi" w:cs="Arial"/>
        </w:rPr>
        <w:t xml:space="preserve"> </w:t>
      </w:r>
    </w:p>
    <w:p w14:paraId="05EC52BF" w14:textId="77777777" w:rsidR="00BE2009" w:rsidRDefault="008E68E9" w:rsidP="008E68E9">
      <w:pPr>
        <w:numPr>
          <w:ilvl w:val="0"/>
          <w:numId w:val="18"/>
        </w:numPr>
        <w:autoSpaceDE w:val="0"/>
        <w:autoSpaceDN w:val="0"/>
        <w:adjustRightInd w:val="0"/>
        <w:snapToGrid w:val="0"/>
        <w:spacing w:after="240"/>
        <w:ind w:right="-46"/>
        <w:rPr>
          <w:rFonts w:asciiTheme="minorHAnsi" w:hAnsiTheme="minorHAnsi" w:cs="Arial"/>
        </w:rPr>
      </w:pPr>
      <w:r>
        <w:rPr>
          <w:rFonts w:asciiTheme="minorHAnsi" w:hAnsiTheme="minorHAnsi" w:cs="Arial"/>
        </w:rPr>
        <w:t xml:space="preserve">The Commission notes that Parliament must be satisfied under the Charter that there is sufficient evidence to warrant extending the preventative </w:t>
      </w:r>
      <w:r w:rsidR="00465ADF">
        <w:rPr>
          <w:rFonts w:asciiTheme="minorHAnsi" w:hAnsiTheme="minorHAnsi" w:cs="Arial"/>
        </w:rPr>
        <w:t>detention scheme</w:t>
      </w:r>
      <w:r>
        <w:rPr>
          <w:rFonts w:asciiTheme="minorHAnsi" w:hAnsiTheme="minorHAnsi" w:cs="Arial"/>
        </w:rPr>
        <w:t xml:space="preserve"> to 14 and 15 year olds.</w:t>
      </w:r>
    </w:p>
    <w:p w14:paraId="75D9B9C0" w14:textId="562F1EA9" w:rsidR="008E68E9" w:rsidRPr="008E68E9" w:rsidRDefault="008E68E9" w:rsidP="00BE2009">
      <w:pPr>
        <w:autoSpaceDE w:val="0"/>
        <w:autoSpaceDN w:val="0"/>
        <w:adjustRightInd w:val="0"/>
        <w:snapToGrid w:val="0"/>
        <w:spacing w:after="240"/>
        <w:ind w:left="360" w:right="-46"/>
        <w:rPr>
          <w:rFonts w:asciiTheme="minorHAnsi" w:hAnsiTheme="minorHAnsi" w:cs="Arial"/>
        </w:rPr>
      </w:pPr>
      <w:r>
        <w:rPr>
          <w:rFonts w:asciiTheme="minorHAnsi" w:hAnsiTheme="minorHAnsi" w:cs="Arial"/>
        </w:rPr>
        <w:t xml:space="preserve"> </w:t>
      </w:r>
    </w:p>
    <w:p w14:paraId="5AEC0CE4" w14:textId="1ED11D6F" w:rsidR="0069107E" w:rsidRPr="0069107E" w:rsidRDefault="0069107E" w:rsidP="00AF4B62">
      <w:pPr>
        <w:snapToGrid w:val="0"/>
        <w:spacing w:after="240"/>
        <w:ind w:right="-330"/>
        <w:rPr>
          <w:rFonts w:asciiTheme="minorHAnsi" w:hAnsiTheme="minorHAnsi" w:cs="Arial"/>
          <w:b/>
        </w:rPr>
      </w:pPr>
      <w:r w:rsidRPr="0069107E">
        <w:rPr>
          <w:rFonts w:asciiTheme="minorHAnsi" w:hAnsiTheme="minorHAnsi" w:cs="Arial"/>
          <w:b/>
        </w:rPr>
        <w:lastRenderedPageBreak/>
        <w:t xml:space="preserve">Safeguards </w:t>
      </w:r>
      <w:r w:rsidR="008E68E9">
        <w:rPr>
          <w:rFonts w:asciiTheme="minorHAnsi" w:hAnsiTheme="minorHAnsi" w:cs="Arial"/>
          <w:b/>
        </w:rPr>
        <w:t xml:space="preserve">for children </w:t>
      </w:r>
      <w:r w:rsidRPr="0069107E">
        <w:rPr>
          <w:rFonts w:asciiTheme="minorHAnsi" w:hAnsiTheme="minorHAnsi" w:cs="Arial"/>
          <w:b/>
        </w:rPr>
        <w:t xml:space="preserve">recommended by the </w:t>
      </w:r>
      <w:r w:rsidR="00C00865">
        <w:rPr>
          <w:rFonts w:asciiTheme="minorHAnsi" w:hAnsiTheme="minorHAnsi" w:cs="Arial"/>
          <w:b/>
        </w:rPr>
        <w:t>Panel</w:t>
      </w:r>
      <w:r w:rsidR="00FD18A5">
        <w:rPr>
          <w:rFonts w:asciiTheme="minorHAnsi" w:hAnsiTheme="minorHAnsi" w:cs="Arial"/>
          <w:b/>
        </w:rPr>
        <w:t xml:space="preserve"> </w:t>
      </w:r>
      <w:r w:rsidR="001D3742">
        <w:rPr>
          <w:rFonts w:asciiTheme="minorHAnsi" w:hAnsiTheme="minorHAnsi" w:cs="Arial"/>
          <w:b/>
        </w:rPr>
        <w:t xml:space="preserve">that are </w:t>
      </w:r>
      <w:r w:rsidR="00FD18A5">
        <w:rPr>
          <w:rFonts w:asciiTheme="minorHAnsi" w:hAnsiTheme="minorHAnsi" w:cs="Arial"/>
          <w:b/>
        </w:rPr>
        <w:t xml:space="preserve">not included in the preventative </w:t>
      </w:r>
      <w:r w:rsidR="00465ADF">
        <w:rPr>
          <w:rFonts w:asciiTheme="minorHAnsi" w:hAnsiTheme="minorHAnsi" w:cs="Arial"/>
          <w:b/>
        </w:rPr>
        <w:t>detention scheme</w:t>
      </w:r>
    </w:p>
    <w:p w14:paraId="23F9D0E0" w14:textId="49C72633" w:rsidR="004C14E1" w:rsidRDefault="001D3742" w:rsidP="00361A6F">
      <w:pPr>
        <w:pStyle w:val="ListParagraph"/>
        <w:numPr>
          <w:ilvl w:val="0"/>
          <w:numId w:val="18"/>
        </w:numPr>
        <w:snapToGrid w:val="0"/>
        <w:spacing w:after="240"/>
        <w:ind w:left="357" w:right="-329" w:hanging="357"/>
        <w:contextualSpacing w:val="0"/>
        <w:rPr>
          <w:rFonts w:asciiTheme="minorHAnsi" w:hAnsiTheme="minorHAnsi" w:cs="Arial"/>
          <w:iCs/>
        </w:rPr>
      </w:pPr>
      <w:r>
        <w:rPr>
          <w:rFonts w:asciiTheme="minorHAnsi" w:hAnsiTheme="minorHAnsi" w:cs="Arial"/>
          <w:iCs/>
        </w:rPr>
        <w:t>Noting the potentially significant impact of these laws on human rights, t</w:t>
      </w:r>
      <w:r w:rsidR="004C14E1">
        <w:rPr>
          <w:rFonts w:asciiTheme="minorHAnsi" w:hAnsiTheme="minorHAnsi" w:cs="Arial"/>
          <w:iCs/>
        </w:rPr>
        <w:t xml:space="preserve">he </w:t>
      </w:r>
      <w:r w:rsidR="00C00865">
        <w:rPr>
          <w:rFonts w:asciiTheme="minorHAnsi" w:hAnsiTheme="minorHAnsi" w:cs="Arial"/>
          <w:iCs/>
        </w:rPr>
        <w:t>Panel</w:t>
      </w:r>
      <w:r w:rsidR="004C14E1">
        <w:rPr>
          <w:rFonts w:asciiTheme="minorHAnsi" w:hAnsiTheme="minorHAnsi" w:cs="Arial"/>
          <w:iCs/>
        </w:rPr>
        <w:t xml:space="preserve"> recommended that additional and exceptional safeguards and protections </w:t>
      </w:r>
      <w:r w:rsidR="009764CE">
        <w:rPr>
          <w:rFonts w:asciiTheme="minorHAnsi" w:hAnsiTheme="minorHAnsi" w:cs="Arial"/>
          <w:iCs/>
        </w:rPr>
        <w:t xml:space="preserve">are necessary to </w:t>
      </w:r>
      <w:r w:rsidR="000207AE" w:rsidRPr="008B59B2">
        <w:rPr>
          <w:rFonts w:asciiTheme="minorHAnsi" w:hAnsiTheme="minorHAnsi" w:cs="Arial"/>
          <w:iCs/>
        </w:rPr>
        <w:t>ensure that minors detained under the scheme are protected to the greatest extent practicable</w:t>
      </w:r>
      <w:r w:rsidR="008B59B2">
        <w:rPr>
          <w:rFonts w:asciiTheme="minorHAnsi" w:hAnsiTheme="minorHAnsi" w:cs="Arial"/>
          <w:iCs/>
        </w:rPr>
        <w:t>.</w:t>
      </w:r>
      <w:r w:rsidR="008B59B2" w:rsidRPr="008B59B2">
        <w:rPr>
          <w:rStyle w:val="FootnoteReference"/>
          <w:rFonts w:asciiTheme="minorHAnsi" w:hAnsiTheme="minorHAnsi" w:cs="Arial"/>
          <w:iCs/>
        </w:rPr>
        <w:footnoteReference w:id="10"/>
      </w:r>
      <w:r w:rsidR="008B59B2">
        <w:rPr>
          <w:rFonts w:asciiTheme="minorHAnsi" w:hAnsiTheme="minorHAnsi" w:cs="Arial"/>
          <w:iCs/>
        </w:rPr>
        <w:t xml:space="preserve"> </w:t>
      </w:r>
    </w:p>
    <w:p w14:paraId="6422D4D4" w14:textId="50924CC5" w:rsidR="009764CE" w:rsidRDefault="001D3742" w:rsidP="00361A6F">
      <w:pPr>
        <w:pStyle w:val="ListParagraph"/>
        <w:numPr>
          <w:ilvl w:val="0"/>
          <w:numId w:val="18"/>
        </w:numPr>
        <w:snapToGrid w:val="0"/>
        <w:spacing w:after="240"/>
        <w:ind w:left="357" w:right="-329" w:hanging="357"/>
        <w:contextualSpacing w:val="0"/>
        <w:rPr>
          <w:rFonts w:asciiTheme="minorHAnsi" w:hAnsiTheme="minorHAnsi" w:cs="Arial"/>
          <w:iCs/>
        </w:rPr>
      </w:pPr>
      <w:r>
        <w:rPr>
          <w:rFonts w:asciiTheme="minorHAnsi" w:hAnsiTheme="minorHAnsi" w:cs="Arial"/>
          <w:iCs/>
        </w:rPr>
        <w:t>T</w:t>
      </w:r>
      <w:r w:rsidR="009764CE">
        <w:rPr>
          <w:rFonts w:asciiTheme="minorHAnsi" w:hAnsiTheme="minorHAnsi" w:cs="Arial"/>
          <w:iCs/>
        </w:rPr>
        <w:t xml:space="preserve">he </w:t>
      </w:r>
      <w:r w:rsidR="00C00865">
        <w:rPr>
          <w:rFonts w:asciiTheme="minorHAnsi" w:hAnsiTheme="minorHAnsi" w:cs="Arial"/>
          <w:iCs/>
        </w:rPr>
        <w:t>Panel</w:t>
      </w:r>
      <w:r w:rsidR="009764CE">
        <w:rPr>
          <w:rFonts w:asciiTheme="minorHAnsi" w:hAnsiTheme="minorHAnsi" w:cs="Arial"/>
          <w:iCs/>
        </w:rPr>
        <w:t xml:space="preserve"> noted that these safeguards “should apply to any minor detained under that scheme and not only to those that are 14 or 15 years old”.</w:t>
      </w:r>
      <w:r w:rsidR="009764CE">
        <w:rPr>
          <w:rStyle w:val="FootnoteReference"/>
          <w:rFonts w:asciiTheme="minorHAnsi" w:hAnsiTheme="minorHAnsi" w:cs="Arial"/>
          <w:iCs/>
        </w:rPr>
        <w:footnoteReference w:id="11"/>
      </w:r>
    </w:p>
    <w:p w14:paraId="65A1CB05" w14:textId="3C6F3823" w:rsidR="004C14E1" w:rsidRPr="004C14E1" w:rsidRDefault="00941FD7" w:rsidP="00361A6F">
      <w:pPr>
        <w:pStyle w:val="ListParagraph"/>
        <w:numPr>
          <w:ilvl w:val="0"/>
          <w:numId w:val="18"/>
        </w:numPr>
        <w:snapToGrid w:val="0"/>
        <w:spacing w:after="240"/>
        <w:ind w:left="357" w:right="-329" w:hanging="357"/>
        <w:contextualSpacing w:val="0"/>
        <w:rPr>
          <w:rFonts w:asciiTheme="minorHAnsi" w:hAnsiTheme="minorHAnsi" w:cs="Arial"/>
          <w:iCs/>
        </w:rPr>
      </w:pPr>
      <w:r>
        <w:rPr>
          <w:rFonts w:asciiTheme="minorHAnsi" w:hAnsiTheme="minorHAnsi" w:cs="Arial"/>
        </w:rPr>
        <w:t xml:space="preserve">While some safeguards have been included in the Bill, </w:t>
      </w:r>
      <w:r w:rsidR="00027BE2">
        <w:rPr>
          <w:rFonts w:asciiTheme="minorHAnsi" w:hAnsiTheme="minorHAnsi" w:cs="Arial"/>
        </w:rPr>
        <w:t xml:space="preserve">the Commission is concerned that </w:t>
      </w:r>
      <w:r>
        <w:rPr>
          <w:rFonts w:asciiTheme="minorHAnsi" w:hAnsiTheme="minorHAnsi" w:cs="Arial"/>
        </w:rPr>
        <w:t xml:space="preserve">it does not appear that those outlined by </w:t>
      </w:r>
      <w:r w:rsidR="00CA5133" w:rsidRPr="008B59B2">
        <w:rPr>
          <w:rFonts w:asciiTheme="minorHAnsi" w:hAnsiTheme="minorHAnsi" w:cs="Arial"/>
        </w:rPr>
        <w:t xml:space="preserve">the </w:t>
      </w:r>
      <w:r w:rsidR="00C00865">
        <w:rPr>
          <w:rFonts w:asciiTheme="minorHAnsi" w:hAnsiTheme="minorHAnsi" w:cs="Arial"/>
        </w:rPr>
        <w:t>Panel</w:t>
      </w:r>
      <w:r>
        <w:rPr>
          <w:rFonts w:asciiTheme="minorHAnsi" w:hAnsiTheme="minorHAnsi" w:cs="Arial"/>
        </w:rPr>
        <w:t xml:space="preserve">’s Recommendations 22 and 23 have been included. These recommendations </w:t>
      </w:r>
      <w:r w:rsidR="001D3742">
        <w:rPr>
          <w:rFonts w:asciiTheme="minorHAnsi" w:hAnsiTheme="minorHAnsi" w:cs="Arial"/>
        </w:rPr>
        <w:t>provide for additional Supreme C</w:t>
      </w:r>
      <w:r>
        <w:rPr>
          <w:rFonts w:asciiTheme="minorHAnsi" w:hAnsiTheme="minorHAnsi" w:cs="Arial"/>
        </w:rPr>
        <w:t xml:space="preserve">ourt powers </w:t>
      </w:r>
      <w:r w:rsidR="00027BE2">
        <w:rPr>
          <w:rFonts w:asciiTheme="minorHAnsi" w:hAnsiTheme="minorHAnsi" w:cs="Arial"/>
        </w:rPr>
        <w:t xml:space="preserve">to make an order other than a preventative detention order. </w:t>
      </w:r>
    </w:p>
    <w:p w14:paraId="40311BBD" w14:textId="671908BE" w:rsidR="00CA5133" w:rsidRPr="008B59B2" w:rsidRDefault="00AF4B62" w:rsidP="00361A6F">
      <w:pPr>
        <w:pStyle w:val="ListParagraph"/>
        <w:numPr>
          <w:ilvl w:val="0"/>
          <w:numId w:val="18"/>
        </w:numPr>
        <w:snapToGrid w:val="0"/>
        <w:spacing w:after="240"/>
        <w:ind w:left="357" w:right="-329" w:hanging="357"/>
        <w:contextualSpacing w:val="0"/>
        <w:rPr>
          <w:rFonts w:asciiTheme="minorHAnsi" w:hAnsiTheme="minorHAnsi" w:cs="Arial"/>
          <w:iCs/>
        </w:rPr>
      </w:pPr>
      <w:r w:rsidRPr="008B59B2">
        <w:rPr>
          <w:rFonts w:asciiTheme="minorHAnsi" w:hAnsiTheme="minorHAnsi" w:cs="Arial"/>
        </w:rPr>
        <w:t>Recommendation</w:t>
      </w:r>
      <w:r w:rsidR="00CA5133" w:rsidRPr="008B59B2">
        <w:rPr>
          <w:rFonts w:asciiTheme="minorHAnsi" w:hAnsiTheme="minorHAnsi" w:cs="Arial"/>
        </w:rPr>
        <w:t xml:space="preserve"> 22 and 23</w:t>
      </w:r>
      <w:r w:rsidR="00A05F01">
        <w:rPr>
          <w:rFonts w:asciiTheme="minorHAnsi" w:hAnsiTheme="minorHAnsi" w:cs="Arial"/>
        </w:rPr>
        <w:t xml:space="preserve"> of Report 2</w:t>
      </w:r>
      <w:r w:rsidR="00027BE2">
        <w:rPr>
          <w:rFonts w:asciiTheme="minorHAnsi" w:hAnsiTheme="minorHAnsi" w:cs="Arial"/>
        </w:rPr>
        <w:t xml:space="preserve"> states</w:t>
      </w:r>
      <w:r w:rsidR="00CA5133" w:rsidRPr="008B59B2">
        <w:rPr>
          <w:rFonts w:asciiTheme="minorHAnsi" w:hAnsiTheme="minorHAnsi" w:cs="Arial"/>
        </w:rPr>
        <w:t>:</w:t>
      </w:r>
    </w:p>
    <w:p w14:paraId="6A98F920" w14:textId="77777777" w:rsidR="00A125F0" w:rsidRPr="00066BDD" w:rsidRDefault="00A125F0" w:rsidP="00AF4B62">
      <w:pPr>
        <w:snapToGrid w:val="0"/>
        <w:spacing w:after="240"/>
        <w:ind w:left="720"/>
        <w:rPr>
          <w:rFonts w:asciiTheme="minorHAnsi" w:hAnsiTheme="minorHAnsi"/>
          <w:i/>
          <w:iCs/>
          <w:u w:val="single"/>
        </w:rPr>
      </w:pPr>
      <w:r w:rsidRPr="00066BDD">
        <w:rPr>
          <w:rFonts w:asciiTheme="minorHAnsi" w:hAnsiTheme="minorHAnsi"/>
          <w:i/>
          <w:iCs/>
          <w:u w:val="single"/>
        </w:rPr>
        <w:t>Recommendation 22</w:t>
      </w:r>
    </w:p>
    <w:p w14:paraId="099A2449" w14:textId="77777777" w:rsidR="00A125F0" w:rsidRPr="00066BDD" w:rsidRDefault="00A125F0" w:rsidP="00AF4B62">
      <w:pPr>
        <w:snapToGrid w:val="0"/>
        <w:spacing w:after="240"/>
        <w:ind w:left="720"/>
        <w:rPr>
          <w:rFonts w:asciiTheme="minorHAnsi" w:hAnsiTheme="minorHAnsi"/>
          <w:i/>
          <w:iCs/>
        </w:rPr>
      </w:pPr>
      <w:r w:rsidRPr="00066BDD">
        <w:rPr>
          <w:rFonts w:asciiTheme="minorHAnsi" w:hAnsiTheme="minorHAnsi"/>
          <w:i/>
          <w:iCs/>
        </w:rPr>
        <w:t>That the power to make a preventative detention order in respect of a minor only be available to the Supreme Court if it is satisfied:</w:t>
      </w:r>
    </w:p>
    <w:p w14:paraId="796EA7F5" w14:textId="77777777" w:rsidR="00A125F0" w:rsidRPr="00066BDD" w:rsidRDefault="00A125F0" w:rsidP="00AF4B62">
      <w:pPr>
        <w:pStyle w:val="ListParagraph"/>
        <w:numPr>
          <w:ilvl w:val="0"/>
          <w:numId w:val="21"/>
        </w:numPr>
        <w:snapToGrid w:val="0"/>
        <w:spacing w:after="240"/>
        <w:contextualSpacing w:val="0"/>
        <w:rPr>
          <w:rFonts w:asciiTheme="minorHAnsi" w:hAnsiTheme="minorHAnsi"/>
          <w:i/>
          <w:iCs/>
        </w:rPr>
      </w:pPr>
      <w:r w:rsidRPr="00066BDD">
        <w:rPr>
          <w:rFonts w:asciiTheme="minorHAnsi" w:hAnsiTheme="minorHAnsi"/>
          <w:i/>
          <w:iCs/>
        </w:rPr>
        <w:t>that there are no other less restrictive means available to prevent an imminent terrorist act occurring or to preserve evidence of, or relating to, a recent terrorist act; and</w:t>
      </w:r>
    </w:p>
    <w:p w14:paraId="252E5EFC" w14:textId="77777777" w:rsidR="00A125F0" w:rsidRPr="00066BDD" w:rsidRDefault="00A125F0" w:rsidP="00AF4B62">
      <w:pPr>
        <w:pStyle w:val="ListParagraph"/>
        <w:numPr>
          <w:ilvl w:val="0"/>
          <w:numId w:val="21"/>
        </w:numPr>
        <w:snapToGrid w:val="0"/>
        <w:spacing w:after="240"/>
        <w:contextualSpacing w:val="0"/>
        <w:rPr>
          <w:rFonts w:asciiTheme="minorHAnsi" w:hAnsiTheme="minorHAnsi"/>
          <w:i/>
          <w:iCs/>
        </w:rPr>
      </w:pPr>
      <w:r w:rsidRPr="00066BDD">
        <w:rPr>
          <w:rFonts w:asciiTheme="minorHAnsi" w:hAnsiTheme="minorHAnsi"/>
          <w:i/>
          <w:iCs/>
        </w:rPr>
        <w:t>that the particular requirements in relation to the preventative detention of a minor, including any conditions imposed on that detention by the court, can be met.</w:t>
      </w:r>
    </w:p>
    <w:p w14:paraId="7EFEC27C" w14:textId="77777777" w:rsidR="00A125F0" w:rsidRPr="00066BDD" w:rsidRDefault="00A125F0" w:rsidP="00AF4B62">
      <w:pPr>
        <w:snapToGrid w:val="0"/>
        <w:spacing w:after="240"/>
        <w:ind w:left="720"/>
        <w:rPr>
          <w:rFonts w:asciiTheme="minorHAnsi" w:hAnsiTheme="minorHAnsi"/>
          <w:i/>
          <w:iCs/>
          <w:u w:val="single"/>
        </w:rPr>
      </w:pPr>
      <w:r w:rsidRPr="00066BDD">
        <w:rPr>
          <w:rFonts w:asciiTheme="minorHAnsi" w:hAnsiTheme="minorHAnsi"/>
          <w:i/>
          <w:iCs/>
          <w:u w:val="single"/>
        </w:rPr>
        <w:t>Recommendation 23</w:t>
      </w:r>
    </w:p>
    <w:p w14:paraId="0E780031" w14:textId="77777777" w:rsidR="00A125F0" w:rsidRPr="00066BDD" w:rsidRDefault="00A125F0" w:rsidP="00AF4B62">
      <w:pPr>
        <w:snapToGrid w:val="0"/>
        <w:spacing w:after="240"/>
        <w:ind w:left="720"/>
        <w:rPr>
          <w:rFonts w:asciiTheme="minorHAnsi" w:hAnsiTheme="minorHAnsi"/>
          <w:i/>
          <w:iCs/>
        </w:rPr>
      </w:pPr>
      <w:r w:rsidRPr="00066BDD">
        <w:rPr>
          <w:rFonts w:asciiTheme="minorHAnsi" w:hAnsiTheme="minorHAnsi"/>
          <w:i/>
          <w:iCs/>
        </w:rPr>
        <w:t>That if the Supreme Court is satisfied that an order other than a preventative detention order would be a less restrictive means of preventing an imminent terrorist act occurring or preserving evidence of, or relating to, a recent terrorist act:</w:t>
      </w:r>
    </w:p>
    <w:p w14:paraId="2CAC1611" w14:textId="77777777" w:rsidR="00A125F0" w:rsidRPr="00066BDD" w:rsidRDefault="00A125F0" w:rsidP="00AF4B62">
      <w:pPr>
        <w:pStyle w:val="ListParagraph"/>
        <w:numPr>
          <w:ilvl w:val="0"/>
          <w:numId w:val="22"/>
        </w:numPr>
        <w:snapToGrid w:val="0"/>
        <w:spacing w:after="240"/>
        <w:contextualSpacing w:val="0"/>
        <w:rPr>
          <w:rFonts w:asciiTheme="minorHAnsi" w:hAnsiTheme="minorHAnsi"/>
          <w:i/>
          <w:iCs/>
        </w:rPr>
      </w:pPr>
      <w:r w:rsidRPr="00066BDD">
        <w:rPr>
          <w:rFonts w:asciiTheme="minorHAnsi" w:hAnsiTheme="minorHAnsi"/>
          <w:i/>
          <w:iCs/>
        </w:rPr>
        <w:t>the court be empowered to make alternative orders and impose appropriate conditions in response to an application for a preventative detention order in respect of a minor; and</w:t>
      </w:r>
    </w:p>
    <w:p w14:paraId="41D162E0" w14:textId="02A90687" w:rsidR="00A125F0" w:rsidRPr="00066BDD" w:rsidRDefault="00A125F0" w:rsidP="00AF4B62">
      <w:pPr>
        <w:pStyle w:val="ListParagraph"/>
        <w:numPr>
          <w:ilvl w:val="0"/>
          <w:numId w:val="22"/>
        </w:numPr>
        <w:snapToGrid w:val="0"/>
        <w:spacing w:after="240"/>
        <w:contextualSpacing w:val="0"/>
        <w:rPr>
          <w:rFonts w:asciiTheme="minorHAnsi" w:hAnsiTheme="minorHAnsi"/>
          <w:i/>
          <w:iCs/>
        </w:rPr>
      </w:pPr>
      <w:r w:rsidRPr="00066BDD">
        <w:rPr>
          <w:rFonts w:asciiTheme="minorHAnsi" w:hAnsiTheme="minorHAnsi"/>
          <w:i/>
          <w:iCs/>
        </w:rPr>
        <w:lastRenderedPageBreak/>
        <w:t>the court be required, in making such orders or imposing such conditions, to consider a range of specific matters with respect to the minor including the minor’s physical and mental health and vulnerability.</w:t>
      </w:r>
      <w:r w:rsidR="007B186B">
        <w:rPr>
          <w:rStyle w:val="FootnoteReference"/>
          <w:rFonts w:asciiTheme="minorHAnsi" w:hAnsiTheme="minorHAnsi"/>
          <w:i/>
          <w:iCs/>
        </w:rPr>
        <w:footnoteReference w:id="12"/>
      </w:r>
    </w:p>
    <w:p w14:paraId="67FBA009" w14:textId="29BB79F6" w:rsidR="008F5D8D" w:rsidRDefault="007B186B" w:rsidP="00DB470E">
      <w:pPr>
        <w:pStyle w:val="ListParagraph"/>
        <w:numPr>
          <w:ilvl w:val="0"/>
          <w:numId w:val="18"/>
        </w:numPr>
        <w:snapToGrid w:val="0"/>
        <w:spacing w:after="240"/>
        <w:contextualSpacing w:val="0"/>
        <w:rPr>
          <w:rFonts w:asciiTheme="minorHAnsi" w:hAnsiTheme="minorHAnsi"/>
        </w:rPr>
      </w:pPr>
      <w:r w:rsidRPr="00066BDD">
        <w:rPr>
          <w:rFonts w:asciiTheme="minorHAnsi" w:hAnsiTheme="minorHAnsi"/>
        </w:rPr>
        <w:t>The</w:t>
      </w:r>
      <w:r w:rsidR="00361A6F">
        <w:rPr>
          <w:rFonts w:asciiTheme="minorHAnsi" w:hAnsiTheme="minorHAnsi"/>
        </w:rPr>
        <w:t>se</w:t>
      </w:r>
      <w:r w:rsidRPr="00066BDD">
        <w:rPr>
          <w:rFonts w:asciiTheme="minorHAnsi" w:hAnsiTheme="minorHAnsi"/>
        </w:rPr>
        <w:t xml:space="preserve"> safeguards </w:t>
      </w:r>
      <w:r w:rsidR="00DF2453">
        <w:rPr>
          <w:rFonts w:asciiTheme="minorHAnsi" w:hAnsiTheme="minorHAnsi"/>
        </w:rPr>
        <w:t>are an integral part of the Panel’s</w:t>
      </w:r>
      <w:r w:rsidR="00A05F01">
        <w:rPr>
          <w:rFonts w:asciiTheme="minorHAnsi" w:hAnsiTheme="minorHAnsi"/>
        </w:rPr>
        <w:t xml:space="preserve"> recommended</w:t>
      </w:r>
      <w:r w:rsidR="00FD18A5">
        <w:rPr>
          <w:rFonts w:asciiTheme="minorHAnsi" w:hAnsiTheme="minorHAnsi"/>
        </w:rPr>
        <w:t xml:space="preserve"> preventative </w:t>
      </w:r>
      <w:r w:rsidR="00465ADF">
        <w:rPr>
          <w:rFonts w:asciiTheme="minorHAnsi" w:hAnsiTheme="minorHAnsi"/>
        </w:rPr>
        <w:t>detention scheme</w:t>
      </w:r>
      <w:r w:rsidRPr="00066BDD">
        <w:rPr>
          <w:rFonts w:asciiTheme="minorHAnsi" w:hAnsiTheme="minorHAnsi"/>
        </w:rPr>
        <w:t>.</w:t>
      </w:r>
      <w:r w:rsidR="00A05F01">
        <w:rPr>
          <w:rFonts w:asciiTheme="minorHAnsi" w:hAnsiTheme="minorHAnsi"/>
        </w:rPr>
        <w:t xml:space="preserve"> </w:t>
      </w:r>
      <w:r w:rsidR="00DF2453">
        <w:rPr>
          <w:rFonts w:asciiTheme="minorHAnsi" w:hAnsiTheme="minorHAnsi"/>
        </w:rPr>
        <w:t>The safeguards</w:t>
      </w:r>
      <w:r w:rsidR="00027BE2">
        <w:rPr>
          <w:rFonts w:asciiTheme="minorHAnsi" w:hAnsiTheme="minorHAnsi"/>
        </w:rPr>
        <w:t xml:space="preserve"> aim to balance the rig</w:t>
      </w:r>
      <w:r w:rsidR="00361A6F">
        <w:rPr>
          <w:rFonts w:asciiTheme="minorHAnsi" w:hAnsiTheme="minorHAnsi"/>
        </w:rPr>
        <w:t>h</w:t>
      </w:r>
      <w:r w:rsidR="00027BE2">
        <w:rPr>
          <w:rFonts w:asciiTheme="minorHAnsi" w:hAnsiTheme="minorHAnsi"/>
        </w:rPr>
        <w:t>t</w:t>
      </w:r>
      <w:r w:rsidR="00361A6F">
        <w:rPr>
          <w:rFonts w:asciiTheme="minorHAnsi" w:hAnsiTheme="minorHAnsi"/>
        </w:rPr>
        <w:t xml:space="preserve">s of children </w:t>
      </w:r>
      <w:r w:rsidR="001C3CD6">
        <w:rPr>
          <w:rFonts w:asciiTheme="minorHAnsi" w:hAnsiTheme="minorHAnsi"/>
        </w:rPr>
        <w:t>with community safety concerns</w:t>
      </w:r>
      <w:r w:rsidR="00361A6F">
        <w:rPr>
          <w:rFonts w:asciiTheme="minorHAnsi" w:hAnsiTheme="minorHAnsi"/>
        </w:rPr>
        <w:t xml:space="preserve"> by ensuring that any limitation on children</w:t>
      </w:r>
      <w:r w:rsidR="00FD18A5">
        <w:rPr>
          <w:rFonts w:asciiTheme="minorHAnsi" w:hAnsiTheme="minorHAnsi"/>
        </w:rPr>
        <w:t>’</w:t>
      </w:r>
      <w:r w:rsidR="00361A6F">
        <w:rPr>
          <w:rFonts w:asciiTheme="minorHAnsi" w:hAnsiTheme="minorHAnsi"/>
        </w:rPr>
        <w:t xml:space="preserve">s rights will be the least </w:t>
      </w:r>
      <w:r w:rsidR="00361A6F" w:rsidRPr="00DB470E">
        <w:rPr>
          <w:rFonts w:asciiTheme="minorHAnsi" w:hAnsiTheme="minorHAnsi"/>
        </w:rPr>
        <w:t>restric</w:t>
      </w:r>
      <w:r w:rsidR="00D24994">
        <w:rPr>
          <w:rFonts w:asciiTheme="minorHAnsi" w:hAnsiTheme="minorHAnsi"/>
        </w:rPr>
        <w:t>ti</w:t>
      </w:r>
      <w:r w:rsidR="00361A6F" w:rsidRPr="00DB470E">
        <w:rPr>
          <w:rFonts w:asciiTheme="minorHAnsi" w:hAnsiTheme="minorHAnsi"/>
        </w:rPr>
        <w:t xml:space="preserve">ve </w:t>
      </w:r>
      <w:r w:rsidR="00DB470E" w:rsidRPr="00DB470E">
        <w:rPr>
          <w:rFonts w:asciiTheme="minorHAnsi" w:hAnsiTheme="minorHAnsi"/>
        </w:rPr>
        <w:t>means available to prevent an imminent terrorist act occurring</w:t>
      </w:r>
      <w:r w:rsidR="00DB470E">
        <w:rPr>
          <w:rFonts w:asciiTheme="minorHAnsi" w:hAnsiTheme="minorHAnsi"/>
        </w:rPr>
        <w:t xml:space="preserve">. </w:t>
      </w:r>
    </w:p>
    <w:p w14:paraId="45BC106B" w14:textId="1789D453" w:rsidR="00E0748E" w:rsidRDefault="00E0748E" w:rsidP="00DB470E">
      <w:pPr>
        <w:pStyle w:val="ListParagraph"/>
        <w:numPr>
          <w:ilvl w:val="0"/>
          <w:numId w:val="18"/>
        </w:numPr>
        <w:snapToGrid w:val="0"/>
        <w:spacing w:after="240"/>
        <w:contextualSpacing w:val="0"/>
        <w:rPr>
          <w:rFonts w:asciiTheme="minorHAnsi" w:hAnsiTheme="minorHAnsi"/>
        </w:rPr>
      </w:pPr>
      <w:r>
        <w:rPr>
          <w:rFonts w:asciiTheme="minorHAnsi" w:hAnsiTheme="minorHAnsi"/>
        </w:rPr>
        <w:t>The Panel sets out the objective</w:t>
      </w:r>
      <w:r w:rsidR="00DF2453">
        <w:rPr>
          <w:rFonts w:asciiTheme="minorHAnsi" w:hAnsiTheme="minorHAnsi"/>
        </w:rPr>
        <w:t xml:space="preserve"> for R</w:t>
      </w:r>
      <w:r>
        <w:rPr>
          <w:rFonts w:asciiTheme="minorHAnsi" w:hAnsiTheme="minorHAnsi"/>
        </w:rPr>
        <w:t>ecommendation</w:t>
      </w:r>
      <w:r w:rsidR="00263ADE">
        <w:rPr>
          <w:rFonts w:asciiTheme="minorHAnsi" w:hAnsiTheme="minorHAnsi"/>
        </w:rPr>
        <w:t xml:space="preserve">s </w:t>
      </w:r>
      <w:r w:rsidR="00DF2453">
        <w:rPr>
          <w:rFonts w:asciiTheme="minorHAnsi" w:hAnsiTheme="minorHAnsi"/>
        </w:rPr>
        <w:t xml:space="preserve">22 and 23 </w:t>
      </w:r>
      <w:r w:rsidR="00263ADE">
        <w:rPr>
          <w:rFonts w:asciiTheme="minorHAnsi" w:hAnsiTheme="minorHAnsi"/>
        </w:rPr>
        <w:t xml:space="preserve">at pages 103-104 of </w:t>
      </w:r>
      <w:r>
        <w:rPr>
          <w:rFonts w:asciiTheme="minorHAnsi" w:hAnsiTheme="minorHAnsi"/>
        </w:rPr>
        <w:t>Report</w:t>
      </w:r>
      <w:r w:rsidR="00FD18A5">
        <w:rPr>
          <w:rFonts w:asciiTheme="minorHAnsi" w:hAnsiTheme="minorHAnsi"/>
        </w:rPr>
        <w:t xml:space="preserve"> 2</w:t>
      </w:r>
      <w:r>
        <w:rPr>
          <w:rFonts w:asciiTheme="minorHAnsi" w:hAnsiTheme="minorHAnsi"/>
        </w:rPr>
        <w:t>. It states:</w:t>
      </w:r>
    </w:p>
    <w:p w14:paraId="69560985" w14:textId="542DD3F7" w:rsidR="00E0748E" w:rsidRDefault="00E0748E" w:rsidP="00E0748E">
      <w:pPr>
        <w:pStyle w:val="ListParagraph"/>
        <w:snapToGrid w:val="0"/>
        <w:spacing w:after="240"/>
        <w:contextualSpacing w:val="0"/>
        <w:rPr>
          <w:rFonts w:asciiTheme="minorHAnsi" w:hAnsiTheme="minorHAnsi"/>
          <w:i/>
        </w:rPr>
      </w:pPr>
      <w:r>
        <w:rPr>
          <w:rFonts w:asciiTheme="minorHAnsi" w:hAnsiTheme="minorHAnsi"/>
          <w:i/>
        </w:rPr>
        <w:t>The discretion should be a broad one. The objective is to confer on the Supreme Court sufficient powers to enable it to make such orders, short of a preventative detention order, as are necessary to address the risks posed by the person the subject of the application</w:t>
      </w:r>
      <w:proofErr w:type="gramStart"/>
      <w:r>
        <w:rPr>
          <w:rFonts w:asciiTheme="minorHAnsi" w:hAnsiTheme="minorHAnsi"/>
          <w:i/>
        </w:rPr>
        <w:t>….the</w:t>
      </w:r>
      <w:proofErr w:type="gramEnd"/>
      <w:r>
        <w:rPr>
          <w:rFonts w:asciiTheme="minorHAnsi" w:hAnsiTheme="minorHAnsi"/>
          <w:i/>
        </w:rPr>
        <w:t xml:space="preserve"> minor’s best interests should be a primary consideration but subordinate to the paramount consideration of community safety.</w:t>
      </w:r>
    </w:p>
    <w:p w14:paraId="7D299BA5" w14:textId="7DB59F4C" w:rsidR="00E0748E" w:rsidRDefault="00E0748E" w:rsidP="00E0748E">
      <w:pPr>
        <w:pStyle w:val="ListParagraph"/>
        <w:numPr>
          <w:ilvl w:val="0"/>
          <w:numId w:val="18"/>
        </w:numPr>
        <w:snapToGrid w:val="0"/>
        <w:spacing w:after="240"/>
        <w:rPr>
          <w:rFonts w:asciiTheme="minorHAnsi" w:hAnsiTheme="minorHAnsi"/>
        </w:rPr>
      </w:pPr>
      <w:r>
        <w:rPr>
          <w:rFonts w:asciiTheme="minorHAnsi" w:hAnsiTheme="minorHAnsi"/>
        </w:rPr>
        <w:t>Recommendations 22 and 23 enable the Supreme Court to take into account the particular needs, circumstances and vulnerabilities of the child. The Panel sets out the following considerations by way of example:</w:t>
      </w:r>
    </w:p>
    <w:p w14:paraId="60B0A2F2" w14:textId="3A23BBC1" w:rsidR="00400BD0" w:rsidRDefault="00400BD0" w:rsidP="00400BD0">
      <w:pPr>
        <w:pStyle w:val="ListParagraph"/>
        <w:numPr>
          <w:ilvl w:val="0"/>
          <w:numId w:val="34"/>
        </w:numPr>
        <w:snapToGrid w:val="0"/>
        <w:spacing w:before="240" w:after="240"/>
        <w:rPr>
          <w:rFonts w:asciiTheme="minorHAnsi" w:hAnsiTheme="minorHAnsi"/>
          <w:i/>
        </w:rPr>
      </w:pPr>
      <w:r>
        <w:rPr>
          <w:rFonts w:asciiTheme="minorHAnsi" w:hAnsiTheme="minorHAnsi"/>
          <w:i/>
        </w:rPr>
        <w:t>the minor’s age, maturity, sex and background (including lifestyle, culture and traditions);</w:t>
      </w:r>
    </w:p>
    <w:p w14:paraId="3B336C4C" w14:textId="3A28B5C2" w:rsidR="00400BD0" w:rsidRDefault="00400BD0" w:rsidP="00400BD0">
      <w:pPr>
        <w:pStyle w:val="ListParagraph"/>
        <w:numPr>
          <w:ilvl w:val="0"/>
          <w:numId w:val="34"/>
        </w:numPr>
        <w:snapToGrid w:val="0"/>
        <w:spacing w:before="240" w:after="240"/>
        <w:rPr>
          <w:rFonts w:asciiTheme="minorHAnsi" w:hAnsiTheme="minorHAnsi"/>
          <w:i/>
        </w:rPr>
      </w:pPr>
      <w:r>
        <w:rPr>
          <w:rFonts w:asciiTheme="minorHAnsi" w:hAnsiTheme="minorHAnsi"/>
          <w:i/>
        </w:rPr>
        <w:t>the minor’s physical and mental health;</w:t>
      </w:r>
    </w:p>
    <w:p w14:paraId="07E6BE8C" w14:textId="76517E51" w:rsidR="00400BD0" w:rsidRDefault="00400BD0" w:rsidP="00400BD0">
      <w:pPr>
        <w:pStyle w:val="ListParagraph"/>
        <w:numPr>
          <w:ilvl w:val="0"/>
          <w:numId w:val="34"/>
        </w:numPr>
        <w:snapToGrid w:val="0"/>
        <w:spacing w:before="240" w:after="240"/>
        <w:rPr>
          <w:rFonts w:asciiTheme="minorHAnsi" w:hAnsiTheme="minorHAnsi"/>
          <w:i/>
        </w:rPr>
      </w:pPr>
      <w:r>
        <w:rPr>
          <w:rFonts w:asciiTheme="minorHAnsi" w:hAnsiTheme="minorHAnsi"/>
          <w:i/>
        </w:rPr>
        <w:t>the importance to the minor of having a meaningful relationship with family, friends and the wider community;</w:t>
      </w:r>
    </w:p>
    <w:p w14:paraId="46D1B675" w14:textId="3563A834" w:rsidR="00400BD0" w:rsidRDefault="00400BD0" w:rsidP="00400BD0">
      <w:pPr>
        <w:pStyle w:val="ListParagraph"/>
        <w:numPr>
          <w:ilvl w:val="0"/>
          <w:numId w:val="34"/>
        </w:numPr>
        <w:snapToGrid w:val="0"/>
        <w:spacing w:before="240" w:after="240"/>
        <w:rPr>
          <w:rFonts w:asciiTheme="minorHAnsi" w:hAnsiTheme="minorHAnsi"/>
          <w:i/>
        </w:rPr>
      </w:pPr>
      <w:r>
        <w:rPr>
          <w:rFonts w:asciiTheme="minorHAnsi" w:hAnsiTheme="minorHAnsi"/>
          <w:i/>
        </w:rPr>
        <w:t>the minor’s ethnic and cultural origins;</w:t>
      </w:r>
    </w:p>
    <w:p w14:paraId="35D13178" w14:textId="5316F990" w:rsidR="00400BD0" w:rsidRDefault="00400BD0" w:rsidP="00400BD0">
      <w:pPr>
        <w:pStyle w:val="ListParagraph"/>
        <w:numPr>
          <w:ilvl w:val="0"/>
          <w:numId w:val="34"/>
        </w:numPr>
        <w:snapToGrid w:val="0"/>
        <w:spacing w:before="240" w:after="240"/>
        <w:rPr>
          <w:rFonts w:asciiTheme="minorHAnsi" w:hAnsiTheme="minorHAnsi"/>
          <w:i/>
        </w:rPr>
      </w:pPr>
      <w:r>
        <w:rPr>
          <w:rFonts w:asciiTheme="minorHAnsi" w:hAnsiTheme="minorHAnsi"/>
          <w:i/>
        </w:rPr>
        <w:t>the minor’s right to receive an education;</w:t>
      </w:r>
    </w:p>
    <w:p w14:paraId="38C75BBB" w14:textId="6B0A0CD6" w:rsidR="00400BD0" w:rsidRDefault="00400BD0" w:rsidP="00400BD0">
      <w:pPr>
        <w:pStyle w:val="ListParagraph"/>
        <w:numPr>
          <w:ilvl w:val="0"/>
          <w:numId w:val="34"/>
        </w:numPr>
        <w:snapToGrid w:val="0"/>
        <w:spacing w:before="240" w:after="240"/>
        <w:rPr>
          <w:rFonts w:asciiTheme="minorHAnsi" w:hAnsiTheme="minorHAnsi"/>
          <w:i/>
        </w:rPr>
      </w:pPr>
      <w:r>
        <w:rPr>
          <w:rFonts w:asciiTheme="minorHAnsi" w:hAnsiTheme="minorHAnsi"/>
          <w:i/>
        </w:rPr>
        <w:t>the minor’s right to practise his or her religion;</w:t>
      </w:r>
    </w:p>
    <w:p w14:paraId="36580D7C" w14:textId="105222A7" w:rsidR="00400BD0" w:rsidRDefault="00400BD0" w:rsidP="00400BD0">
      <w:pPr>
        <w:pStyle w:val="ListParagraph"/>
        <w:numPr>
          <w:ilvl w:val="0"/>
          <w:numId w:val="34"/>
        </w:numPr>
        <w:snapToGrid w:val="0"/>
        <w:spacing w:before="240" w:after="240"/>
        <w:rPr>
          <w:rFonts w:asciiTheme="minorHAnsi" w:hAnsiTheme="minorHAnsi"/>
          <w:i/>
        </w:rPr>
      </w:pPr>
      <w:r>
        <w:rPr>
          <w:rFonts w:asciiTheme="minorHAnsi" w:hAnsiTheme="minorHAnsi"/>
          <w:i/>
        </w:rPr>
        <w:t>the vulnerability of the minor, including whether he or she has a history of trauma or whether there are other circumstances that may exacerbate the impact of preventative detention on the minor, and</w:t>
      </w:r>
    </w:p>
    <w:p w14:paraId="7B9B4FD2" w14:textId="2A992291" w:rsidR="00400BD0" w:rsidRPr="00400BD0" w:rsidRDefault="00400BD0" w:rsidP="00400BD0">
      <w:pPr>
        <w:pStyle w:val="ListParagraph"/>
        <w:numPr>
          <w:ilvl w:val="0"/>
          <w:numId w:val="34"/>
        </w:numPr>
        <w:snapToGrid w:val="0"/>
        <w:spacing w:before="240" w:after="240"/>
        <w:rPr>
          <w:rFonts w:asciiTheme="minorHAnsi" w:hAnsiTheme="minorHAnsi"/>
          <w:i/>
        </w:rPr>
      </w:pPr>
      <w:r>
        <w:rPr>
          <w:rFonts w:asciiTheme="minorHAnsi" w:hAnsiTheme="minorHAnsi"/>
          <w:i/>
        </w:rPr>
        <w:t>any other matter the court considers relevant</w:t>
      </w:r>
      <w:r w:rsidR="004164F1">
        <w:rPr>
          <w:rFonts w:asciiTheme="minorHAnsi" w:hAnsiTheme="minorHAnsi"/>
          <w:i/>
        </w:rPr>
        <w:t>.</w:t>
      </w:r>
      <w:r w:rsidR="004164F1">
        <w:rPr>
          <w:rStyle w:val="FootnoteReference"/>
          <w:rFonts w:asciiTheme="minorHAnsi" w:hAnsiTheme="minorHAnsi"/>
          <w:i/>
        </w:rPr>
        <w:footnoteReference w:id="13"/>
      </w:r>
    </w:p>
    <w:p w14:paraId="1AE4D5B2" w14:textId="77777777" w:rsidR="00E0748E" w:rsidRPr="00E0748E" w:rsidRDefault="00E0748E" w:rsidP="00E0748E">
      <w:pPr>
        <w:pStyle w:val="ListParagraph"/>
        <w:snapToGrid w:val="0"/>
        <w:spacing w:after="240"/>
        <w:ind w:left="360"/>
        <w:rPr>
          <w:rFonts w:asciiTheme="minorHAnsi" w:hAnsiTheme="minorHAnsi"/>
        </w:rPr>
      </w:pPr>
    </w:p>
    <w:p w14:paraId="5BC83CBF" w14:textId="32997B64" w:rsidR="00231992" w:rsidRDefault="00263ADE" w:rsidP="00E0748E">
      <w:pPr>
        <w:pStyle w:val="ListParagraph"/>
        <w:numPr>
          <w:ilvl w:val="0"/>
          <w:numId w:val="18"/>
        </w:numPr>
        <w:snapToGrid w:val="0"/>
        <w:spacing w:after="240"/>
        <w:contextualSpacing w:val="0"/>
        <w:rPr>
          <w:rFonts w:asciiTheme="minorHAnsi" w:hAnsiTheme="minorHAnsi"/>
        </w:rPr>
      </w:pPr>
      <w:r>
        <w:rPr>
          <w:rFonts w:asciiTheme="minorHAnsi" w:hAnsiTheme="minorHAnsi"/>
        </w:rPr>
        <w:t>T</w:t>
      </w:r>
      <w:r w:rsidR="00231992">
        <w:rPr>
          <w:rFonts w:asciiTheme="minorHAnsi" w:hAnsiTheme="minorHAnsi"/>
        </w:rPr>
        <w:t>he Panel advised that it should be open to the Supreme Court to impose obligations, restrictions or prohibitions that are reasonably appropriate and adapted to the</w:t>
      </w:r>
      <w:r w:rsidR="00DE1E04">
        <w:rPr>
          <w:rFonts w:asciiTheme="minorHAnsi" w:hAnsiTheme="minorHAnsi"/>
        </w:rPr>
        <w:t xml:space="preserve"> community safety</w:t>
      </w:r>
      <w:r w:rsidR="00231992">
        <w:rPr>
          <w:rFonts w:asciiTheme="minorHAnsi" w:hAnsiTheme="minorHAnsi"/>
        </w:rPr>
        <w:t xml:space="preserve"> risk. The Panel provides the following examples:</w:t>
      </w:r>
    </w:p>
    <w:p w14:paraId="34C5235D" w14:textId="70867A64" w:rsidR="00231992" w:rsidRPr="00231992" w:rsidRDefault="00231992" w:rsidP="00231992">
      <w:pPr>
        <w:pStyle w:val="ListParagraph"/>
        <w:snapToGrid w:val="0"/>
        <w:spacing w:after="240"/>
        <w:contextualSpacing w:val="0"/>
        <w:rPr>
          <w:rFonts w:asciiTheme="minorHAnsi" w:hAnsiTheme="minorHAnsi"/>
          <w:i/>
        </w:rPr>
      </w:pPr>
      <w:r>
        <w:rPr>
          <w:rFonts w:asciiTheme="minorHAnsi" w:hAnsiTheme="minorHAnsi"/>
          <w:i/>
        </w:rPr>
        <w:lastRenderedPageBreak/>
        <w:t>It should be open to the Court to make an order imposing conditions in relation to residency, a minor’s movements, the persons with whom a minor may associate, or in relation to the minor’s access to the internet.</w:t>
      </w:r>
      <w:r>
        <w:rPr>
          <w:rStyle w:val="FootnoteReference"/>
          <w:rFonts w:asciiTheme="minorHAnsi" w:hAnsiTheme="minorHAnsi"/>
          <w:i/>
        </w:rPr>
        <w:footnoteReference w:id="14"/>
      </w:r>
    </w:p>
    <w:p w14:paraId="18428BC4" w14:textId="77777777" w:rsidR="001C3CD6" w:rsidRDefault="00231992" w:rsidP="00263ADE">
      <w:pPr>
        <w:pStyle w:val="ListParagraph"/>
        <w:numPr>
          <w:ilvl w:val="0"/>
          <w:numId w:val="18"/>
        </w:numPr>
        <w:snapToGrid w:val="0"/>
        <w:spacing w:after="240"/>
        <w:contextualSpacing w:val="0"/>
        <w:rPr>
          <w:rFonts w:asciiTheme="minorHAnsi" w:hAnsiTheme="minorHAnsi"/>
        </w:rPr>
      </w:pPr>
      <w:r>
        <w:rPr>
          <w:rFonts w:asciiTheme="minorHAnsi" w:hAnsiTheme="minorHAnsi"/>
        </w:rPr>
        <w:t xml:space="preserve">The Panel also </w:t>
      </w:r>
      <w:r w:rsidR="00DE1E04">
        <w:rPr>
          <w:rFonts w:asciiTheme="minorHAnsi" w:hAnsiTheme="minorHAnsi"/>
        </w:rPr>
        <w:t>suggested a safeguard to protect</w:t>
      </w:r>
      <w:r>
        <w:rPr>
          <w:rFonts w:asciiTheme="minorHAnsi" w:hAnsiTheme="minorHAnsi"/>
        </w:rPr>
        <w:t xml:space="preserve"> a child’s </w:t>
      </w:r>
      <w:r w:rsidR="00FD18A5">
        <w:rPr>
          <w:rFonts w:asciiTheme="minorHAnsi" w:hAnsiTheme="minorHAnsi"/>
        </w:rPr>
        <w:t>privacy if</w:t>
      </w:r>
      <w:r>
        <w:rPr>
          <w:rFonts w:asciiTheme="minorHAnsi" w:hAnsiTheme="minorHAnsi"/>
        </w:rPr>
        <w:t xml:space="preserve"> an application is made for a preventative detention order. The Panel advised that “at a minimum, the minor’s identity should be concealed”.</w:t>
      </w:r>
      <w:r>
        <w:rPr>
          <w:rStyle w:val="FootnoteReference"/>
          <w:rFonts w:asciiTheme="minorHAnsi" w:hAnsiTheme="minorHAnsi"/>
        </w:rPr>
        <w:footnoteReference w:id="15"/>
      </w:r>
      <w:r w:rsidR="00263ADE">
        <w:rPr>
          <w:rFonts w:asciiTheme="minorHAnsi" w:hAnsiTheme="minorHAnsi"/>
        </w:rPr>
        <w:t xml:space="preserve"> </w:t>
      </w:r>
    </w:p>
    <w:p w14:paraId="320517F9" w14:textId="595A8B16" w:rsidR="00697479" w:rsidRPr="00DB470E" w:rsidRDefault="00DB470E" w:rsidP="00DB470E">
      <w:pPr>
        <w:pStyle w:val="ListParagraph"/>
        <w:numPr>
          <w:ilvl w:val="0"/>
          <w:numId w:val="18"/>
        </w:numPr>
        <w:snapToGrid w:val="0"/>
        <w:spacing w:after="240"/>
        <w:contextualSpacing w:val="0"/>
        <w:rPr>
          <w:rFonts w:asciiTheme="minorHAnsi" w:hAnsiTheme="minorHAnsi"/>
        </w:rPr>
      </w:pPr>
      <w:r>
        <w:rPr>
          <w:rFonts w:asciiTheme="minorHAnsi" w:hAnsiTheme="minorHAnsi"/>
        </w:rPr>
        <w:t>The safeguards</w:t>
      </w:r>
      <w:r w:rsidR="008921DA">
        <w:rPr>
          <w:rFonts w:asciiTheme="minorHAnsi" w:hAnsiTheme="minorHAnsi"/>
        </w:rPr>
        <w:t xml:space="preserve"> outlined above</w:t>
      </w:r>
      <w:r>
        <w:rPr>
          <w:rFonts w:asciiTheme="minorHAnsi" w:hAnsiTheme="minorHAnsi"/>
        </w:rPr>
        <w:t xml:space="preserve"> embody the proportionality exercise required under</w:t>
      </w:r>
      <w:r w:rsidR="00C84E53" w:rsidRPr="00DB470E">
        <w:rPr>
          <w:rFonts w:asciiTheme="minorHAnsi" w:hAnsiTheme="minorHAnsi"/>
        </w:rPr>
        <w:t xml:space="preserve"> s</w:t>
      </w:r>
      <w:r w:rsidR="008921DA">
        <w:rPr>
          <w:rFonts w:asciiTheme="minorHAnsi" w:hAnsiTheme="minorHAnsi"/>
        </w:rPr>
        <w:t>ection</w:t>
      </w:r>
      <w:r w:rsidR="00C84E53" w:rsidRPr="00DB470E">
        <w:rPr>
          <w:rFonts w:asciiTheme="minorHAnsi" w:hAnsiTheme="minorHAnsi"/>
        </w:rPr>
        <w:t xml:space="preserve"> 7(2) of the Charter</w:t>
      </w:r>
      <w:r w:rsidR="00465E83" w:rsidRPr="00DB470E">
        <w:rPr>
          <w:rFonts w:asciiTheme="minorHAnsi" w:hAnsiTheme="minorHAnsi"/>
        </w:rPr>
        <w:t>.</w:t>
      </w:r>
      <w:r w:rsidR="00465E83" w:rsidRPr="00DB470E">
        <w:rPr>
          <w:rFonts w:asciiTheme="minorHAnsi" w:eastAsia="Calibri" w:hAnsiTheme="minorHAnsi" w:cs="Arial"/>
          <w:lang w:val="en-AU"/>
        </w:rPr>
        <w:t xml:space="preserve"> Section 7(2) provides that Charter rights may be subject only to such reasonable limits as can be demonstrably justified in a free and democratic society based on human dignity, equality and freedom. This section also requires that in limiting a right, consideration is given to less restrictive means available to achieve the purpose that the limitation seeks to achieve. </w:t>
      </w:r>
      <w:r w:rsidR="00697479" w:rsidRPr="00DB470E">
        <w:rPr>
          <w:rFonts w:asciiTheme="minorHAnsi" w:eastAsia="Calibri" w:hAnsiTheme="minorHAnsi" w:cs="Arial"/>
          <w:lang w:val="en-AU"/>
        </w:rPr>
        <w:t>A</w:t>
      </w:r>
      <w:r w:rsidR="00465E83" w:rsidRPr="00DB470E">
        <w:rPr>
          <w:rFonts w:asciiTheme="minorHAnsi" w:eastAsia="Calibri" w:hAnsiTheme="minorHAnsi" w:cs="Arial"/>
          <w:lang w:val="en-AU"/>
        </w:rPr>
        <w:t xml:space="preserve"> detailed analysis</w:t>
      </w:r>
      <w:r w:rsidR="00697479" w:rsidRPr="00DB470E">
        <w:rPr>
          <w:rFonts w:asciiTheme="minorHAnsi" w:eastAsia="Calibri" w:hAnsiTheme="minorHAnsi" w:cs="Arial"/>
          <w:lang w:val="en-AU"/>
        </w:rPr>
        <w:t xml:space="preserve"> is required to ensure that any limitation</w:t>
      </w:r>
      <w:r w:rsidR="00465E83" w:rsidRPr="00DB470E">
        <w:rPr>
          <w:rFonts w:asciiTheme="minorHAnsi" w:eastAsia="Calibri" w:hAnsiTheme="minorHAnsi" w:cs="Arial"/>
          <w:lang w:val="en-AU"/>
        </w:rPr>
        <w:t xml:space="preserve"> of rights</w:t>
      </w:r>
      <w:r w:rsidR="00697479" w:rsidRPr="00DB470E">
        <w:rPr>
          <w:rFonts w:asciiTheme="minorHAnsi" w:eastAsia="Calibri" w:hAnsiTheme="minorHAnsi" w:cs="Arial"/>
          <w:lang w:val="en-AU"/>
        </w:rPr>
        <w:t xml:space="preserve"> is reasonable and justified. Any limitation will only be justified if it is supported by a cogent evidentiary basis.</w:t>
      </w:r>
      <w:r w:rsidR="00697479" w:rsidRPr="00066BDD">
        <w:rPr>
          <w:rStyle w:val="FootnoteReference"/>
          <w:rFonts w:asciiTheme="minorHAnsi" w:eastAsia="Calibri" w:hAnsiTheme="minorHAnsi" w:cs="Arial"/>
          <w:lang w:val="en-AU"/>
        </w:rPr>
        <w:footnoteReference w:id="16"/>
      </w:r>
      <w:r w:rsidR="00697479" w:rsidRPr="00DB470E">
        <w:rPr>
          <w:rFonts w:asciiTheme="minorHAnsi" w:eastAsia="Calibri" w:hAnsiTheme="minorHAnsi" w:cs="Arial"/>
          <w:lang w:val="en-AU"/>
        </w:rPr>
        <w:t xml:space="preserve"> </w:t>
      </w:r>
    </w:p>
    <w:p w14:paraId="0196B8C4" w14:textId="77777777" w:rsidR="008921DA" w:rsidRDefault="00465E83" w:rsidP="00AF4B62">
      <w:pPr>
        <w:pStyle w:val="ListParagraph"/>
        <w:numPr>
          <w:ilvl w:val="0"/>
          <w:numId w:val="18"/>
        </w:numPr>
        <w:shd w:val="clear" w:color="auto" w:fill="FFFFFF"/>
        <w:snapToGrid w:val="0"/>
        <w:spacing w:after="240"/>
        <w:ind w:right="340"/>
        <w:contextualSpacing w:val="0"/>
        <w:textAlignment w:val="baseline"/>
        <w:rPr>
          <w:rFonts w:asciiTheme="minorHAnsi" w:eastAsia="Calibri" w:hAnsiTheme="minorHAnsi" w:cs="Arial"/>
          <w:lang w:val="en-AU"/>
        </w:rPr>
      </w:pPr>
      <w:r w:rsidRPr="00066BDD">
        <w:rPr>
          <w:rFonts w:asciiTheme="minorHAnsi" w:eastAsia="Calibri" w:hAnsiTheme="minorHAnsi" w:cs="Arial"/>
          <w:lang w:val="en-AU"/>
        </w:rPr>
        <w:t>The</w:t>
      </w:r>
      <w:r w:rsidR="00A05F01">
        <w:rPr>
          <w:rFonts w:asciiTheme="minorHAnsi" w:eastAsia="Calibri" w:hAnsiTheme="minorHAnsi" w:cs="Arial"/>
          <w:lang w:val="en-AU"/>
        </w:rPr>
        <w:t xml:space="preserve"> rationale for not including the</w:t>
      </w:r>
      <w:r w:rsidR="007B186B">
        <w:rPr>
          <w:rFonts w:asciiTheme="minorHAnsi" w:eastAsia="Calibri" w:hAnsiTheme="minorHAnsi" w:cs="Arial"/>
          <w:lang w:val="en-AU"/>
        </w:rPr>
        <w:t xml:space="preserve"> safeguards</w:t>
      </w:r>
      <w:r w:rsidR="00A05F01">
        <w:rPr>
          <w:rFonts w:asciiTheme="minorHAnsi" w:eastAsia="Calibri" w:hAnsiTheme="minorHAnsi" w:cs="Arial"/>
          <w:lang w:val="en-AU"/>
        </w:rPr>
        <w:t xml:space="preserve"> </w:t>
      </w:r>
      <w:r w:rsidR="00683D1B">
        <w:rPr>
          <w:rFonts w:asciiTheme="minorHAnsi" w:eastAsia="Calibri" w:hAnsiTheme="minorHAnsi" w:cs="Arial"/>
          <w:lang w:val="en-AU"/>
        </w:rPr>
        <w:t>contained</w:t>
      </w:r>
      <w:r w:rsidR="00A05F01">
        <w:rPr>
          <w:rFonts w:asciiTheme="minorHAnsi" w:eastAsia="Calibri" w:hAnsiTheme="minorHAnsi" w:cs="Arial"/>
          <w:lang w:val="en-AU"/>
        </w:rPr>
        <w:t xml:space="preserve"> in </w:t>
      </w:r>
      <w:r w:rsidR="00683D1B">
        <w:rPr>
          <w:rFonts w:asciiTheme="minorHAnsi" w:eastAsia="Calibri" w:hAnsiTheme="minorHAnsi" w:cs="Arial"/>
          <w:lang w:val="en-AU"/>
        </w:rPr>
        <w:t>Recommendation</w:t>
      </w:r>
      <w:r w:rsidR="00A05F01">
        <w:rPr>
          <w:rFonts w:asciiTheme="minorHAnsi" w:eastAsia="Calibri" w:hAnsiTheme="minorHAnsi" w:cs="Arial"/>
          <w:lang w:val="en-AU"/>
        </w:rPr>
        <w:t xml:space="preserve"> 22 and 23 of Report 2</w:t>
      </w:r>
      <w:r w:rsidR="007B186B">
        <w:rPr>
          <w:rFonts w:asciiTheme="minorHAnsi" w:eastAsia="Calibri" w:hAnsiTheme="minorHAnsi" w:cs="Arial"/>
          <w:lang w:val="en-AU"/>
        </w:rPr>
        <w:t xml:space="preserve"> is not provided in either the </w:t>
      </w:r>
      <w:r w:rsidRPr="00066BDD">
        <w:rPr>
          <w:rFonts w:asciiTheme="minorHAnsi" w:eastAsia="Calibri" w:hAnsiTheme="minorHAnsi" w:cs="Arial"/>
          <w:lang w:val="en-AU"/>
        </w:rPr>
        <w:t xml:space="preserve">Explanatory </w:t>
      </w:r>
      <w:r w:rsidR="00AF4B62" w:rsidRPr="00066BDD">
        <w:rPr>
          <w:rFonts w:asciiTheme="minorHAnsi" w:eastAsia="Calibri" w:hAnsiTheme="minorHAnsi" w:cs="Arial"/>
          <w:lang w:val="en-AU"/>
        </w:rPr>
        <w:t>Memorandum</w:t>
      </w:r>
      <w:r w:rsidR="007B186B">
        <w:rPr>
          <w:rFonts w:asciiTheme="minorHAnsi" w:eastAsia="Calibri" w:hAnsiTheme="minorHAnsi" w:cs="Arial"/>
          <w:lang w:val="en-AU"/>
        </w:rPr>
        <w:t xml:space="preserve"> or the</w:t>
      </w:r>
      <w:r w:rsidR="00AF4B62">
        <w:rPr>
          <w:rFonts w:asciiTheme="minorHAnsi" w:eastAsia="Calibri" w:hAnsiTheme="minorHAnsi" w:cs="Arial"/>
          <w:lang w:val="en-AU"/>
        </w:rPr>
        <w:t xml:space="preserve"> Statement of Compatibility to the Bill</w:t>
      </w:r>
      <w:r w:rsidR="007B186B">
        <w:rPr>
          <w:rFonts w:asciiTheme="minorHAnsi" w:eastAsia="Calibri" w:hAnsiTheme="minorHAnsi" w:cs="Arial"/>
          <w:lang w:val="en-AU"/>
        </w:rPr>
        <w:t xml:space="preserve">. </w:t>
      </w:r>
    </w:p>
    <w:p w14:paraId="3FD218B0" w14:textId="54C2E90C" w:rsidR="001C3CD6" w:rsidRDefault="001C3CD6" w:rsidP="00AF4B62">
      <w:pPr>
        <w:pStyle w:val="ListParagraph"/>
        <w:numPr>
          <w:ilvl w:val="0"/>
          <w:numId w:val="18"/>
        </w:numPr>
        <w:shd w:val="clear" w:color="auto" w:fill="FFFFFF"/>
        <w:snapToGrid w:val="0"/>
        <w:spacing w:after="240"/>
        <w:ind w:right="340"/>
        <w:contextualSpacing w:val="0"/>
        <w:textAlignment w:val="baseline"/>
        <w:rPr>
          <w:rFonts w:asciiTheme="minorHAnsi" w:eastAsia="Calibri" w:hAnsiTheme="minorHAnsi" w:cs="Arial"/>
          <w:lang w:val="en-AU"/>
        </w:rPr>
      </w:pPr>
      <w:r>
        <w:rPr>
          <w:rFonts w:asciiTheme="minorHAnsi" w:eastAsia="Calibri" w:hAnsiTheme="minorHAnsi" w:cs="Arial"/>
          <w:lang w:val="en-AU"/>
        </w:rPr>
        <w:t>In light of the Panel’s “serious misgivings” regarding extending the preventative detention scheme to 14 and 15 year olds, the Commission is concerned that the Bill does not include all the safeguards recommended by the Panel</w:t>
      </w:r>
      <w:r w:rsidR="001B4153">
        <w:rPr>
          <w:rFonts w:asciiTheme="minorHAnsi" w:eastAsia="Calibri" w:hAnsiTheme="minorHAnsi" w:cs="Arial"/>
          <w:lang w:val="en-AU"/>
        </w:rPr>
        <w:t xml:space="preserve"> as necessary </w:t>
      </w:r>
      <w:r>
        <w:rPr>
          <w:rFonts w:asciiTheme="minorHAnsi" w:eastAsia="Calibri" w:hAnsiTheme="minorHAnsi" w:cs="Arial"/>
          <w:lang w:val="en-AU"/>
        </w:rPr>
        <w:t>to protect the rights of children</w:t>
      </w:r>
      <w:r w:rsidR="001B4153">
        <w:rPr>
          <w:rFonts w:asciiTheme="minorHAnsi" w:eastAsia="Calibri" w:hAnsiTheme="minorHAnsi" w:cs="Arial"/>
          <w:lang w:val="en-AU"/>
        </w:rPr>
        <w:t xml:space="preserve"> subject to the scheme</w:t>
      </w:r>
      <w:r>
        <w:rPr>
          <w:rFonts w:asciiTheme="minorHAnsi" w:eastAsia="Calibri" w:hAnsiTheme="minorHAnsi" w:cs="Arial"/>
          <w:lang w:val="en-AU"/>
        </w:rPr>
        <w:t xml:space="preserve">. </w:t>
      </w:r>
    </w:p>
    <w:p w14:paraId="521ED6B8" w14:textId="0F5EEB0D" w:rsidR="00BE4C07" w:rsidRDefault="00BE4C07" w:rsidP="00AF4B62">
      <w:pPr>
        <w:pStyle w:val="ListParagraph"/>
        <w:numPr>
          <w:ilvl w:val="0"/>
          <w:numId w:val="18"/>
        </w:numPr>
        <w:shd w:val="clear" w:color="auto" w:fill="FFFFFF"/>
        <w:snapToGrid w:val="0"/>
        <w:spacing w:after="240"/>
        <w:ind w:right="340"/>
        <w:contextualSpacing w:val="0"/>
        <w:textAlignment w:val="baseline"/>
        <w:rPr>
          <w:rFonts w:asciiTheme="minorHAnsi" w:eastAsia="Calibri" w:hAnsiTheme="minorHAnsi" w:cs="Arial"/>
          <w:lang w:val="en-AU"/>
        </w:rPr>
      </w:pPr>
      <w:r>
        <w:rPr>
          <w:rFonts w:asciiTheme="minorHAnsi" w:eastAsia="Calibri" w:hAnsiTheme="minorHAnsi" w:cs="Arial"/>
          <w:lang w:val="en-AU"/>
        </w:rPr>
        <w:t xml:space="preserve">The Commission believes all the safeguards recommended by the Panel ought to be included in the Bill unless there is evidence to suggest that they are unnecessary to protect the rights of children subject to the scheme. </w:t>
      </w:r>
    </w:p>
    <w:p w14:paraId="3EB282D8" w14:textId="09BB59B0" w:rsidR="008E68E9" w:rsidRPr="001C3CD6" w:rsidRDefault="001C3CD6" w:rsidP="001C3CD6">
      <w:pPr>
        <w:pStyle w:val="ListParagraph"/>
        <w:numPr>
          <w:ilvl w:val="0"/>
          <w:numId w:val="18"/>
        </w:numPr>
        <w:shd w:val="clear" w:color="auto" w:fill="FFFFFF"/>
        <w:snapToGrid w:val="0"/>
        <w:spacing w:after="240"/>
        <w:ind w:right="340"/>
        <w:contextualSpacing w:val="0"/>
        <w:textAlignment w:val="baseline"/>
        <w:rPr>
          <w:rFonts w:asciiTheme="minorHAnsi" w:eastAsia="Calibri" w:hAnsiTheme="minorHAnsi" w:cs="Arial"/>
          <w:lang w:val="en-AU"/>
        </w:rPr>
      </w:pPr>
      <w:r>
        <w:rPr>
          <w:rFonts w:asciiTheme="minorHAnsi" w:eastAsia="Calibri" w:hAnsiTheme="minorHAnsi" w:cs="Arial"/>
          <w:lang w:val="en-AU"/>
        </w:rPr>
        <w:t>Noting that this scheme provides extraordinary powers to police, and the risks inherent in this scheme for the rights of those detained, the Commission emphasises the need for Parliament to</w:t>
      </w:r>
      <w:r w:rsidRPr="001C3CD6">
        <w:rPr>
          <w:rFonts w:asciiTheme="minorHAnsi" w:eastAsia="Calibri" w:hAnsiTheme="minorHAnsi" w:cs="Arial"/>
          <w:lang w:val="en-AU"/>
        </w:rPr>
        <w:t xml:space="preserve"> </w:t>
      </w:r>
      <w:r w:rsidR="00487DD1" w:rsidRPr="001C3CD6">
        <w:rPr>
          <w:rFonts w:asciiTheme="minorHAnsi" w:eastAsia="Calibri" w:hAnsiTheme="minorHAnsi" w:cs="Arial"/>
          <w:lang w:val="en-AU"/>
        </w:rPr>
        <w:t xml:space="preserve">be satisfied that any limitations on children’s rights </w:t>
      </w:r>
      <w:r w:rsidR="00DE1E04" w:rsidRPr="001C3CD6">
        <w:rPr>
          <w:rFonts w:asciiTheme="minorHAnsi" w:eastAsia="Calibri" w:hAnsiTheme="minorHAnsi" w:cs="Arial"/>
          <w:lang w:val="en-AU"/>
        </w:rPr>
        <w:t>deriving from</w:t>
      </w:r>
      <w:r w:rsidR="00487DD1" w:rsidRPr="001C3CD6">
        <w:rPr>
          <w:rFonts w:asciiTheme="minorHAnsi" w:eastAsia="Calibri" w:hAnsiTheme="minorHAnsi" w:cs="Arial"/>
          <w:lang w:val="en-AU"/>
        </w:rPr>
        <w:t xml:space="preserve"> t</w:t>
      </w:r>
      <w:r w:rsidR="008921DA" w:rsidRPr="001C3CD6">
        <w:rPr>
          <w:rFonts w:asciiTheme="minorHAnsi" w:eastAsia="Calibri" w:hAnsiTheme="minorHAnsi" w:cs="Arial"/>
          <w:lang w:val="en-AU"/>
        </w:rPr>
        <w:t>he preventative detention scheme</w:t>
      </w:r>
      <w:r w:rsidR="00487DD1" w:rsidRPr="001C3CD6">
        <w:rPr>
          <w:rFonts w:asciiTheme="minorHAnsi" w:eastAsia="Calibri" w:hAnsiTheme="minorHAnsi" w:cs="Arial"/>
          <w:lang w:val="en-AU"/>
        </w:rPr>
        <w:t xml:space="preserve"> are reasonably justified in accordance w</w:t>
      </w:r>
      <w:r w:rsidR="003D4AE7" w:rsidRPr="001C3CD6">
        <w:rPr>
          <w:rFonts w:asciiTheme="minorHAnsi" w:eastAsia="Calibri" w:hAnsiTheme="minorHAnsi" w:cs="Arial"/>
          <w:lang w:val="en-AU"/>
        </w:rPr>
        <w:t>ith section 7(2) of the Charter.</w:t>
      </w:r>
      <w:r>
        <w:rPr>
          <w:rFonts w:asciiTheme="minorHAnsi" w:eastAsia="Calibri" w:hAnsiTheme="minorHAnsi" w:cs="Arial"/>
          <w:lang w:val="en-AU"/>
        </w:rPr>
        <w:t xml:space="preserve"> This includes </w:t>
      </w:r>
      <w:r w:rsidR="001B4153">
        <w:rPr>
          <w:rFonts w:asciiTheme="minorHAnsi" w:eastAsia="Calibri" w:hAnsiTheme="minorHAnsi" w:cs="Arial"/>
          <w:lang w:val="en-AU"/>
        </w:rPr>
        <w:t xml:space="preserve">Parliament being satisfied </w:t>
      </w:r>
      <w:r w:rsidR="00BE4C07">
        <w:rPr>
          <w:rFonts w:asciiTheme="minorHAnsi" w:eastAsia="Calibri" w:hAnsiTheme="minorHAnsi" w:cs="Arial"/>
          <w:lang w:val="en-AU"/>
        </w:rPr>
        <w:t xml:space="preserve">that there is sufficient evidence to substantiate not including </w:t>
      </w:r>
      <w:r w:rsidR="001B4153">
        <w:rPr>
          <w:rFonts w:asciiTheme="minorHAnsi" w:eastAsia="Calibri" w:hAnsiTheme="minorHAnsi" w:cs="Arial"/>
          <w:lang w:val="en-AU"/>
        </w:rPr>
        <w:t xml:space="preserve">within the Bill </w:t>
      </w:r>
      <w:r w:rsidR="00BE4C07">
        <w:rPr>
          <w:rFonts w:asciiTheme="minorHAnsi" w:eastAsia="Calibri" w:hAnsiTheme="minorHAnsi" w:cs="Arial"/>
          <w:lang w:val="en-AU"/>
        </w:rPr>
        <w:t>all the safeguards</w:t>
      </w:r>
      <w:r w:rsidR="001B4153">
        <w:rPr>
          <w:rFonts w:asciiTheme="minorHAnsi" w:eastAsia="Calibri" w:hAnsiTheme="minorHAnsi" w:cs="Arial"/>
          <w:lang w:val="en-AU"/>
        </w:rPr>
        <w:t xml:space="preserve"> for children’s rights</w:t>
      </w:r>
      <w:r w:rsidR="00BE4C07">
        <w:rPr>
          <w:rFonts w:asciiTheme="minorHAnsi" w:eastAsia="Calibri" w:hAnsiTheme="minorHAnsi" w:cs="Arial"/>
          <w:lang w:val="en-AU"/>
        </w:rPr>
        <w:t xml:space="preserve"> recommended by the Panel. </w:t>
      </w:r>
    </w:p>
    <w:p w14:paraId="61526186" w14:textId="45D76FA2" w:rsidR="008E68E9" w:rsidRPr="008E68E9" w:rsidRDefault="008E68E9" w:rsidP="008E68E9">
      <w:pPr>
        <w:snapToGrid w:val="0"/>
        <w:spacing w:after="240"/>
        <w:ind w:right="-330"/>
        <w:rPr>
          <w:rFonts w:asciiTheme="minorHAnsi" w:hAnsiTheme="minorHAnsi" w:cs="Arial"/>
          <w:b/>
        </w:rPr>
      </w:pPr>
      <w:r w:rsidRPr="0069107E">
        <w:rPr>
          <w:rFonts w:asciiTheme="minorHAnsi" w:hAnsiTheme="minorHAnsi" w:cs="Arial"/>
          <w:b/>
        </w:rPr>
        <w:lastRenderedPageBreak/>
        <w:t xml:space="preserve">Safeguards </w:t>
      </w:r>
      <w:r w:rsidR="001A4558">
        <w:rPr>
          <w:rFonts w:asciiTheme="minorHAnsi" w:hAnsiTheme="minorHAnsi" w:cs="Arial"/>
          <w:b/>
        </w:rPr>
        <w:t xml:space="preserve">for vulnerable persons </w:t>
      </w:r>
      <w:r w:rsidRPr="0069107E">
        <w:rPr>
          <w:rFonts w:asciiTheme="minorHAnsi" w:hAnsiTheme="minorHAnsi" w:cs="Arial"/>
          <w:b/>
        </w:rPr>
        <w:t xml:space="preserve">recommended by the </w:t>
      </w:r>
      <w:r w:rsidR="003D4AE7">
        <w:rPr>
          <w:rFonts w:asciiTheme="minorHAnsi" w:hAnsiTheme="minorHAnsi" w:cs="Arial"/>
          <w:b/>
        </w:rPr>
        <w:t xml:space="preserve">Panel </w:t>
      </w:r>
      <w:r w:rsidR="00780034">
        <w:rPr>
          <w:rFonts w:asciiTheme="minorHAnsi" w:hAnsiTheme="minorHAnsi" w:cs="Arial"/>
          <w:b/>
        </w:rPr>
        <w:t xml:space="preserve">that are </w:t>
      </w:r>
      <w:r w:rsidR="003D4AE7">
        <w:rPr>
          <w:rFonts w:asciiTheme="minorHAnsi" w:hAnsiTheme="minorHAnsi" w:cs="Arial"/>
          <w:b/>
        </w:rPr>
        <w:t xml:space="preserve">not included in the preventative </w:t>
      </w:r>
      <w:r w:rsidR="00465ADF">
        <w:rPr>
          <w:rFonts w:asciiTheme="minorHAnsi" w:hAnsiTheme="minorHAnsi" w:cs="Arial"/>
          <w:b/>
        </w:rPr>
        <w:t>detention scheme</w:t>
      </w:r>
    </w:p>
    <w:p w14:paraId="4AC7A372" w14:textId="6CBF8E59" w:rsidR="0018243D" w:rsidRPr="0018243D" w:rsidRDefault="0018243D" w:rsidP="0018243D">
      <w:pPr>
        <w:numPr>
          <w:ilvl w:val="0"/>
          <w:numId w:val="18"/>
        </w:numPr>
        <w:autoSpaceDE w:val="0"/>
        <w:autoSpaceDN w:val="0"/>
        <w:adjustRightInd w:val="0"/>
        <w:snapToGrid w:val="0"/>
        <w:spacing w:after="240"/>
        <w:ind w:right="-46"/>
        <w:rPr>
          <w:rFonts w:asciiTheme="minorHAnsi" w:hAnsiTheme="minorHAnsi" w:cs="Arial"/>
        </w:rPr>
      </w:pPr>
      <w:r>
        <w:rPr>
          <w:rFonts w:asciiTheme="minorHAnsi" w:hAnsiTheme="minorHAnsi" w:cs="Arial"/>
        </w:rPr>
        <w:t xml:space="preserve">The Commission notes that Parliament must be satisfied that the proposed preventative </w:t>
      </w:r>
      <w:r w:rsidR="00465ADF">
        <w:rPr>
          <w:rFonts w:asciiTheme="minorHAnsi" w:hAnsiTheme="minorHAnsi" w:cs="Arial"/>
        </w:rPr>
        <w:t>detention scheme</w:t>
      </w:r>
      <w:r>
        <w:rPr>
          <w:rFonts w:asciiTheme="minorHAnsi" w:hAnsiTheme="minorHAnsi" w:cs="Arial"/>
        </w:rPr>
        <w:t xml:space="preserve"> sufficiently protects the huma</w:t>
      </w:r>
      <w:r w:rsidR="00780034">
        <w:rPr>
          <w:rFonts w:asciiTheme="minorHAnsi" w:hAnsiTheme="minorHAnsi" w:cs="Arial"/>
        </w:rPr>
        <w:t>n rights of vulnerable persons</w:t>
      </w:r>
      <w:r>
        <w:rPr>
          <w:rFonts w:asciiTheme="minorHAnsi" w:hAnsiTheme="minorHAnsi" w:cs="Arial"/>
        </w:rPr>
        <w:t xml:space="preserve">, such as those with a cognitive or physical impairment. </w:t>
      </w:r>
    </w:p>
    <w:p w14:paraId="5CDF2A2D" w14:textId="73FFDA59" w:rsidR="003D4AE7" w:rsidRDefault="003D4AE7" w:rsidP="00EA4574">
      <w:pPr>
        <w:numPr>
          <w:ilvl w:val="0"/>
          <w:numId w:val="18"/>
        </w:numPr>
        <w:autoSpaceDE w:val="0"/>
        <w:autoSpaceDN w:val="0"/>
        <w:adjustRightInd w:val="0"/>
        <w:snapToGrid w:val="0"/>
        <w:spacing w:after="240"/>
        <w:ind w:right="-46"/>
        <w:rPr>
          <w:rFonts w:asciiTheme="minorHAnsi" w:hAnsiTheme="minorHAnsi" w:cs="Arial"/>
        </w:rPr>
      </w:pPr>
      <w:r>
        <w:rPr>
          <w:rFonts w:asciiTheme="minorHAnsi" w:hAnsiTheme="minorHAnsi" w:cs="Arial"/>
        </w:rPr>
        <w:t>As part of its Recommendation 2</w:t>
      </w:r>
      <w:r w:rsidR="00EA4574">
        <w:rPr>
          <w:rFonts w:asciiTheme="minorHAnsi" w:hAnsiTheme="minorHAnsi" w:cs="Arial"/>
        </w:rPr>
        <w:t xml:space="preserve"> of its Report 1</w:t>
      </w:r>
      <w:r>
        <w:rPr>
          <w:rFonts w:asciiTheme="minorHAnsi" w:hAnsiTheme="minorHAnsi" w:cs="Arial"/>
        </w:rPr>
        <w:t xml:space="preserve">, the Panel made recommendations that the preventative detention laws be changed </w:t>
      </w:r>
      <w:r w:rsidR="0031154C">
        <w:rPr>
          <w:rFonts w:asciiTheme="minorHAnsi" w:hAnsiTheme="minorHAnsi" w:cs="Arial"/>
        </w:rPr>
        <w:t xml:space="preserve">“to establish additional measures to safeguard and protect the interests of minors </w:t>
      </w:r>
      <w:r w:rsidR="0031154C">
        <w:rPr>
          <w:rFonts w:asciiTheme="minorHAnsi" w:hAnsiTheme="minorHAnsi" w:cs="Arial"/>
          <w:b/>
        </w:rPr>
        <w:t>and other potentially vulnerable persons such as those with a cognitive or physical impairment</w:t>
      </w:r>
      <w:r w:rsidR="0031154C">
        <w:rPr>
          <w:rFonts w:asciiTheme="minorHAnsi" w:hAnsiTheme="minorHAnsi" w:cs="Arial"/>
        </w:rPr>
        <w:t>”.</w:t>
      </w:r>
      <w:r w:rsidR="0031154C">
        <w:rPr>
          <w:rStyle w:val="FootnoteReference"/>
          <w:rFonts w:asciiTheme="minorHAnsi" w:hAnsiTheme="minorHAnsi" w:cs="Arial"/>
        </w:rPr>
        <w:footnoteReference w:id="17"/>
      </w:r>
    </w:p>
    <w:p w14:paraId="4594A406" w14:textId="21225665" w:rsidR="00C70DEF" w:rsidRDefault="00C70DEF" w:rsidP="008E68E9">
      <w:pPr>
        <w:numPr>
          <w:ilvl w:val="0"/>
          <w:numId w:val="18"/>
        </w:numPr>
        <w:autoSpaceDE w:val="0"/>
        <w:autoSpaceDN w:val="0"/>
        <w:adjustRightInd w:val="0"/>
        <w:snapToGrid w:val="0"/>
        <w:spacing w:after="240"/>
        <w:ind w:right="-46"/>
        <w:rPr>
          <w:rFonts w:asciiTheme="minorHAnsi" w:hAnsiTheme="minorHAnsi" w:cs="Arial"/>
        </w:rPr>
      </w:pPr>
      <w:r>
        <w:rPr>
          <w:rFonts w:asciiTheme="minorHAnsi" w:hAnsiTheme="minorHAnsi" w:cs="Arial"/>
        </w:rPr>
        <w:t xml:space="preserve">The Panel </w:t>
      </w:r>
      <w:r w:rsidR="009F6D88">
        <w:rPr>
          <w:rFonts w:asciiTheme="minorHAnsi" w:hAnsiTheme="minorHAnsi" w:cs="Arial"/>
        </w:rPr>
        <w:t>n</w:t>
      </w:r>
      <w:r w:rsidR="001A4558">
        <w:rPr>
          <w:rFonts w:asciiTheme="minorHAnsi" w:hAnsiTheme="minorHAnsi" w:cs="Arial"/>
        </w:rPr>
        <w:t>oted that</w:t>
      </w:r>
      <w:r w:rsidR="009F6D88">
        <w:rPr>
          <w:rFonts w:asciiTheme="minorHAnsi" w:hAnsiTheme="minorHAnsi" w:cs="Arial"/>
        </w:rPr>
        <w:t xml:space="preserve"> </w:t>
      </w:r>
      <w:r w:rsidR="001A4558">
        <w:rPr>
          <w:rFonts w:asciiTheme="minorHAnsi" w:hAnsiTheme="minorHAnsi" w:cs="Arial"/>
        </w:rPr>
        <w:t>it</w:t>
      </w:r>
      <w:r w:rsidR="007A5C9A">
        <w:rPr>
          <w:rFonts w:asciiTheme="minorHAnsi" w:hAnsiTheme="minorHAnsi" w:cs="Arial"/>
        </w:rPr>
        <w:t>s recommendation to extend the maximum interim detention period</w:t>
      </w:r>
      <w:r w:rsidR="009F6D88">
        <w:rPr>
          <w:rFonts w:asciiTheme="minorHAnsi" w:hAnsiTheme="minorHAnsi" w:cs="Arial"/>
        </w:rPr>
        <w:t xml:space="preserve"> </w:t>
      </w:r>
      <w:r w:rsidR="001A4558">
        <w:rPr>
          <w:rFonts w:asciiTheme="minorHAnsi" w:hAnsiTheme="minorHAnsi" w:cs="Arial"/>
        </w:rPr>
        <w:t xml:space="preserve">for </w:t>
      </w:r>
      <w:r w:rsidR="009F6D88">
        <w:rPr>
          <w:rFonts w:asciiTheme="minorHAnsi" w:hAnsiTheme="minorHAnsi" w:cs="Arial"/>
        </w:rPr>
        <w:t>adults from 48 hours to 4 days without seeking a Court order, as well as its recommendation to enable police to question a person detained, “significantly extends the scope of the current preventative detention scheme”.</w:t>
      </w:r>
      <w:r w:rsidR="009F6D88">
        <w:rPr>
          <w:rStyle w:val="FootnoteReference"/>
          <w:rFonts w:asciiTheme="minorHAnsi" w:hAnsiTheme="minorHAnsi" w:cs="Arial"/>
        </w:rPr>
        <w:footnoteReference w:id="18"/>
      </w:r>
      <w:r w:rsidR="009F6D88">
        <w:rPr>
          <w:rFonts w:asciiTheme="minorHAnsi" w:hAnsiTheme="minorHAnsi" w:cs="Arial"/>
        </w:rPr>
        <w:t xml:space="preserve"> </w:t>
      </w:r>
      <w:r>
        <w:rPr>
          <w:rFonts w:asciiTheme="minorHAnsi" w:hAnsiTheme="minorHAnsi" w:cs="Arial"/>
        </w:rPr>
        <w:t xml:space="preserve"> </w:t>
      </w:r>
    </w:p>
    <w:p w14:paraId="5E615C56" w14:textId="1188F83A" w:rsidR="009F6D88" w:rsidRDefault="009F6D88" w:rsidP="008E68E9">
      <w:pPr>
        <w:numPr>
          <w:ilvl w:val="0"/>
          <w:numId w:val="18"/>
        </w:numPr>
        <w:autoSpaceDE w:val="0"/>
        <w:autoSpaceDN w:val="0"/>
        <w:adjustRightInd w:val="0"/>
        <w:snapToGrid w:val="0"/>
        <w:spacing w:after="240"/>
        <w:ind w:right="-46"/>
        <w:rPr>
          <w:rFonts w:asciiTheme="minorHAnsi" w:hAnsiTheme="minorHAnsi" w:cs="Arial"/>
        </w:rPr>
      </w:pPr>
      <w:r>
        <w:rPr>
          <w:rFonts w:asciiTheme="minorHAnsi" w:hAnsiTheme="minorHAnsi" w:cs="Arial"/>
        </w:rPr>
        <w:t xml:space="preserve">In light of the significance of these recommendations, the Panel </w:t>
      </w:r>
      <w:r w:rsidR="008921DA">
        <w:rPr>
          <w:rFonts w:asciiTheme="minorHAnsi" w:hAnsiTheme="minorHAnsi" w:cs="Arial"/>
        </w:rPr>
        <w:t>further recommended</w:t>
      </w:r>
      <w:r>
        <w:rPr>
          <w:rFonts w:asciiTheme="minorHAnsi" w:hAnsiTheme="minorHAnsi" w:cs="Arial"/>
        </w:rPr>
        <w:t>:</w:t>
      </w:r>
    </w:p>
    <w:p w14:paraId="677ABECC" w14:textId="1149FCD1" w:rsidR="009F6D88" w:rsidRPr="009F6D88" w:rsidRDefault="009F6D88" w:rsidP="009F6D88">
      <w:pPr>
        <w:autoSpaceDE w:val="0"/>
        <w:autoSpaceDN w:val="0"/>
        <w:adjustRightInd w:val="0"/>
        <w:snapToGrid w:val="0"/>
        <w:spacing w:after="240"/>
        <w:ind w:left="720" w:right="-46"/>
        <w:rPr>
          <w:rFonts w:asciiTheme="minorHAnsi" w:hAnsiTheme="minorHAnsi" w:cs="Arial"/>
          <w:i/>
        </w:rPr>
      </w:pPr>
      <w:r>
        <w:rPr>
          <w:rFonts w:asciiTheme="minorHAnsi" w:hAnsiTheme="minorHAnsi" w:cs="Arial"/>
          <w:i/>
        </w:rPr>
        <w:t xml:space="preserve">Certain additional measures to safeguard the interests of minors (those under the age of 18) </w:t>
      </w:r>
      <w:r>
        <w:rPr>
          <w:rFonts w:asciiTheme="minorHAnsi" w:hAnsiTheme="minorHAnsi" w:cs="Arial"/>
          <w:b/>
          <w:i/>
        </w:rPr>
        <w:t xml:space="preserve">and other potentially vulnerable persons, such as persons who may be </w:t>
      </w:r>
      <w:r w:rsidR="00D24994">
        <w:rPr>
          <w:rFonts w:asciiTheme="minorHAnsi" w:hAnsiTheme="minorHAnsi" w:cs="Arial"/>
          <w:b/>
          <w:i/>
        </w:rPr>
        <w:t>cogitatively</w:t>
      </w:r>
      <w:r>
        <w:rPr>
          <w:rFonts w:asciiTheme="minorHAnsi" w:hAnsiTheme="minorHAnsi" w:cs="Arial"/>
          <w:b/>
          <w:i/>
        </w:rPr>
        <w:t xml:space="preserve"> or physically impaired.</w:t>
      </w:r>
      <w:r>
        <w:rPr>
          <w:rFonts w:asciiTheme="minorHAnsi" w:hAnsiTheme="minorHAnsi" w:cs="Arial"/>
          <w:i/>
        </w:rPr>
        <w:t>”</w:t>
      </w:r>
      <w:r>
        <w:rPr>
          <w:rStyle w:val="FootnoteReference"/>
          <w:rFonts w:asciiTheme="minorHAnsi" w:hAnsiTheme="minorHAnsi" w:cs="Arial"/>
          <w:i/>
        </w:rPr>
        <w:footnoteReference w:id="19"/>
      </w:r>
    </w:p>
    <w:p w14:paraId="6409DFB7" w14:textId="37DE5AE5" w:rsidR="00BC0BF2" w:rsidRDefault="00BC0BF2" w:rsidP="008E68E9">
      <w:pPr>
        <w:numPr>
          <w:ilvl w:val="0"/>
          <w:numId w:val="18"/>
        </w:numPr>
        <w:autoSpaceDE w:val="0"/>
        <w:autoSpaceDN w:val="0"/>
        <w:adjustRightInd w:val="0"/>
        <w:snapToGrid w:val="0"/>
        <w:spacing w:after="240"/>
        <w:ind w:right="-46"/>
        <w:rPr>
          <w:rFonts w:asciiTheme="minorHAnsi" w:hAnsiTheme="minorHAnsi" w:cs="Arial"/>
        </w:rPr>
      </w:pPr>
      <w:r>
        <w:rPr>
          <w:rFonts w:asciiTheme="minorHAnsi" w:hAnsiTheme="minorHAnsi" w:cs="Arial"/>
        </w:rPr>
        <w:t>The Panel detailed the following additional protections</w:t>
      </w:r>
      <w:r w:rsidR="008921DA">
        <w:rPr>
          <w:rFonts w:asciiTheme="minorHAnsi" w:hAnsiTheme="minorHAnsi" w:cs="Arial"/>
        </w:rPr>
        <w:t xml:space="preserve"> for vulnerable persons, such as persons who may be </w:t>
      </w:r>
      <w:r w:rsidR="00D24994">
        <w:rPr>
          <w:rFonts w:asciiTheme="minorHAnsi" w:hAnsiTheme="minorHAnsi" w:cs="Arial"/>
        </w:rPr>
        <w:t>cogitatively</w:t>
      </w:r>
      <w:r w:rsidR="008921DA">
        <w:rPr>
          <w:rFonts w:asciiTheme="minorHAnsi" w:hAnsiTheme="minorHAnsi" w:cs="Arial"/>
        </w:rPr>
        <w:t xml:space="preserve"> or physically impaired</w:t>
      </w:r>
      <w:r>
        <w:rPr>
          <w:rFonts w:asciiTheme="minorHAnsi" w:hAnsiTheme="minorHAnsi" w:cs="Arial"/>
        </w:rPr>
        <w:t>:</w:t>
      </w:r>
    </w:p>
    <w:p w14:paraId="7FFABE59" w14:textId="1ACF3D1B" w:rsidR="00BC0BF2" w:rsidRPr="00BC0BF2" w:rsidRDefault="00BC0BF2" w:rsidP="00BC0BF2">
      <w:pPr>
        <w:autoSpaceDE w:val="0"/>
        <w:autoSpaceDN w:val="0"/>
        <w:adjustRightInd w:val="0"/>
        <w:snapToGrid w:val="0"/>
        <w:spacing w:after="240"/>
        <w:ind w:left="720" w:right="-46"/>
        <w:rPr>
          <w:rFonts w:asciiTheme="minorHAnsi" w:hAnsiTheme="minorHAnsi" w:cs="Arial"/>
        </w:rPr>
      </w:pPr>
      <w:r>
        <w:rPr>
          <w:rFonts w:asciiTheme="minorHAnsi" w:hAnsiTheme="minorHAnsi" w:cs="Arial"/>
          <w:i/>
        </w:rPr>
        <w:t>Additional protections might include appropriate screening, access to appropriate assessment and treatment, specialised accommodation, a right to have a third party (such as a guardian) present during questioning, specialised rules relating to the manner in which questioning may take place, and access to an independent third party, such as the Victorian Public Advocate.</w:t>
      </w:r>
      <w:r w:rsidR="00B9589F">
        <w:rPr>
          <w:rStyle w:val="FootnoteReference"/>
          <w:rFonts w:asciiTheme="minorHAnsi" w:hAnsiTheme="minorHAnsi" w:cs="Arial"/>
          <w:i/>
        </w:rPr>
        <w:footnoteReference w:id="20"/>
      </w:r>
    </w:p>
    <w:p w14:paraId="6004C159" w14:textId="256E868A" w:rsidR="008E68E9" w:rsidRDefault="008921DA" w:rsidP="008921DA">
      <w:pPr>
        <w:pStyle w:val="VEOHRCHeading1"/>
        <w:numPr>
          <w:ilvl w:val="0"/>
          <w:numId w:val="18"/>
        </w:numPr>
        <w:snapToGrid w:val="0"/>
        <w:spacing w:before="0" w:after="240" w:line="240" w:lineRule="auto"/>
        <w:rPr>
          <w:rFonts w:asciiTheme="minorHAnsi" w:eastAsia="Calibri" w:hAnsiTheme="minorHAnsi"/>
          <w:b w:val="0"/>
          <w:sz w:val="24"/>
          <w:szCs w:val="24"/>
          <w:lang w:val="en-AU"/>
        </w:rPr>
      </w:pPr>
      <w:r>
        <w:rPr>
          <w:rFonts w:asciiTheme="minorHAnsi" w:eastAsia="Calibri" w:hAnsiTheme="minorHAnsi"/>
          <w:b w:val="0"/>
          <w:sz w:val="24"/>
          <w:szCs w:val="24"/>
          <w:lang w:val="en-AU"/>
        </w:rPr>
        <w:t>On the Commission’s review, the Bill does not appear to include the protections suggested by the Panel</w:t>
      </w:r>
      <w:r w:rsidR="001A4558">
        <w:rPr>
          <w:rFonts w:asciiTheme="minorHAnsi" w:eastAsia="Calibri" w:hAnsiTheme="minorHAnsi"/>
          <w:b w:val="0"/>
          <w:sz w:val="24"/>
          <w:szCs w:val="24"/>
          <w:lang w:val="en-AU"/>
        </w:rPr>
        <w:t xml:space="preserve"> for vulnerable persons, such as those with a </w:t>
      </w:r>
      <w:r w:rsidR="00D24994">
        <w:rPr>
          <w:rFonts w:asciiTheme="minorHAnsi" w:eastAsia="Calibri" w:hAnsiTheme="minorHAnsi"/>
          <w:b w:val="0"/>
          <w:sz w:val="24"/>
          <w:szCs w:val="24"/>
          <w:lang w:val="en-AU"/>
        </w:rPr>
        <w:t>cognitive</w:t>
      </w:r>
      <w:r w:rsidR="001A4558">
        <w:rPr>
          <w:rFonts w:asciiTheme="minorHAnsi" w:eastAsia="Calibri" w:hAnsiTheme="minorHAnsi"/>
          <w:b w:val="0"/>
          <w:sz w:val="24"/>
          <w:szCs w:val="24"/>
          <w:lang w:val="en-AU"/>
        </w:rPr>
        <w:t xml:space="preserve"> or physical impairment</w:t>
      </w:r>
      <w:r>
        <w:rPr>
          <w:rFonts w:asciiTheme="minorHAnsi" w:eastAsia="Calibri" w:hAnsiTheme="minorHAnsi"/>
          <w:b w:val="0"/>
          <w:sz w:val="24"/>
          <w:szCs w:val="24"/>
          <w:lang w:val="en-AU"/>
        </w:rPr>
        <w:t xml:space="preserve">. </w:t>
      </w:r>
    </w:p>
    <w:p w14:paraId="646C9C1B" w14:textId="6584559F" w:rsidR="008921DA" w:rsidRDefault="008921DA" w:rsidP="008921DA">
      <w:pPr>
        <w:pStyle w:val="VEOHRCHeading1"/>
        <w:numPr>
          <w:ilvl w:val="0"/>
          <w:numId w:val="18"/>
        </w:numPr>
        <w:snapToGrid w:val="0"/>
        <w:spacing w:before="0" w:after="240" w:line="240" w:lineRule="auto"/>
        <w:rPr>
          <w:rFonts w:asciiTheme="minorHAnsi" w:eastAsia="Calibri" w:hAnsiTheme="minorHAnsi"/>
          <w:b w:val="0"/>
          <w:sz w:val="24"/>
          <w:szCs w:val="24"/>
          <w:lang w:val="en-AU"/>
        </w:rPr>
      </w:pPr>
      <w:r>
        <w:rPr>
          <w:rFonts w:asciiTheme="minorHAnsi" w:eastAsia="Calibri" w:hAnsiTheme="minorHAnsi"/>
          <w:b w:val="0"/>
          <w:sz w:val="24"/>
          <w:szCs w:val="24"/>
          <w:lang w:val="en-AU"/>
        </w:rPr>
        <w:t>The Commission believes the additional protections suggested for vulnerable persons within the Panel’</w:t>
      </w:r>
      <w:r w:rsidR="00265006">
        <w:rPr>
          <w:rFonts w:asciiTheme="minorHAnsi" w:eastAsia="Calibri" w:hAnsiTheme="minorHAnsi"/>
          <w:b w:val="0"/>
          <w:sz w:val="24"/>
          <w:szCs w:val="24"/>
          <w:lang w:val="en-AU"/>
        </w:rPr>
        <w:t>s Recommendation 2 are important</w:t>
      </w:r>
      <w:r>
        <w:rPr>
          <w:rFonts w:asciiTheme="minorHAnsi" w:eastAsia="Calibri" w:hAnsiTheme="minorHAnsi"/>
          <w:b w:val="0"/>
          <w:sz w:val="24"/>
          <w:szCs w:val="24"/>
          <w:lang w:val="en-AU"/>
        </w:rPr>
        <w:t xml:space="preserve"> to ensuring this Bill strikes the appropriate balance between protecting community safety </w:t>
      </w:r>
      <w:r w:rsidR="00780034">
        <w:rPr>
          <w:rFonts w:asciiTheme="minorHAnsi" w:eastAsia="Calibri" w:hAnsiTheme="minorHAnsi"/>
          <w:b w:val="0"/>
          <w:sz w:val="24"/>
          <w:szCs w:val="24"/>
          <w:lang w:val="en-AU"/>
        </w:rPr>
        <w:t>and protecting</w:t>
      </w:r>
      <w:r>
        <w:rPr>
          <w:rFonts w:asciiTheme="minorHAnsi" w:eastAsia="Calibri" w:hAnsiTheme="minorHAnsi"/>
          <w:b w:val="0"/>
          <w:sz w:val="24"/>
          <w:szCs w:val="24"/>
          <w:lang w:val="en-AU"/>
        </w:rPr>
        <w:t xml:space="preserve"> individual </w:t>
      </w:r>
      <w:r>
        <w:rPr>
          <w:rFonts w:asciiTheme="minorHAnsi" w:eastAsia="Calibri" w:hAnsiTheme="minorHAnsi"/>
          <w:b w:val="0"/>
          <w:sz w:val="24"/>
          <w:szCs w:val="24"/>
          <w:lang w:val="en-AU"/>
        </w:rPr>
        <w:lastRenderedPageBreak/>
        <w:t>human rights</w:t>
      </w:r>
      <w:r w:rsidR="00780034">
        <w:rPr>
          <w:rFonts w:asciiTheme="minorHAnsi" w:eastAsia="Calibri" w:hAnsiTheme="minorHAnsi"/>
          <w:b w:val="0"/>
          <w:sz w:val="24"/>
          <w:szCs w:val="24"/>
          <w:lang w:val="en-AU"/>
        </w:rPr>
        <w:t>, such as the right to humane treatment when deprived of liberty</w:t>
      </w:r>
      <w:r w:rsidR="00265006">
        <w:rPr>
          <w:rFonts w:asciiTheme="minorHAnsi" w:eastAsia="Calibri" w:hAnsiTheme="minorHAnsi"/>
          <w:b w:val="0"/>
          <w:sz w:val="24"/>
          <w:szCs w:val="24"/>
          <w:lang w:val="en-AU"/>
        </w:rPr>
        <w:t xml:space="preserve">, and the </w:t>
      </w:r>
      <w:r w:rsidR="00D24994">
        <w:rPr>
          <w:rFonts w:asciiTheme="minorHAnsi" w:eastAsia="Calibri" w:hAnsiTheme="minorHAnsi"/>
          <w:b w:val="0"/>
          <w:sz w:val="24"/>
          <w:szCs w:val="24"/>
          <w:lang w:val="en-AU"/>
        </w:rPr>
        <w:t>recognition</w:t>
      </w:r>
      <w:r w:rsidR="00265006">
        <w:rPr>
          <w:rFonts w:asciiTheme="minorHAnsi" w:eastAsia="Calibri" w:hAnsiTheme="minorHAnsi"/>
          <w:b w:val="0"/>
          <w:sz w:val="24"/>
          <w:szCs w:val="24"/>
          <w:lang w:val="en-AU"/>
        </w:rPr>
        <w:t xml:space="preserve"> and equality before the law</w:t>
      </w:r>
      <w:r w:rsidR="00780034">
        <w:rPr>
          <w:rStyle w:val="FootnoteReference"/>
          <w:rFonts w:asciiTheme="minorHAnsi" w:eastAsia="Calibri" w:hAnsiTheme="minorHAnsi"/>
          <w:b w:val="0"/>
          <w:sz w:val="24"/>
          <w:szCs w:val="24"/>
          <w:lang w:val="en-AU"/>
        </w:rPr>
        <w:footnoteReference w:id="21"/>
      </w:r>
      <w:r>
        <w:rPr>
          <w:rFonts w:asciiTheme="minorHAnsi" w:eastAsia="Calibri" w:hAnsiTheme="minorHAnsi"/>
          <w:b w:val="0"/>
          <w:sz w:val="24"/>
          <w:szCs w:val="24"/>
          <w:lang w:val="en-AU"/>
        </w:rPr>
        <w:t xml:space="preserve">. </w:t>
      </w:r>
    </w:p>
    <w:p w14:paraId="156EC6C5" w14:textId="2BF429FC" w:rsidR="008921DA" w:rsidRPr="00E6376F" w:rsidRDefault="008921DA" w:rsidP="00E6376F">
      <w:pPr>
        <w:pStyle w:val="VEOHRCHeading1"/>
        <w:numPr>
          <w:ilvl w:val="0"/>
          <w:numId w:val="18"/>
        </w:numPr>
        <w:snapToGrid w:val="0"/>
        <w:spacing w:before="0" w:after="240" w:line="240" w:lineRule="auto"/>
        <w:rPr>
          <w:rFonts w:asciiTheme="minorHAnsi" w:eastAsia="Calibri" w:hAnsiTheme="minorHAnsi"/>
          <w:b w:val="0"/>
          <w:sz w:val="24"/>
          <w:szCs w:val="24"/>
          <w:lang w:val="en-AU"/>
        </w:rPr>
      </w:pPr>
      <w:r>
        <w:rPr>
          <w:rFonts w:asciiTheme="minorHAnsi" w:eastAsia="Calibri" w:hAnsiTheme="minorHAnsi"/>
          <w:b w:val="0"/>
          <w:sz w:val="24"/>
          <w:szCs w:val="24"/>
          <w:lang w:val="en-AU"/>
        </w:rPr>
        <w:t xml:space="preserve">Parliament must be satisfied that these “significant” extensions to police powers are proportionate and that the laws introduced do not unreasonably limit Charter rights, particularly for vulnerable individuals. </w:t>
      </w:r>
    </w:p>
    <w:p w14:paraId="234A10F2" w14:textId="07FDAD59" w:rsidR="00661CD2" w:rsidRDefault="00066BDD" w:rsidP="00361A6F">
      <w:pPr>
        <w:autoSpaceDE w:val="0"/>
        <w:autoSpaceDN w:val="0"/>
        <w:adjustRightInd w:val="0"/>
        <w:snapToGrid w:val="0"/>
        <w:spacing w:after="240"/>
        <w:rPr>
          <w:rFonts w:asciiTheme="minorHAnsi" w:hAnsiTheme="minorHAnsi" w:cs="Arial"/>
          <w:color w:val="000000"/>
          <w:lang w:val="en-AU"/>
        </w:rPr>
      </w:pPr>
      <w:r w:rsidRPr="00066BDD">
        <w:rPr>
          <w:rFonts w:asciiTheme="minorHAnsi" w:hAnsiTheme="minorHAnsi" w:cs="Arial"/>
          <w:color w:val="000000"/>
          <w:lang w:val="en-AU"/>
        </w:rPr>
        <w:t xml:space="preserve">If you have any queries about this submission, please contact Emily Minter, Senior Legal Adviser, at </w:t>
      </w:r>
      <w:r w:rsidRPr="00066BDD">
        <w:rPr>
          <w:rFonts w:asciiTheme="minorHAnsi" w:hAnsiTheme="minorHAnsi" w:cs="Arial"/>
          <w:color w:val="0563C2"/>
          <w:lang w:val="en-AU"/>
        </w:rPr>
        <w:t>legal@veohrc.vic.gov.au</w:t>
      </w:r>
      <w:r w:rsidRPr="00066BDD">
        <w:rPr>
          <w:rFonts w:asciiTheme="minorHAnsi" w:hAnsiTheme="minorHAnsi" w:cs="Arial"/>
          <w:color w:val="000000"/>
          <w:lang w:val="en-AU"/>
        </w:rPr>
        <w:t>.</w:t>
      </w:r>
    </w:p>
    <w:p w14:paraId="64A62036" w14:textId="6DF605E2" w:rsidR="00066BDD" w:rsidRPr="00066BDD" w:rsidRDefault="00066BDD" w:rsidP="00AF4B62">
      <w:pPr>
        <w:autoSpaceDE w:val="0"/>
        <w:autoSpaceDN w:val="0"/>
        <w:adjustRightInd w:val="0"/>
        <w:snapToGrid w:val="0"/>
        <w:spacing w:after="240"/>
        <w:rPr>
          <w:rFonts w:asciiTheme="minorHAnsi" w:hAnsiTheme="minorHAnsi" w:cs="Arial"/>
          <w:color w:val="000000"/>
          <w:lang w:val="en-AU"/>
        </w:rPr>
      </w:pPr>
      <w:r w:rsidRPr="00066BDD">
        <w:rPr>
          <w:rFonts w:asciiTheme="minorHAnsi" w:hAnsiTheme="minorHAnsi" w:cs="Arial"/>
          <w:color w:val="000000"/>
          <w:lang w:val="en-AU"/>
        </w:rPr>
        <w:t>Yours sincerely,</w:t>
      </w:r>
    </w:p>
    <w:p w14:paraId="68171585" w14:textId="20B5BFEE" w:rsidR="00C75603" w:rsidRPr="00066BDD" w:rsidRDefault="00386448" w:rsidP="00361A6F">
      <w:pPr>
        <w:autoSpaceDE w:val="0"/>
        <w:autoSpaceDN w:val="0"/>
        <w:adjustRightInd w:val="0"/>
        <w:snapToGrid w:val="0"/>
        <w:spacing w:after="240"/>
        <w:rPr>
          <w:rFonts w:asciiTheme="minorHAnsi" w:hAnsiTheme="minorHAnsi" w:cs="Arial"/>
          <w:color w:val="000000"/>
          <w:lang w:val="en-AU"/>
        </w:rPr>
      </w:pPr>
      <w:r w:rsidRPr="00386448">
        <w:rPr>
          <w:rFonts w:asciiTheme="minorHAnsi" w:hAnsiTheme="minorHAnsi" w:cs="Arial"/>
          <w:color w:val="000000"/>
          <w:lang w:val="en-AU"/>
        </w:rPr>
        <w:drawing>
          <wp:inline distT="0" distB="0" distL="0" distR="0" wp14:anchorId="7790D8C3" wp14:editId="40DE1580">
            <wp:extent cx="2337435" cy="883073"/>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76920" cy="897990"/>
                    </a:xfrm>
                    <a:prstGeom prst="rect">
                      <a:avLst/>
                    </a:prstGeom>
                  </pic:spPr>
                </pic:pic>
              </a:graphicData>
            </a:graphic>
          </wp:inline>
        </w:drawing>
      </w:r>
    </w:p>
    <w:p w14:paraId="114671DE" w14:textId="6B20814A" w:rsidR="00066BDD" w:rsidRPr="00066BDD" w:rsidRDefault="00E6376F" w:rsidP="00AF4B62">
      <w:pPr>
        <w:autoSpaceDE w:val="0"/>
        <w:autoSpaceDN w:val="0"/>
        <w:adjustRightInd w:val="0"/>
        <w:snapToGrid w:val="0"/>
        <w:spacing w:after="120"/>
        <w:rPr>
          <w:rFonts w:asciiTheme="minorHAnsi" w:hAnsiTheme="minorHAnsi" w:cs="Arial"/>
          <w:color w:val="000000"/>
          <w:lang w:val="en-AU"/>
        </w:rPr>
      </w:pPr>
      <w:r>
        <w:rPr>
          <w:rFonts w:asciiTheme="minorHAnsi" w:hAnsiTheme="minorHAnsi" w:cs="Arial"/>
          <w:color w:val="000000"/>
          <w:lang w:val="en-AU"/>
        </w:rPr>
        <w:t>Sarah Bendall</w:t>
      </w:r>
    </w:p>
    <w:p w14:paraId="3948A0B0" w14:textId="5C53D755" w:rsidR="002F5C5B" w:rsidRPr="001461B6" w:rsidRDefault="00E6376F" w:rsidP="001461B6">
      <w:pPr>
        <w:autoSpaceDE w:val="0"/>
        <w:autoSpaceDN w:val="0"/>
        <w:adjustRightInd w:val="0"/>
        <w:snapToGrid w:val="0"/>
        <w:spacing w:after="120"/>
        <w:rPr>
          <w:rFonts w:asciiTheme="minorHAnsi" w:eastAsia="Calibri" w:hAnsiTheme="minorHAnsi" w:cs="Arial"/>
          <w:lang w:val="en-AU"/>
        </w:rPr>
      </w:pPr>
      <w:r>
        <w:rPr>
          <w:rFonts w:asciiTheme="minorHAnsi" w:hAnsiTheme="minorHAnsi" w:cs="Arial"/>
          <w:color w:val="000000"/>
          <w:lang w:val="en-AU"/>
        </w:rPr>
        <w:t>Head of Legal and Dispute R</w:t>
      </w:r>
      <w:bookmarkStart w:id="0" w:name="_GoBack"/>
      <w:bookmarkEnd w:id="0"/>
      <w:r>
        <w:rPr>
          <w:rFonts w:asciiTheme="minorHAnsi" w:hAnsiTheme="minorHAnsi" w:cs="Arial"/>
          <w:color w:val="000000"/>
          <w:lang w:val="en-AU"/>
        </w:rPr>
        <w:t>esolution</w:t>
      </w:r>
    </w:p>
    <w:sectPr w:rsidR="002F5C5B" w:rsidRPr="001461B6" w:rsidSect="00AF7A83">
      <w:footerReference w:type="default" r:id="rId10"/>
      <w:headerReference w:type="first" r:id="rId11"/>
      <w:footerReference w:type="first" r:id="rId12"/>
      <w:pgSz w:w="11906" w:h="16838" w:code="9"/>
      <w:pgMar w:top="1790" w:right="1440" w:bottom="2694" w:left="1440" w:header="709" w:footer="567"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53E4C3" w14:textId="77777777" w:rsidR="008A0FC6" w:rsidRDefault="008A0FC6">
      <w:r>
        <w:separator/>
      </w:r>
    </w:p>
  </w:endnote>
  <w:endnote w:type="continuationSeparator" w:id="0">
    <w:p w14:paraId="6A1372F0" w14:textId="77777777" w:rsidR="008A0FC6" w:rsidRDefault="008A0F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rutiger 45 Light">
    <w:altName w:val="Calibri"/>
    <w:panose1 w:val="00000000000000000000"/>
    <w:charset w:val="00"/>
    <w:family w:val="swiss"/>
    <w:notTrueType/>
    <w:pitch w:val="variable"/>
    <w:sig w:usb0="00000003" w:usb1="00000000" w:usb2="00000000" w:usb3="00000000" w:csb0="00000001" w:csb1="00000000"/>
  </w:font>
  <w:font w:name="Frutiger 55 Roman">
    <w:altName w:val="Calibri"/>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swiss"/>
    <w:pitch w:val="variable"/>
    <w:sig w:usb0="F7FFAFFF" w:usb1="E9DFFFFF" w:usb2="0000003F" w:usb3="00000000" w:csb0="003F01FF" w:csb1="00000000"/>
  </w:font>
  <w:font w:name="Arial Bold">
    <w:panose1 w:val="00000000000000000000"/>
    <w:charset w:val="00"/>
    <w:family w:val="roman"/>
    <w:notTrueType/>
    <w:pitch w:val="default"/>
  </w:font>
  <w:font w:name="Segoe UI">
    <w:altName w:val="Calibri"/>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w:panose1 w:val="02000500000000000000"/>
    <w:charset w:val="00"/>
    <w:family w:val="roman"/>
    <w:pitch w:val="variable"/>
    <w:sig w:usb0="00000003" w:usb1="00000000" w:usb2="00000000" w:usb3="00000000" w:csb0="00000001" w:csb1="00000000"/>
  </w:font>
  <w:font w:name="VIC Light">
    <w:altName w:val="VIC Light"/>
    <w:panose1 w:val="00000000000000000000"/>
    <w:charset w:val="00"/>
    <w:family w:val="swiss"/>
    <w:notTrueType/>
    <w:pitch w:val="default"/>
    <w:sig w:usb0="00000003" w:usb1="00000000" w:usb2="00000000" w:usb3="00000000" w:csb0="00000001" w:csb1="00000000"/>
  </w:font>
  <w:font w:name="Swis721 BT">
    <w:altName w:val="Courier New"/>
    <w:charset w:val="00"/>
    <w:family w:val="auto"/>
    <w:pitch w:val="variable"/>
    <w:sig w:usb0="03000000" w:usb1="00000000" w:usb2="00000000" w:usb3="00000000" w:csb0="00000001" w:csb1="00000000"/>
  </w:font>
  <w:font w:name="ＭＳ ゴシック">
    <w:charset w:val="80"/>
    <w:family w:val="swiss"/>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ＭＳ 明朝">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EE688" w14:textId="1E4811B2" w:rsidR="003C3743" w:rsidRPr="00CA4C52" w:rsidRDefault="0033768E" w:rsidP="001601D8">
    <w:pPr>
      <w:tabs>
        <w:tab w:val="right" w:pos="9000"/>
      </w:tabs>
      <w:rPr>
        <w:rFonts w:asciiTheme="minorHAnsi" w:hAnsiTheme="minorHAnsi" w:cs="Arial"/>
        <w:i/>
        <w:sz w:val="18"/>
        <w:szCs w:val="18"/>
        <w:lang w:val="en-AU"/>
      </w:rPr>
    </w:pPr>
    <w:r w:rsidRPr="00CA4C52">
      <w:rPr>
        <w:rFonts w:asciiTheme="minorHAnsi" w:hAnsiTheme="minorHAnsi" w:cs="Arial"/>
        <w:i/>
        <w:sz w:val="18"/>
        <w:szCs w:val="18"/>
        <w:lang w:val="en-AU"/>
      </w:rPr>
      <w:t>V</w:t>
    </w:r>
    <w:r w:rsidR="00B85C75" w:rsidRPr="00CA4C52">
      <w:rPr>
        <w:rFonts w:asciiTheme="minorHAnsi" w:hAnsiTheme="minorHAnsi" w:cs="Arial"/>
        <w:i/>
        <w:sz w:val="18"/>
        <w:szCs w:val="18"/>
        <w:lang w:val="en-AU"/>
      </w:rPr>
      <w:t xml:space="preserve">ictorian Equal Opportunity and Human Rights Commission </w:t>
    </w:r>
    <w:r w:rsidR="0034441C" w:rsidRPr="00CA4C52">
      <w:rPr>
        <w:rFonts w:asciiTheme="minorHAnsi" w:hAnsiTheme="minorHAnsi" w:cs="Arial"/>
        <w:i/>
        <w:sz w:val="18"/>
        <w:szCs w:val="18"/>
        <w:lang w:val="en-AU"/>
      </w:rPr>
      <w:t>Submission on the Justice Legislation Amendment (</w:t>
    </w:r>
    <w:r w:rsidR="00AF4B62" w:rsidRPr="00CA4C52">
      <w:rPr>
        <w:rFonts w:asciiTheme="minorHAnsi" w:hAnsiTheme="minorHAnsi" w:cs="Arial"/>
        <w:i/>
        <w:sz w:val="18"/>
        <w:szCs w:val="18"/>
        <w:lang w:val="en-AU"/>
      </w:rPr>
      <w:t>Terrorism</w:t>
    </w:r>
    <w:r w:rsidR="0034441C" w:rsidRPr="00CA4C52">
      <w:rPr>
        <w:rFonts w:asciiTheme="minorHAnsi" w:hAnsiTheme="minorHAnsi" w:cs="Arial"/>
        <w:i/>
        <w:sz w:val="18"/>
        <w:szCs w:val="18"/>
        <w:lang w:val="en-AU"/>
      </w:rPr>
      <w:t>) Bill 2018</w:t>
    </w:r>
  </w:p>
  <w:p w14:paraId="797EE005" w14:textId="77777777" w:rsidR="00B85C75" w:rsidRPr="003C3743" w:rsidRDefault="00B85C75" w:rsidP="001601D8">
    <w:pPr>
      <w:tabs>
        <w:tab w:val="right" w:pos="9000"/>
      </w:tabs>
      <w:rPr>
        <w:rFonts w:ascii="Arial" w:hAnsi="Arial" w:cs="Arial"/>
        <w:sz w:val="10"/>
        <w:szCs w:val="18"/>
        <w:lang w:val="en-AU"/>
      </w:rPr>
    </w:pPr>
  </w:p>
  <w:p w14:paraId="1365203F" w14:textId="77777777" w:rsidR="0033768E" w:rsidRPr="00A542FC" w:rsidRDefault="0033768E" w:rsidP="003C3743">
    <w:pPr>
      <w:tabs>
        <w:tab w:val="right" w:pos="9000"/>
      </w:tabs>
      <w:jc w:val="center"/>
    </w:pPr>
    <w:r w:rsidRPr="00A542FC">
      <w:rPr>
        <w:rFonts w:ascii="Arial" w:hAnsi="Arial" w:cs="Arial"/>
        <w:sz w:val="18"/>
        <w:szCs w:val="18"/>
        <w:lang w:val="en-AU"/>
      </w:rPr>
      <w:t xml:space="preserve">Page </w:t>
    </w:r>
    <w:r w:rsidRPr="00A542FC">
      <w:rPr>
        <w:rFonts w:ascii="Arial" w:hAnsi="Arial" w:cs="Arial"/>
        <w:sz w:val="18"/>
        <w:szCs w:val="18"/>
        <w:lang w:val="en-AU"/>
      </w:rPr>
      <w:fldChar w:fldCharType="begin"/>
    </w:r>
    <w:r w:rsidRPr="00A542FC">
      <w:rPr>
        <w:rFonts w:ascii="Arial" w:hAnsi="Arial" w:cs="Arial"/>
        <w:sz w:val="18"/>
        <w:szCs w:val="18"/>
        <w:lang w:val="en-AU"/>
      </w:rPr>
      <w:instrText xml:space="preserve"> PAGE </w:instrText>
    </w:r>
    <w:r w:rsidRPr="00A542FC">
      <w:rPr>
        <w:rFonts w:ascii="Arial" w:hAnsi="Arial" w:cs="Arial"/>
        <w:sz w:val="18"/>
        <w:szCs w:val="18"/>
        <w:lang w:val="en-AU"/>
      </w:rPr>
      <w:fldChar w:fldCharType="separate"/>
    </w:r>
    <w:r w:rsidR="00386448">
      <w:rPr>
        <w:rFonts w:ascii="Arial" w:hAnsi="Arial" w:cs="Arial"/>
        <w:noProof/>
        <w:sz w:val="18"/>
        <w:szCs w:val="18"/>
        <w:lang w:val="en-AU"/>
      </w:rPr>
      <w:t>8</w:t>
    </w:r>
    <w:r w:rsidRPr="00A542FC">
      <w:rPr>
        <w:rFonts w:ascii="Arial" w:hAnsi="Arial" w:cs="Arial"/>
        <w:sz w:val="18"/>
        <w:szCs w:val="18"/>
        <w:lang w:val="en-AU"/>
      </w:rPr>
      <w:fldChar w:fldCharType="end"/>
    </w:r>
    <w:r w:rsidRPr="00A542FC">
      <w:rPr>
        <w:rFonts w:ascii="Arial" w:hAnsi="Arial" w:cs="Arial"/>
        <w:sz w:val="18"/>
        <w:szCs w:val="18"/>
        <w:lang w:val="en-AU"/>
      </w:rPr>
      <w:t xml:space="preserve"> of </w:t>
    </w:r>
    <w:r w:rsidRPr="00A542FC">
      <w:rPr>
        <w:rFonts w:ascii="Arial" w:hAnsi="Arial" w:cs="Arial"/>
        <w:sz w:val="18"/>
        <w:szCs w:val="18"/>
        <w:lang w:val="en-AU"/>
      </w:rPr>
      <w:fldChar w:fldCharType="begin"/>
    </w:r>
    <w:r w:rsidRPr="00A542FC">
      <w:rPr>
        <w:rFonts w:ascii="Arial" w:hAnsi="Arial" w:cs="Arial"/>
        <w:sz w:val="18"/>
        <w:szCs w:val="18"/>
        <w:lang w:val="en-AU"/>
      </w:rPr>
      <w:instrText xml:space="preserve"> NUMPAGES </w:instrText>
    </w:r>
    <w:r w:rsidRPr="00A542FC">
      <w:rPr>
        <w:rFonts w:ascii="Arial" w:hAnsi="Arial" w:cs="Arial"/>
        <w:sz w:val="18"/>
        <w:szCs w:val="18"/>
        <w:lang w:val="en-AU"/>
      </w:rPr>
      <w:fldChar w:fldCharType="separate"/>
    </w:r>
    <w:r w:rsidR="00386448">
      <w:rPr>
        <w:rFonts w:ascii="Arial" w:hAnsi="Arial" w:cs="Arial"/>
        <w:noProof/>
        <w:sz w:val="18"/>
        <w:szCs w:val="18"/>
        <w:lang w:val="en-AU"/>
      </w:rPr>
      <w:t>8</w:t>
    </w:r>
    <w:r w:rsidRPr="00A542FC">
      <w:rPr>
        <w:rFonts w:ascii="Arial" w:hAnsi="Arial" w:cs="Arial"/>
        <w:sz w:val="18"/>
        <w:szCs w:val="18"/>
        <w:lang w:val="en-AU"/>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0B292B" w14:textId="77777777" w:rsidR="0033768E" w:rsidRDefault="0033768E" w:rsidP="002B231B">
    <w:pPr>
      <w:pStyle w:val="Footer"/>
      <w:tabs>
        <w:tab w:val="right" w:pos="7371"/>
      </w:tabs>
      <w:ind w:left="1246"/>
      <w:rPr>
        <w:rFonts w:ascii="Swis721 BT" w:hAnsi="Swis721 BT"/>
      </w:rPr>
    </w:pPr>
    <w:r>
      <w:rPr>
        <w:noProof/>
        <w:lang w:eastAsia="zh-CN"/>
      </w:rPr>
      <mc:AlternateContent>
        <mc:Choice Requires="wps">
          <w:drawing>
            <wp:anchor distT="0" distB="0" distL="114300" distR="114300" simplePos="0" relativeHeight="251658240" behindDoc="0" locked="0" layoutInCell="1" allowOverlap="1" wp14:anchorId="7D9B8C80" wp14:editId="5369F51F">
              <wp:simplePos x="0" y="0"/>
              <wp:positionH relativeFrom="column">
                <wp:posOffset>702945</wp:posOffset>
              </wp:positionH>
              <wp:positionV relativeFrom="paragraph">
                <wp:posOffset>-606425</wp:posOffset>
              </wp:positionV>
              <wp:extent cx="5288915" cy="1139190"/>
              <wp:effectExtent l="0" t="0" r="0" b="381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8915" cy="1139190"/>
                      </a:xfrm>
                      <a:prstGeom prst="rect">
                        <a:avLst/>
                      </a:pr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C054424" w14:textId="77777777" w:rsidR="0033768E" w:rsidRDefault="0033768E" w:rsidP="002B231B">
                          <w:r w:rsidRPr="002F5C5B">
                            <w:rPr>
                              <w:noProof/>
                              <w:lang w:eastAsia="zh-CN"/>
                            </w:rPr>
                            <w:drawing>
                              <wp:inline distT="0" distB="0" distL="0" distR="0" wp14:anchorId="62254D38" wp14:editId="4C103BAE">
                                <wp:extent cx="5095875" cy="1047750"/>
                                <wp:effectExtent l="0" t="0" r="9525" b="0"/>
                                <wp:docPr id="18" name="Picture 2" descr="Letterhead footer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tterhead footer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95875" cy="10477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D9B8C80" id="_x0000_t202" coordsize="21600,21600" o:spt="202" path="m,l,21600r21600,l21600,xe">
              <v:stroke joinstyle="miter"/>
              <v:path gradientshapeok="t" o:connecttype="rect"/>
            </v:shapetype>
            <v:shape id="Text Box 5" o:spid="_x0000_s1027" type="#_x0000_t202" style="position:absolute;left:0;text-align:left;margin-left:55.35pt;margin-top:-47.75pt;width:416.45pt;height:89.7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" stroked="f">
              <v:textbox style="mso-fit-shape-to-text:t">
                <w:txbxContent>
                  <w:p w14:paraId="1C054424" w14:textId="77777777" w:rsidR="0033768E" w:rsidRDefault="0033768E" w:rsidP="002B231B">
                    <w:r w:rsidRPr="002F5C5B">
                      <w:rPr>
                        <w:noProof/>
                        <w:lang w:val="en-AU"/>
                      </w:rPr>
                      <w:drawing>
                        <wp:inline distT="0" distB="0" distL="0" distR="0" wp14:anchorId="62254D38" wp14:editId="4C103BAE">
                          <wp:extent cx="5095875" cy="1047750"/>
                          <wp:effectExtent l="0" t="0" r="9525" b="0"/>
                          <wp:docPr id="18" name="Picture 2" descr="Letterhead footer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tterhead footer smal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95875" cy="1047750"/>
                                  </a:xfrm>
                                  <a:prstGeom prst="rect">
                                    <a:avLst/>
                                  </a:prstGeom>
                                  <a:noFill/>
                                  <a:ln>
                                    <a:noFill/>
                                  </a:ln>
                                </pic:spPr>
                              </pic:pic>
                            </a:graphicData>
                          </a:graphic>
                        </wp:inline>
                      </w:drawing>
                    </w:r>
                  </w:p>
                </w:txbxContent>
              </v:textbox>
            </v:shape>
          </w:pict>
        </mc:Fallback>
      </mc:AlternateContent>
    </w:r>
  </w:p>
  <w:p w14:paraId="083719D6" w14:textId="77777777" w:rsidR="0033768E" w:rsidRDefault="0033768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719591" w14:textId="77777777" w:rsidR="008A0FC6" w:rsidRDefault="008A0FC6">
      <w:r>
        <w:separator/>
      </w:r>
    </w:p>
  </w:footnote>
  <w:footnote w:type="continuationSeparator" w:id="0">
    <w:p w14:paraId="6B97F1F5" w14:textId="77777777" w:rsidR="008A0FC6" w:rsidRDefault="008A0FC6">
      <w:r>
        <w:continuationSeparator/>
      </w:r>
    </w:p>
  </w:footnote>
  <w:footnote w:id="1">
    <w:p w14:paraId="3C086682" w14:textId="1865661F" w:rsidR="008B59B2" w:rsidRPr="00C75603" w:rsidRDefault="008B59B2">
      <w:pPr>
        <w:pStyle w:val="FootnoteText"/>
        <w:rPr>
          <w:rFonts w:asciiTheme="minorHAnsi" w:hAnsiTheme="minorHAnsi"/>
          <w:lang w:val="en-AU"/>
        </w:rPr>
      </w:pPr>
      <w:r w:rsidRPr="00C75603">
        <w:rPr>
          <w:rStyle w:val="FootnoteReference"/>
          <w:rFonts w:asciiTheme="minorHAnsi" w:hAnsiTheme="minorHAnsi"/>
        </w:rPr>
        <w:footnoteRef/>
      </w:r>
      <w:r w:rsidRPr="00C75603">
        <w:rPr>
          <w:rFonts w:asciiTheme="minorHAnsi" w:hAnsiTheme="minorHAnsi"/>
        </w:rPr>
        <w:t xml:space="preserve"> </w:t>
      </w:r>
      <w:r w:rsidR="008714CE" w:rsidRPr="00C75603">
        <w:rPr>
          <w:rFonts w:asciiTheme="minorHAnsi" w:hAnsiTheme="minorHAnsi"/>
        </w:rPr>
        <w:t>Justice Legislation Amendment (Terrorism) Bill 2018 cl 17.</w:t>
      </w:r>
    </w:p>
  </w:footnote>
  <w:footnote w:id="2">
    <w:p w14:paraId="0B6E5359" w14:textId="3D0482CC" w:rsidR="008B59B2" w:rsidRPr="00C75603" w:rsidRDefault="008B59B2" w:rsidP="008B59B2">
      <w:pPr>
        <w:pStyle w:val="FootnoteText"/>
        <w:rPr>
          <w:rFonts w:asciiTheme="minorHAnsi" w:hAnsiTheme="minorHAnsi"/>
          <w:lang w:val="en-AU"/>
        </w:rPr>
      </w:pPr>
      <w:r w:rsidRPr="00C75603">
        <w:rPr>
          <w:rStyle w:val="FootnoteReference"/>
          <w:rFonts w:asciiTheme="minorHAnsi" w:hAnsiTheme="minorHAnsi"/>
        </w:rPr>
        <w:footnoteRef/>
      </w:r>
      <w:r w:rsidRPr="00C75603">
        <w:rPr>
          <w:rFonts w:asciiTheme="minorHAnsi" w:hAnsiTheme="minorHAnsi"/>
        </w:rPr>
        <w:t xml:space="preserve"> </w:t>
      </w:r>
      <w:r w:rsidR="008714CE" w:rsidRPr="00C75603">
        <w:rPr>
          <w:rFonts w:asciiTheme="minorHAnsi" w:hAnsiTheme="minorHAnsi"/>
        </w:rPr>
        <w:t>Justice Legislation Amendment (Terrorism) Bill 2018 cl 13AC.</w:t>
      </w:r>
    </w:p>
  </w:footnote>
  <w:footnote w:id="3">
    <w:p w14:paraId="1B73122A" w14:textId="4CA4CBAB" w:rsidR="00E077C9" w:rsidRPr="00C75603" w:rsidRDefault="00E077C9">
      <w:pPr>
        <w:pStyle w:val="FootnoteText"/>
        <w:rPr>
          <w:rFonts w:asciiTheme="minorHAnsi" w:hAnsiTheme="minorHAnsi"/>
          <w:lang w:val="en-AU"/>
        </w:rPr>
      </w:pPr>
      <w:r w:rsidRPr="00C75603">
        <w:rPr>
          <w:rStyle w:val="FootnoteReference"/>
          <w:rFonts w:asciiTheme="minorHAnsi" w:hAnsiTheme="minorHAnsi"/>
        </w:rPr>
        <w:footnoteRef/>
      </w:r>
      <w:r w:rsidRPr="00C75603">
        <w:rPr>
          <w:rFonts w:asciiTheme="minorHAnsi" w:hAnsiTheme="minorHAnsi"/>
        </w:rPr>
        <w:t xml:space="preserve"> </w:t>
      </w:r>
      <w:r w:rsidR="008714CE" w:rsidRPr="00C75603">
        <w:rPr>
          <w:rFonts w:asciiTheme="minorHAnsi" w:hAnsiTheme="minorHAnsi"/>
          <w:lang w:val="en-AU"/>
        </w:rPr>
        <w:t>Justice Legislation Amendment (Terrorism) Bill 2018 cl 11(2).</w:t>
      </w:r>
    </w:p>
  </w:footnote>
  <w:footnote w:id="4">
    <w:p w14:paraId="27B65298" w14:textId="78F26C72" w:rsidR="006C6199" w:rsidRPr="00C75603" w:rsidRDefault="006C6199">
      <w:pPr>
        <w:pStyle w:val="FootnoteText"/>
        <w:rPr>
          <w:rFonts w:asciiTheme="minorHAnsi" w:hAnsiTheme="minorHAnsi"/>
          <w:lang w:val="en-AU"/>
        </w:rPr>
      </w:pPr>
      <w:r w:rsidRPr="00C75603">
        <w:rPr>
          <w:rStyle w:val="FootnoteReference"/>
          <w:rFonts w:asciiTheme="minorHAnsi" w:hAnsiTheme="minorHAnsi"/>
        </w:rPr>
        <w:footnoteRef/>
      </w:r>
      <w:r w:rsidRPr="00C75603">
        <w:rPr>
          <w:rFonts w:asciiTheme="minorHAnsi" w:hAnsiTheme="minorHAnsi"/>
        </w:rPr>
        <w:t xml:space="preserve"> Justice Legislation Amendment (Terrorism) Bill 2018 cl 13AA.</w:t>
      </w:r>
    </w:p>
  </w:footnote>
  <w:footnote w:id="5">
    <w:p w14:paraId="5AA33DC8" w14:textId="53F248BC" w:rsidR="00E077C9" w:rsidRPr="00C75603" w:rsidRDefault="00E077C9" w:rsidP="00E077C9">
      <w:pPr>
        <w:pStyle w:val="FootnoteText"/>
        <w:rPr>
          <w:rFonts w:asciiTheme="minorHAnsi" w:hAnsiTheme="minorHAnsi"/>
          <w:lang w:val="en-AU"/>
        </w:rPr>
      </w:pPr>
      <w:r w:rsidRPr="00C75603">
        <w:rPr>
          <w:rStyle w:val="FootnoteReference"/>
          <w:rFonts w:asciiTheme="minorHAnsi" w:hAnsiTheme="minorHAnsi"/>
        </w:rPr>
        <w:footnoteRef/>
      </w:r>
      <w:r w:rsidRPr="00C75603">
        <w:rPr>
          <w:rFonts w:asciiTheme="minorHAnsi" w:hAnsiTheme="minorHAnsi"/>
        </w:rPr>
        <w:t xml:space="preserve"> </w:t>
      </w:r>
      <w:r w:rsidRPr="00C75603">
        <w:rPr>
          <w:rFonts w:asciiTheme="minorHAnsi" w:hAnsiTheme="minorHAnsi"/>
          <w:i/>
          <w:lang w:val="en-AU"/>
        </w:rPr>
        <w:t>Terrorism (Community Protection) Act 2013</w:t>
      </w:r>
      <w:r w:rsidRPr="00C75603">
        <w:rPr>
          <w:rFonts w:asciiTheme="minorHAnsi" w:hAnsiTheme="minorHAnsi"/>
          <w:lang w:val="en-AU"/>
        </w:rPr>
        <w:t xml:space="preserve"> s 13E.</w:t>
      </w:r>
    </w:p>
  </w:footnote>
  <w:footnote w:id="6">
    <w:p w14:paraId="0D6358E0" w14:textId="3C9E2DA1" w:rsidR="008B59B2" w:rsidRPr="00C75603" w:rsidRDefault="008B59B2">
      <w:pPr>
        <w:pStyle w:val="FootnoteText"/>
        <w:rPr>
          <w:rFonts w:asciiTheme="minorHAnsi" w:hAnsiTheme="minorHAnsi"/>
          <w:lang w:val="en-AU"/>
        </w:rPr>
      </w:pPr>
      <w:r w:rsidRPr="00C75603">
        <w:rPr>
          <w:rStyle w:val="FootnoteReference"/>
          <w:rFonts w:asciiTheme="minorHAnsi" w:hAnsiTheme="minorHAnsi"/>
        </w:rPr>
        <w:footnoteRef/>
      </w:r>
      <w:r w:rsidRPr="00C75603">
        <w:rPr>
          <w:rFonts w:asciiTheme="minorHAnsi" w:hAnsiTheme="minorHAnsi"/>
        </w:rPr>
        <w:t xml:space="preserve"> </w:t>
      </w:r>
      <w:r w:rsidR="00C00865" w:rsidRPr="00C75603">
        <w:rPr>
          <w:rFonts w:asciiTheme="minorHAnsi" w:hAnsiTheme="minorHAnsi"/>
        </w:rPr>
        <w:t>Panel</w:t>
      </w:r>
      <w:r w:rsidR="008714CE" w:rsidRPr="00C75603">
        <w:rPr>
          <w:rFonts w:asciiTheme="minorHAnsi" w:hAnsiTheme="minorHAnsi"/>
        </w:rPr>
        <w:t xml:space="preserve"> on Terrorism and Violent Extremism Prevention and Response Powers: Report 2, page 100.</w:t>
      </w:r>
    </w:p>
  </w:footnote>
  <w:footnote w:id="7">
    <w:p w14:paraId="6F851AEF" w14:textId="68F17975" w:rsidR="00A125F0" w:rsidRPr="00C75603" w:rsidRDefault="00A125F0" w:rsidP="00A125F0">
      <w:pPr>
        <w:pStyle w:val="FootnoteText"/>
        <w:rPr>
          <w:rFonts w:asciiTheme="minorHAnsi" w:hAnsiTheme="minorHAnsi" w:cs="Arial"/>
        </w:rPr>
      </w:pPr>
      <w:r w:rsidRPr="00C75603">
        <w:rPr>
          <w:rStyle w:val="FootnoteReference"/>
          <w:rFonts w:asciiTheme="minorHAnsi" w:hAnsiTheme="minorHAnsi" w:cs="Arial"/>
        </w:rPr>
        <w:footnoteRef/>
      </w:r>
      <w:r w:rsidRPr="00C75603">
        <w:rPr>
          <w:rFonts w:asciiTheme="minorHAnsi" w:hAnsiTheme="minorHAnsi" w:cs="Arial"/>
        </w:rPr>
        <w:t xml:space="preserve"> </w:t>
      </w:r>
      <w:r w:rsidR="00C00865" w:rsidRPr="00C75603">
        <w:rPr>
          <w:rFonts w:asciiTheme="minorHAnsi" w:hAnsiTheme="minorHAnsi" w:cs="Arial"/>
        </w:rPr>
        <w:t>Panel</w:t>
      </w:r>
      <w:r w:rsidRPr="00C75603">
        <w:rPr>
          <w:rFonts w:asciiTheme="minorHAnsi" w:hAnsiTheme="minorHAnsi" w:cs="Arial"/>
        </w:rPr>
        <w:t xml:space="preserve"> on Terrorism and Violent Extremism Prevention and Response Powers: Report 2, page 100</w:t>
      </w:r>
      <w:r w:rsidR="008714CE" w:rsidRPr="00C75603">
        <w:rPr>
          <w:rFonts w:asciiTheme="minorHAnsi" w:hAnsiTheme="minorHAnsi" w:cs="Arial"/>
        </w:rPr>
        <w:t>.</w:t>
      </w:r>
    </w:p>
  </w:footnote>
  <w:footnote w:id="8">
    <w:p w14:paraId="60672EF2" w14:textId="70061E4E" w:rsidR="00A125F0" w:rsidRPr="00C75603" w:rsidRDefault="00A125F0" w:rsidP="00A125F0">
      <w:pPr>
        <w:pStyle w:val="FootnoteText"/>
        <w:rPr>
          <w:rFonts w:asciiTheme="minorHAnsi" w:hAnsiTheme="minorHAnsi" w:cs="Arial"/>
        </w:rPr>
      </w:pPr>
      <w:r w:rsidRPr="00C75603">
        <w:rPr>
          <w:rStyle w:val="FootnoteReference"/>
          <w:rFonts w:asciiTheme="minorHAnsi" w:hAnsiTheme="minorHAnsi" w:cs="Arial"/>
        </w:rPr>
        <w:footnoteRef/>
      </w:r>
      <w:r w:rsidRPr="00C75603">
        <w:rPr>
          <w:rFonts w:asciiTheme="minorHAnsi" w:hAnsiTheme="minorHAnsi" w:cs="Arial"/>
        </w:rPr>
        <w:t xml:space="preserve"> </w:t>
      </w:r>
      <w:r w:rsidR="00C00865" w:rsidRPr="00C75603">
        <w:rPr>
          <w:rFonts w:asciiTheme="minorHAnsi" w:hAnsiTheme="minorHAnsi" w:cs="Arial"/>
        </w:rPr>
        <w:t>Panel</w:t>
      </w:r>
      <w:r w:rsidRPr="00C75603">
        <w:rPr>
          <w:rFonts w:asciiTheme="minorHAnsi" w:hAnsiTheme="minorHAnsi" w:cs="Arial"/>
        </w:rPr>
        <w:t xml:space="preserve"> on Terrorism and Violent Extremism Prevention and Response Powers: Report 2, page 100</w:t>
      </w:r>
      <w:r w:rsidR="008714CE" w:rsidRPr="00C75603">
        <w:rPr>
          <w:rFonts w:asciiTheme="minorHAnsi" w:hAnsiTheme="minorHAnsi" w:cs="Arial"/>
        </w:rPr>
        <w:t>.</w:t>
      </w:r>
    </w:p>
  </w:footnote>
  <w:footnote w:id="9">
    <w:p w14:paraId="69CE2C48" w14:textId="73A3B220" w:rsidR="00BD36A0" w:rsidRPr="00C75603" w:rsidRDefault="00BD36A0">
      <w:pPr>
        <w:pStyle w:val="FootnoteText"/>
        <w:rPr>
          <w:rFonts w:asciiTheme="minorHAnsi" w:hAnsiTheme="minorHAnsi"/>
        </w:rPr>
      </w:pPr>
      <w:r w:rsidRPr="00C75603">
        <w:rPr>
          <w:rStyle w:val="FootnoteReference"/>
          <w:rFonts w:asciiTheme="minorHAnsi" w:hAnsiTheme="minorHAnsi"/>
        </w:rPr>
        <w:footnoteRef/>
      </w:r>
      <w:r w:rsidRPr="00C75603">
        <w:rPr>
          <w:rFonts w:asciiTheme="minorHAnsi" w:hAnsiTheme="minorHAnsi"/>
        </w:rPr>
        <w:t xml:space="preserve"> </w:t>
      </w:r>
      <w:r w:rsidR="00C00865" w:rsidRPr="00C75603">
        <w:rPr>
          <w:rFonts w:asciiTheme="minorHAnsi" w:hAnsiTheme="minorHAnsi" w:cs="Arial"/>
        </w:rPr>
        <w:t>Panel</w:t>
      </w:r>
      <w:r w:rsidRPr="00C75603">
        <w:rPr>
          <w:rFonts w:asciiTheme="minorHAnsi" w:hAnsiTheme="minorHAnsi" w:cs="Arial"/>
        </w:rPr>
        <w:t xml:space="preserve"> on Terrorism and Violent Extremism Prevention and Response Powers: Report 2, page 100</w:t>
      </w:r>
      <w:r w:rsidR="008714CE" w:rsidRPr="00C75603">
        <w:rPr>
          <w:rFonts w:asciiTheme="minorHAnsi" w:hAnsiTheme="minorHAnsi" w:cs="Arial"/>
        </w:rPr>
        <w:t>.</w:t>
      </w:r>
    </w:p>
  </w:footnote>
  <w:footnote w:id="10">
    <w:p w14:paraId="6EAAFD77" w14:textId="063AD46C" w:rsidR="008B59B2" w:rsidRPr="00C75603" w:rsidRDefault="008B59B2" w:rsidP="008B59B2">
      <w:pPr>
        <w:pStyle w:val="FootnoteText"/>
        <w:rPr>
          <w:rFonts w:asciiTheme="minorHAnsi" w:hAnsiTheme="minorHAnsi"/>
        </w:rPr>
      </w:pPr>
      <w:r w:rsidRPr="00C75603">
        <w:rPr>
          <w:rStyle w:val="FootnoteReference"/>
          <w:rFonts w:asciiTheme="minorHAnsi" w:hAnsiTheme="minorHAnsi"/>
        </w:rPr>
        <w:footnoteRef/>
      </w:r>
      <w:r w:rsidRPr="00C75603">
        <w:rPr>
          <w:rFonts w:asciiTheme="minorHAnsi" w:hAnsiTheme="minorHAnsi"/>
        </w:rPr>
        <w:t xml:space="preserve"> </w:t>
      </w:r>
      <w:r w:rsidR="00C00865" w:rsidRPr="00C75603">
        <w:rPr>
          <w:rFonts w:asciiTheme="minorHAnsi" w:hAnsiTheme="minorHAnsi" w:cs="Arial"/>
        </w:rPr>
        <w:t>Panel</w:t>
      </w:r>
      <w:r w:rsidRPr="00C75603">
        <w:rPr>
          <w:rFonts w:asciiTheme="minorHAnsi" w:hAnsiTheme="minorHAnsi" w:cs="Arial"/>
        </w:rPr>
        <w:t xml:space="preserve"> on Terrorism and Violent Extremism Prevention and Response Powers: Report 2, page 100</w:t>
      </w:r>
      <w:r w:rsidR="008714CE" w:rsidRPr="00C75603">
        <w:rPr>
          <w:rFonts w:asciiTheme="minorHAnsi" w:hAnsiTheme="minorHAnsi" w:cs="Arial"/>
        </w:rPr>
        <w:t>.</w:t>
      </w:r>
    </w:p>
  </w:footnote>
  <w:footnote w:id="11">
    <w:p w14:paraId="7D491D3C" w14:textId="3D6DBFB6" w:rsidR="009764CE" w:rsidRPr="00C75603" w:rsidRDefault="009764CE">
      <w:pPr>
        <w:pStyle w:val="FootnoteText"/>
        <w:rPr>
          <w:rFonts w:asciiTheme="minorHAnsi" w:hAnsiTheme="minorHAnsi"/>
          <w:lang w:val="en-AU"/>
        </w:rPr>
      </w:pPr>
      <w:r w:rsidRPr="00C75603">
        <w:rPr>
          <w:rStyle w:val="FootnoteReference"/>
          <w:rFonts w:asciiTheme="minorHAnsi" w:hAnsiTheme="minorHAnsi"/>
        </w:rPr>
        <w:footnoteRef/>
      </w:r>
      <w:r w:rsidRPr="00C75603">
        <w:rPr>
          <w:rFonts w:asciiTheme="minorHAnsi" w:hAnsiTheme="minorHAnsi"/>
        </w:rPr>
        <w:t xml:space="preserve"> </w:t>
      </w:r>
      <w:r w:rsidR="00C00865" w:rsidRPr="00C75603">
        <w:rPr>
          <w:rFonts w:asciiTheme="minorHAnsi" w:hAnsiTheme="minorHAnsi"/>
        </w:rPr>
        <w:t>Panel</w:t>
      </w:r>
      <w:r w:rsidRPr="00C75603">
        <w:rPr>
          <w:rFonts w:asciiTheme="minorHAnsi" w:hAnsiTheme="minorHAnsi"/>
        </w:rPr>
        <w:t xml:space="preserve"> on Terrorism and Violent Extremism Prevention and Response Powers: Report 2, page 101.</w:t>
      </w:r>
    </w:p>
  </w:footnote>
  <w:footnote w:id="12">
    <w:p w14:paraId="296C1F98" w14:textId="2F33A6B0" w:rsidR="007B186B" w:rsidRPr="00C75603" w:rsidRDefault="007B186B">
      <w:pPr>
        <w:pStyle w:val="FootnoteText"/>
        <w:rPr>
          <w:rFonts w:asciiTheme="minorHAnsi" w:hAnsiTheme="minorHAnsi"/>
        </w:rPr>
      </w:pPr>
      <w:r w:rsidRPr="00C75603">
        <w:rPr>
          <w:rStyle w:val="FootnoteReference"/>
          <w:rFonts w:asciiTheme="minorHAnsi" w:hAnsiTheme="minorHAnsi"/>
        </w:rPr>
        <w:footnoteRef/>
      </w:r>
      <w:r w:rsidRPr="00C75603">
        <w:rPr>
          <w:rFonts w:asciiTheme="minorHAnsi" w:hAnsiTheme="minorHAnsi"/>
        </w:rPr>
        <w:t xml:space="preserve"> </w:t>
      </w:r>
      <w:r w:rsidR="00C00865" w:rsidRPr="00C75603">
        <w:rPr>
          <w:rFonts w:asciiTheme="minorHAnsi" w:hAnsiTheme="minorHAnsi"/>
        </w:rPr>
        <w:t>Panel</w:t>
      </w:r>
      <w:r w:rsidR="008714CE" w:rsidRPr="00C75603">
        <w:rPr>
          <w:rFonts w:asciiTheme="minorHAnsi" w:hAnsiTheme="minorHAnsi"/>
        </w:rPr>
        <w:t xml:space="preserve"> on Terrorism and Violent Extremism Prevention and Response Powers: Report 2, page 14.</w:t>
      </w:r>
    </w:p>
  </w:footnote>
  <w:footnote w:id="13">
    <w:p w14:paraId="4FCFE12D" w14:textId="2CE899C1" w:rsidR="004164F1" w:rsidRPr="00C75603" w:rsidRDefault="004164F1">
      <w:pPr>
        <w:pStyle w:val="FootnoteText"/>
        <w:rPr>
          <w:rFonts w:asciiTheme="minorHAnsi" w:hAnsiTheme="minorHAnsi"/>
          <w:lang w:val="en-AU"/>
        </w:rPr>
      </w:pPr>
      <w:r w:rsidRPr="00C75603">
        <w:rPr>
          <w:rStyle w:val="FootnoteReference"/>
          <w:rFonts w:asciiTheme="minorHAnsi" w:hAnsiTheme="minorHAnsi"/>
        </w:rPr>
        <w:footnoteRef/>
      </w:r>
      <w:r w:rsidRPr="00C75603">
        <w:rPr>
          <w:rFonts w:asciiTheme="minorHAnsi" w:hAnsiTheme="minorHAnsi"/>
        </w:rPr>
        <w:t xml:space="preserve"> Panel on Terrorism and Violent Extremism Prevention and Response Powers: Report 2, page 104.</w:t>
      </w:r>
    </w:p>
  </w:footnote>
  <w:footnote w:id="14">
    <w:p w14:paraId="72124BAE" w14:textId="5E53A5BC" w:rsidR="00231992" w:rsidRPr="00C75603" w:rsidRDefault="00231992">
      <w:pPr>
        <w:pStyle w:val="FootnoteText"/>
        <w:rPr>
          <w:rFonts w:asciiTheme="minorHAnsi" w:hAnsiTheme="minorHAnsi"/>
          <w:lang w:val="en-AU"/>
        </w:rPr>
      </w:pPr>
      <w:r w:rsidRPr="00C75603">
        <w:rPr>
          <w:rStyle w:val="FootnoteReference"/>
          <w:rFonts w:asciiTheme="minorHAnsi" w:hAnsiTheme="minorHAnsi"/>
        </w:rPr>
        <w:footnoteRef/>
      </w:r>
      <w:r w:rsidRPr="00C75603">
        <w:rPr>
          <w:rFonts w:asciiTheme="minorHAnsi" w:hAnsiTheme="minorHAnsi"/>
        </w:rPr>
        <w:t xml:space="preserve"> Panel on Terrorism and Violent Extremism Prevention and Response Powers: Report 2, page 104.</w:t>
      </w:r>
    </w:p>
  </w:footnote>
  <w:footnote w:id="15">
    <w:p w14:paraId="28E1ED7D" w14:textId="3BEDC55F" w:rsidR="00231992" w:rsidRPr="00C75603" w:rsidRDefault="00231992">
      <w:pPr>
        <w:pStyle w:val="FootnoteText"/>
        <w:rPr>
          <w:rFonts w:asciiTheme="minorHAnsi" w:hAnsiTheme="minorHAnsi"/>
          <w:lang w:val="en-AU"/>
        </w:rPr>
      </w:pPr>
      <w:r w:rsidRPr="00C75603">
        <w:rPr>
          <w:rStyle w:val="FootnoteReference"/>
          <w:rFonts w:asciiTheme="minorHAnsi" w:hAnsiTheme="minorHAnsi"/>
        </w:rPr>
        <w:footnoteRef/>
      </w:r>
      <w:r w:rsidRPr="00C75603">
        <w:rPr>
          <w:rFonts w:asciiTheme="minorHAnsi" w:hAnsiTheme="minorHAnsi"/>
        </w:rPr>
        <w:t xml:space="preserve"> Panel on Terrorism and Violent Extremism Prevention and Response Powers: Report 2, page 104.</w:t>
      </w:r>
    </w:p>
  </w:footnote>
  <w:footnote w:id="16">
    <w:p w14:paraId="1E6AF316" w14:textId="77777777" w:rsidR="00697479" w:rsidRPr="00C75603" w:rsidRDefault="00697479" w:rsidP="00697479">
      <w:pPr>
        <w:pStyle w:val="FootnoteText"/>
        <w:rPr>
          <w:rFonts w:asciiTheme="minorHAnsi" w:hAnsiTheme="minorHAnsi" w:cs="Arial"/>
          <w:lang w:val="en-AU"/>
        </w:rPr>
      </w:pPr>
      <w:r w:rsidRPr="00C75603">
        <w:rPr>
          <w:rStyle w:val="FootnoteReference"/>
          <w:rFonts w:asciiTheme="minorHAnsi" w:hAnsiTheme="minorHAnsi" w:cs="Arial"/>
        </w:rPr>
        <w:footnoteRef/>
      </w:r>
      <w:r w:rsidRPr="00C75603">
        <w:rPr>
          <w:rFonts w:asciiTheme="minorHAnsi" w:hAnsiTheme="minorHAnsi" w:cs="Arial"/>
        </w:rPr>
        <w:t xml:space="preserve"> </w:t>
      </w:r>
      <w:r w:rsidRPr="00C75603">
        <w:rPr>
          <w:rFonts w:asciiTheme="minorHAnsi" w:hAnsiTheme="minorHAnsi" w:cs="Arial"/>
          <w:i/>
          <w:iCs/>
          <w:color w:val="000000"/>
          <w:lang w:val="en-AU"/>
        </w:rPr>
        <w:t xml:space="preserve">Re An Application Under the Major Crimes (Investigative Powers) Act 2004; DAS v Victorian Human Rights and Equal Opportunity Commission </w:t>
      </w:r>
      <w:r w:rsidRPr="00C75603">
        <w:rPr>
          <w:rFonts w:asciiTheme="minorHAnsi" w:hAnsiTheme="minorHAnsi" w:cs="Arial"/>
          <w:color w:val="000000"/>
          <w:lang w:val="en-AU"/>
        </w:rPr>
        <w:t xml:space="preserve">(2009) 24 VR 415 at 448 [147]; </w:t>
      </w:r>
      <w:r w:rsidRPr="00C75603">
        <w:rPr>
          <w:rFonts w:asciiTheme="minorHAnsi" w:hAnsiTheme="minorHAnsi" w:cs="Arial"/>
          <w:i/>
          <w:iCs/>
          <w:color w:val="000000"/>
          <w:lang w:val="en-AU"/>
        </w:rPr>
        <w:t xml:space="preserve">R v Momcilovic </w:t>
      </w:r>
      <w:r w:rsidRPr="00C75603">
        <w:rPr>
          <w:rFonts w:asciiTheme="minorHAnsi" w:hAnsiTheme="minorHAnsi" w:cs="Arial"/>
          <w:color w:val="000000"/>
          <w:lang w:val="en-AU"/>
        </w:rPr>
        <w:t>(2010) 25 VR 436, [143]</w:t>
      </w:r>
      <w:proofErr w:type="gramStart"/>
      <w:r w:rsidRPr="00C75603">
        <w:rPr>
          <w:rFonts w:asciiTheme="minorHAnsi" w:hAnsiTheme="minorHAnsi" w:cs="Arial"/>
          <w:color w:val="000000"/>
          <w:lang w:val="en-AU"/>
        </w:rPr>
        <w:t>–[</w:t>
      </w:r>
      <w:proofErr w:type="gramEnd"/>
      <w:r w:rsidRPr="00C75603">
        <w:rPr>
          <w:rFonts w:asciiTheme="minorHAnsi" w:hAnsiTheme="minorHAnsi" w:cs="Arial"/>
          <w:color w:val="000000"/>
          <w:lang w:val="en-AU"/>
        </w:rPr>
        <w:t>146]</w:t>
      </w:r>
      <w:r w:rsidRPr="00C75603">
        <w:rPr>
          <w:rFonts w:asciiTheme="minorHAnsi" w:hAnsiTheme="minorHAnsi" w:cs="Arial"/>
          <w:lang w:val="en-AU"/>
        </w:rPr>
        <w:t>.</w:t>
      </w:r>
    </w:p>
  </w:footnote>
  <w:footnote w:id="17">
    <w:p w14:paraId="027F4435" w14:textId="43238AE7" w:rsidR="0031154C" w:rsidRPr="00C75603" w:rsidRDefault="0031154C">
      <w:pPr>
        <w:pStyle w:val="FootnoteText"/>
        <w:rPr>
          <w:rFonts w:asciiTheme="minorHAnsi" w:hAnsiTheme="minorHAnsi"/>
          <w:lang w:val="en-AU"/>
        </w:rPr>
      </w:pPr>
      <w:r w:rsidRPr="00C75603">
        <w:rPr>
          <w:rStyle w:val="FootnoteReference"/>
          <w:rFonts w:asciiTheme="minorHAnsi" w:hAnsiTheme="minorHAnsi"/>
        </w:rPr>
        <w:footnoteRef/>
      </w:r>
      <w:r w:rsidRPr="00C75603">
        <w:rPr>
          <w:rFonts w:asciiTheme="minorHAnsi" w:hAnsiTheme="minorHAnsi"/>
        </w:rPr>
        <w:t xml:space="preserve"> Panel on Terrorism and Violent Extremism Prevention and Response Powers: Report 1, page 8</w:t>
      </w:r>
      <w:r w:rsidR="00C70DEF" w:rsidRPr="00C75603">
        <w:rPr>
          <w:rFonts w:asciiTheme="minorHAnsi" w:hAnsiTheme="minorHAnsi"/>
        </w:rPr>
        <w:t>, 24</w:t>
      </w:r>
    </w:p>
  </w:footnote>
  <w:footnote w:id="18">
    <w:p w14:paraId="25AB3027" w14:textId="6FFD2AD7" w:rsidR="009F6D88" w:rsidRPr="00C75603" w:rsidRDefault="009F6D88">
      <w:pPr>
        <w:pStyle w:val="FootnoteText"/>
        <w:rPr>
          <w:rFonts w:asciiTheme="minorHAnsi" w:hAnsiTheme="minorHAnsi"/>
          <w:lang w:val="en-AU"/>
        </w:rPr>
      </w:pPr>
      <w:r w:rsidRPr="00C75603">
        <w:rPr>
          <w:rStyle w:val="FootnoteReference"/>
          <w:rFonts w:asciiTheme="minorHAnsi" w:hAnsiTheme="minorHAnsi"/>
        </w:rPr>
        <w:footnoteRef/>
      </w:r>
      <w:r w:rsidRPr="00C75603">
        <w:rPr>
          <w:rFonts w:asciiTheme="minorHAnsi" w:hAnsiTheme="minorHAnsi"/>
        </w:rPr>
        <w:t xml:space="preserve"> Panel on Terrorism and Violent Extremism Prevention and Response Powers: Report 1, page 34</w:t>
      </w:r>
    </w:p>
  </w:footnote>
  <w:footnote w:id="19">
    <w:p w14:paraId="014FA165" w14:textId="32824FA7" w:rsidR="009F6D88" w:rsidRPr="00C75603" w:rsidRDefault="009F6D88">
      <w:pPr>
        <w:pStyle w:val="FootnoteText"/>
        <w:rPr>
          <w:rFonts w:asciiTheme="minorHAnsi" w:hAnsiTheme="minorHAnsi"/>
          <w:lang w:val="en-AU"/>
        </w:rPr>
      </w:pPr>
      <w:r w:rsidRPr="00C75603">
        <w:rPr>
          <w:rStyle w:val="FootnoteReference"/>
          <w:rFonts w:asciiTheme="minorHAnsi" w:hAnsiTheme="minorHAnsi"/>
        </w:rPr>
        <w:footnoteRef/>
      </w:r>
      <w:r w:rsidRPr="00C75603">
        <w:rPr>
          <w:rFonts w:asciiTheme="minorHAnsi" w:hAnsiTheme="minorHAnsi"/>
        </w:rPr>
        <w:t xml:space="preserve"> Panel on Terrorism and Violent Extremism Prevention and Response Powers: Report 1, page 34</w:t>
      </w:r>
    </w:p>
  </w:footnote>
  <w:footnote w:id="20">
    <w:p w14:paraId="1B67FA32" w14:textId="1500412E" w:rsidR="00B9589F" w:rsidRPr="00C75603" w:rsidRDefault="00B9589F">
      <w:pPr>
        <w:pStyle w:val="FootnoteText"/>
        <w:rPr>
          <w:rFonts w:asciiTheme="minorHAnsi" w:hAnsiTheme="minorHAnsi"/>
          <w:lang w:val="en-AU"/>
        </w:rPr>
      </w:pPr>
      <w:r w:rsidRPr="00C75603">
        <w:rPr>
          <w:rStyle w:val="FootnoteReference"/>
          <w:rFonts w:asciiTheme="minorHAnsi" w:hAnsiTheme="minorHAnsi"/>
        </w:rPr>
        <w:footnoteRef/>
      </w:r>
      <w:r w:rsidRPr="00C75603">
        <w:rPr>
          <w:rFonts w:asciiTheme="minorHAnsi" w:hAnsiTheme="minorHAnsi"/>
        </w:rPr>
        <w:t xml:space="preserve"> Panel on Terrorism and Violent Extremism Prevention and Response Powers: Report 1, page 35</w:t>
      </w:r>
    </w:p>
  </w:footnote>
  <w:footnote w:id="21">
    <w:p w14:paraId="791AC431" w14:textId="25B62EB7" w:rsidR="00780034" w:rsidRPr="00C75603" w:rsidRDefault="00780034">
      <w:pPr>
        <w:pStyle w:val="FootnoteText"/>
        <w:rPr>
          <w:rFonts w:asciiTheme="minorHAnsi" w:hAnsiTheme="minorHAnsi"/>
          <w:iCs/>
          <w:lang w:val="en-AU"/>
        </w:rPr>
      </w:pPr>
      <w:r w:rsidRPr="00C75603">
        <w:rPr>
          <w:rStyle w:val="FootnoteReference"/>
          <w:rFonts w:asciiTheme="minorHAnsi" w:hAnsiTheme="minorHAnsi"/>
        </w:rPr>
        <w:footnoteRef/>
      </w:r>
      <w:r w:rsidRPr="00C75603">
        <w:rPr>
          <w:rFonts w:asciiTheme="minorHAnsi" w:hAnsiTheme="minorHAnsi"/>
        </w:rPr>
        <w:t xml:space="preserve"> </w:t>
      </w:r>
      <w:r w:rsidRPr="00C75603">
        <w:rPr>
          <w:rFonts w:asciiTheme="minorHAnsi" w:hAnsiTheme="minorHAnsi"/>
          <w:i/>
          <w:lang w:val="en-AU"/>
        </w:rPr>
        <w:t>Charter of Human Rights and Responsibilities Act 2006</w:t>
      </w:r>
      <w:r w:rsidR="00C75603" w:rsidRPr="00C75603">
        <w:rPr>
          <w:rFonts w:asciiTheme="minorHAnsi" w:hAnsiTheme="minorHAnsi"/>
          <w:i/>
          <w:lang w:val="en-AU"/>
        </w:rPr>
        <w:t xml:space="preserve"> </w:t>
      </w:r>
      <w:r w:rsidR="00C75603" w:rsidRPr="00C75603">
        <w:rPr>
          <w:rFonts w:asciiTheme="minorHAnsi" w:hAnsiTheme="minorHAnsi"/>
          <w:iCs/>
          <w:lang w:val="en-AU"/>
        </w:rPr>
        <w:t>ss 8, 22.</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725F38" w14:textId="77777777" w:rsidR="0033768E" w:rsidRDefault="0033768E" w:rsidP="004819E7">
    <w:pPr>
      <w:pStyle w:val="VEOHRCBodytext"/>
    </w:pPr>
    <w:r>
      <w:rPr>
        <w:noProof/>
        <w:lang w:eastAsia="zh-CN"/>
      </w:rPr>
      <mc:AlternateContent>
        <mc:Choice Requires="wps">
          <w:drawing>
            <wp:anchor distT="0" distB="0" distL="114300" distR="114300" simplePos="0" relativeHeight="251657216" behindDoc="0" locked="0" layoutInCell="1" allowOverlap="1" wp14:anchorId="3258C0AC" wp14:editId="11E4479A">
              <wp:simplePos x="0" y="0"/>
              <wp:positionH relativeFrom="column">
                <wp:posOffset>-165735</wp:posOffset>
              </wp:positionH>
              <wp:positionV relativeFrom="paragraph">
                <wp:posOffset>0</wp:posOffset>
              </wp:positionV>
              <wp:extent cx="3106420" cy="1024890"/>
              <wp:effectExtent l="0" t="0" r="0" b="0"/>
              <wp:wrapSquare wrapText="bothSides"/>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6420" cy="1024890"/>
                      </a:xfrm>
                      <a:prstGeom prst="rect">
                        <a:avLst/>
                      </a:pr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78C276D" w14:textId="77777777" w:rsidR="0033768E" w:rsidRPr="00242936" w:rsidRDefault="0033768E" w:rsidP="002B231B">
                          <w:pPr>
                            <w:pStyle w:val="Header"/>
                          </w:pPr>
                          <w:r w:rsidRPr="002F5C5B">
                            <w:rPr>
                              <w:noProof/>
                              <w:lang w:eastAsia="zh-CN"/>
                            </w:rPr>
                            <w:drawing>
                              <wp:inline distT="0" distB="0" distL="0" distR="0" wp14:anchorId="3007D7E5" wp14:editId="37F23699">
                                <wp:extent cx="2922905" cy="923925"/>
                                <wp:effectExtent l="0" t="0" r="0" b="9525"/>
                                <wp:docPr id="17" name="Picture 1" descr="VEOHRC LETTERHE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OHRC LETTERHEAD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2905" cy="9239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258C0AC" id="_x0000_t202" coordsize="21600,21600" o:spt="202" path="m,l,21600r21600,l21600,xe">
              <v:stroke joinstyle="miter"/>
              <v:path gradientshapeok="t" o:connecttype="rect"/>
            </v:shapetype>
            <v:shape id="Text Box 4" o:spid="_x0000_s1026" type="#_x0000_t202" style="position:absolute;margin-left:-13.05pt;margin-top:0;width:244.6pt;height:80.7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" stroked="f">
              <v:textbox style="mso-fit-shape-to-text:t">
                <w:txbxContent>
                  <w:p w14:paraId="578C276D" w14:textId="77777777" w:rsidR="0033768E" w:rsidRPr="00242936" w:rsidRDefault="0033768E" w:rsidP="002B231B">
                    <w:pPr>
                      <w:pStyle w:val="Header"/>
                    </w:pPr>
                    <w:r w:rsidRPr="002F5C5B">
                      <w:rPr>
                        <w:noProof/>
                        <w:lang w:val="en-AU"/>
                      </w:rPr>
                      <w:drawing>
                        <wp:inline distT="0" distB="0" distL="0" distR="0" wp14:anchorId="3007D7E5" wp14:editId="37F23699">
                          <wp:extent cx="2922905" cy="923925"/>
                          <wp:effectExtent l="0" t="0" r="0" b="9525"/>
                          <wp:docPr id="17" name="Picture 1" descr="VEOHRC LETTERHE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OHRC LETTERHEAD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22905" cy="923925"/>
                                  </a:xfrm>
                                  <a:prstGeom prst="rect">
                                    <a:avLst/>
                                  </a:prstGeom>
                                  <a:noFill/>
                                  <a:ln>
                                    <a:noFill/>
                                  </a:ln>
                                </pic:spPr>
                              </pic:pic>
                            </a:graphicData>
                          </a:graphic>
                        </wp:inline>
                      </w:drawing>
                    </w:r>
                  </w:p>
                </w:txbxContent>
              </v:textbox>
              <w10:wrap type="square"/>
            </v:shape>
          </w:pict>
        </mc:Fallback>
      </mc:AlternateContent>
    </w:r>
  </w:p>
  <w:p w14:paraId="3EBB8816" w14:textId="77777777" w:rsidR="0033768E" w:rsidRDefault="0033768E" w:rsidP="004819E7">
    <w:pPr>
      <w:pStyle w:val="VEOHRCBodytext"/>
    </w:pPr>
  </w:p>
  <w:p w14:paraId="3B609C4B" w14:textId="77777777" w:rsidR="0033768E" w:rsidRDefault="0033768E" w:rsidP="004819E7">
    <w:pPr>
      <w:pStyle w:val="VEOHRCBodytext"/>
    </w:pPr>
  </w:p>
  <w:p w14:paraId="0458C88F" w14:textId="77777777" w:rsidR="0033768E" w:rsidRDefault="0033768E" w:rsidP="004819E7">
    <w:pPr>
      <w:pStyle w:val="VEOHRCBodytex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14A440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2556DFF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AEA0B84E"/>
    <w:lvl w:ilvl="0">
      <w:start w:val="1"/>
      <w:numFmt w:val="decimal"/>
      <w:pStyle w:val="ListNumber3"/>
      <w:lvlText w:val="%1."/>
      <w:lvlJc w:val="left"/>
      <w:pPr>
        <w:tabs>
          <w:tab w:val="num" w:pos="926"/>
        </w:tabs>
        <w:ind w:left="926" w:hanging="360"/>
      </w:pPr>
    </w:lvl>
  </w:abstractNum>
  <w:abstractNum w:abstractNumId="3">
    <w:nsid w:val="FFFFFF7F"/>
    <w:multiLevelType w:val="singleLevel"/>
    <w:tmpl w:val="998638BA"/>
    <w:lvl w:ilvl="0">
      <w:start w:val="1"/>
      <w:numFmt w:val="decimal"/>
      <w:pStyle w:val="ListNumber2"/>
      <w:lvlText w:val="%1."/>
      <w:lvlJc w:val="left"/>
      <w:pPr>
        <w:tabs>
          <w:tab w:val="num" w:pos="643"/>
        </w:tabs>
        <w:ind w:left="643" w:hanging="360"/>
      </w:pPr>
    </w:lvl>
  </w:abstractNum>
  <w:abstractNum w:abstractNumId="4">
    <w:nsid w:val="FFFFFF80"/>
    <w:multiLevelType w:val="singleLevel"/>
    <w:tmpl w:val="3ADA0FF8"/>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11AF6E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E9CA1B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923CA98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7CB00BDC"/>
    <w:lvl w:ilvl="0">
      <w:start w:val="1"/>
      <w:numFmt w:val="decimal"/>
      <w:pStyle w:val="ListNumber"/>
      <w:lvlText w:val="%1."/>
      <w:lvlJc w:val="left"/>
      <w:pPr>
        <w:tabs>
          <w:tab w:val="num" w:pos="360"/>
        </w:tabs>
        <w:ind w:left="360" w:hanging="360"/>
      </w:pPr>
    </w:lvl>
  </w:abstractNum>
  <w:abstractNum w:abstractNumId="9">
    <w:nsid w:val="FFFFFF89"/>
    <w:multiLevelType w:val="singleLevel"/>
    <w:tmpl w:val="0DBC533A"/>
    <w:lvl w:ilvl="0">
      <w:numFmt w:val="bullet"/>
      <w:pStyle w:val="VEOHRCListBullet2ndlevel"/>
      <w:lvlText w:val="-"/>
      <w:lvlJc w:val="left"/>
      <w:pPr>
        <w:tabs>
          <w:tab w:val="num" w:pos="720"/>
        </w:tabs>
        <w:ind w:left="720" w:hanging="360"/>
      </w:pPr>
      <w:rPr>
        <w:rFonts w:ascii="Arial" w:eastAsia="Times New Roman" w:hAnsi="Arial" w:cs="Arial" w:hint="default"/>
      </w:rPr>
    </w:lvl>
  </w:abstractNum>
  <w:abstractNum w:abstractNumId="10">
    <w:nsid w:val="030C16A2"/>
    <w:multiLevelType w:val="hybridMultilevel"/>
    <w:tmpl w:val="5D1A0316"/>
    <w:lvl w:ilvl="0" w:tplc="61D6C334">
      <w:start w:val="1"/>
      <w:numFmt w:val="decimal"/>
      <w:lvlText w:val="%1."/>
      <w:lvlJc w:val="left"/>
      <w:pPr>
        <w:ind w:left="360" w:hanging="360"/>
      </w:pPr>
      <w:rPr>
        <w:b w:val="0"/>
      </w:rPr>
    </w:lvl>
    <w:lvl w:ilvl="1" w:tplc="08090017">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nsid w:val="030E5402"/>
    <w:multiLevelType w:val="hybridMultilevel"/>
    <w:tmpl w:val="34A4D69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nsid w:val="05431BDC"/>
    <w:multiLevelType w:val="hybridMultilevel"/>
    <w:tmpl w:val="023E4B12"/>
    <w:lvl w:ilvl="0" w:tplc="5414D35C">
      <w:start w:val="1"/>
      <w:numFmt w:val="bullet"/>
      <w:lvlText w:val=""/>
      <w:lvlJc w:val="left"/>
      <w:pPr>
        <w:ind w:left="144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3">
    <w:nsid w:val="0A2135CF"/>
    <w:multiLevelType w:val="multilevel"/>
    <w:tmpl w:val="5C6C0586"/>
    <w:lvl w:ilvl="0">
      <w:start w:val="1"/>
      <w:numFmt w:val="decimal"/>
      <w:pStyle w:val="VEOHRCNumberedlist"/>
      <w:lvlText w:val="%1."/>
      <w:lvlJc w:val="left"/>
      <w:pPr>
        <w:tabs>
          <w:tab w:val="num" w:pos="1080"/>
        </w:tabs>
        <w:ind w:left="720" w:hanging="360"/>
      </w:pPr>
      <w:rPr>
        <w:rFonts w:hint="default"/>
      </w:rPr>
    </w:lvl>
    <w:lvl w:ilvl="1">
      <w:start w:val="1"/>
      <w:numFmt w:val="decimal"/>
      <w:lvlText w:val="%1.%2."/>
      <w:lvlJc w:val="left"/>
      <w:pPr>
        <w:tabs>
          <w:tab w:val="num" w:pos="1800"/>
        </w:tabs>
        <w:ind w:left="1152" w:hanging="432"/>
      </w:pPr>
      <w:rPr>
        <w:rFonts w:hint="default"/>
      </w:rPr>
    </w:lvl>
    <w:lvl w:ilvl="2">
      <w:start w:val="1"/>
      <w:numFmt w:val="decimal"/>
      <w:lvlText w:val="%1.%2.%3."/>
      <w:lvlJc w:val="left"/>
      <w:pPr>
        <w:tabs>
          <w:tab w:val="num" w:pos="2520"/>
        </w:tabs>
        <w:ind w:left="1584" w:hanging="504"/>
      </w:pPr>
      <w:rPr>
        <w:rFonts w:hint="default"/>
      </w:rPr>
    </w:lvl>
    <w:lvl w:ilvl="3">
      <w:start w:val="1"/>
      <w:numFmt w:val="decimal"/>
      <w:lvlText w:val="%1.%2.%3.%4."/>
      <w:lvlJc w:val="left"/>
      <w:pPr>
        <w:tabs>
          <w:tab w:val="num" w:pos="3240"/>
        </w:tabs>
        <w:ind w:left="2088" w:hanging="648"/>
      </w:pPr>
      <w:rPr>
        <w:rFonts w:hint="default"/>
      </w:rPr>
    </w:lvl>
    <w:lvl w:ilvl="4">
      <w:start w:val="1"/>
      <w:numFmt w:val="decimal"/>
      <w:lvlText w:val="%1.%2.%3.%4.%5."/>
      <w:lvlJc w:val="left"/>
      <w:pPr>
        <w:tabs>
          <w:tab w:val="num" w:pos="3960"/>
        </w:tabs>
        <w:ind w:left="2592" w:hanging="792"/>
      </w:pPr>
      <w:rPr>
        <w:rFonts w:hint="default"/>
      </w:rPr>
    </w:lvl>
    <w:lvl w:ilvl="5">
      <w:start w:val="1"/>
      <w:numFmt w:val="decimal"/>
      <w:lvlText w:val="%1.%2.%3.%4.%5.%6."/>
      <w:lvlJc w:val="left"/>
      <w:pPr>
        <w:tabs>
          <w:tab w:val="num" w:pos="4680"/>
        </w:tabs>
        <w:ind w:left="3096" w:hanging="936"/>
      </w:pPr>
      <w:rPr>
        <w:rFonts w:hint="default"/>
      </w:rPr>
    </w:lvl>
    <w:lvl w:ilvl="6">
      <w:start w:val="1"/>
      <w:numFmt w:val="decimal"/>
      <w:lvlText w:val="%1.%2.%3.%4.%5.%6.%7."/>
      <w:lvlJc w:val="left"/>
      <w:pPr>
        <w:tabs>
          <w:tab w:val="num" w:pos="5760"/>
        </w:tabs>
        <w:ind w:left="3600" w:hanging="1080"/>
      </w:pPr>
      <w:rPr>
        <w:rFonts w:hint="default"/>
      </w:rPr>
    </w:lvl>
    <w:lvl w:ilvl="7">
      <w:start w:val="1"/>
      <w:numFmt w:val="decimal"/>
      <w:lvlText w:val="%1.%2.%3.%4.%5.%6.%7.%8."/>
      <w:lvlJc w:val="left"/>
      <w:pPr>
        <w:tabs>
          <w:tab w:val="num" w:pos="6480"/>
        </w:tabs>
        <w:ind w:left="4104" w:hanging="1224"/>
      </w:pPr>
      <w:rPr>
        <w:rFonts w:hint="default"/>
      </w:rPr>
    </w:lvl>
    <w:lvl w:ilvl="8">
      <w:start w:val="1"/>
      <w:numFmt w:val="decimal"/>
      <w:lvlText w:val="%1.%2.%3.%4.%5.%6.%7.%8.%9."/>
      <w:lvlJc w:val="left"/>
      <w:pPr>
        <w:tabs>
          <w:tab w:val="num" w:pos="7200"/>
        </w:tabs>
        <w:ind w:left="4680" w:hanging="1440"/>
      </w:pPr>
      <w:rPr>
        <w:rFonts w:hint="default"/>
      </w:rPr>
    </w:lvl>
  </w:abstractNum>
  <w:abstractNum w:abstractNumId="14">
    <w:nsid w:val="0E6270DA"/>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nsid w:val="19FF05CF"/>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1CDE1459"/>
    <w:multiLevelType w:val="hybridMultilevel"/>
    <w:tmpl w:val="AE00E880"/>
    <w:lvl w:ilvl="0" w:tplc="61D6C334">
      <w:start w:val="1"/>
      <w:numFmt w:val="decimal"/>
      <w:lvlText w:val="%1."/>
      <w:lvlJc w:val="left"/>
      <w:pPr>
        <w:ind w:left="36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283246A6"/>
    <w:multiLevelType w:val="hybridMultilevel"/>
    <w:tmpl w:val="36FA8122"/>
    <w:lvl w:ilvl="0" w:tplc="5414D35C">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nsid w:val="2E3D1375"/>
    <w:multiLevelType w:val="hybridMultilevel"/>
    <w:tmpl w:val="30D4C086"/>
    <w:lvl w:ilvl="0" w:tplc="58DE90D8">
      <w:start w:val="1"/>
      <w:numFmt w:val="bullet"/>
      <w:pStyle w:val="VEOHRCList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3E837903"/>
    <w:multiLevelType w:val="hybridMultilevel"/>
    <w:tmpl w:val="BACE058A"/>
    <w:lvl w:ilvl="0" w:tplc="0B5C2C74">
      <w:start w:val="1"/>
      <w:numFmt w:val="bullet"/>
      <w:pStyle w:val="BodyText-List-Indent"/>
      <w:lvlText w:val=""/>
      <w:lvlJc w:val="left"/>
      <w:pPr>
        <w:tabs>
          <w:tab w:val="num" w:pos="1985"/>
        </w:tabs>
        <w:ind w:left="1985" w:hanging="567"/>
      </w:pPr>
      <w:rPr>
        <w:rFonts w:ascii="Wingdings" w:hAnsi="Wingdings"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nsid w:val="4D560ECC"/>
    <w:multiLevelType w:val="hybridMultilevel"/>
    <w:tmpl w:val="C1CC2F8C"/>
    <w:lvl w:ilvl="0" w:tplc="61D6C334">
      <w:start w:val="1"/>
      <w:numFmt w:val="decimal"/>
      <w:lvlText w:val="%1."/>
      <w:lvlJc w:val="left"/>
      <w:pPr>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F4A6804"/>
    <w:multiLevelType w:val="hybridMultilevel"/>
    <w:tmpl w:val="40BA9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2C60B59"/>
    <w:multiLevelType w:val="hybridMultilevel"/>
    <w:tmpl w:val="F492132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nsid w:val="63224BD3"/>
    <w:multiLevelType w:val="hybridMultilevel"/>
    <w:tmpl w:val="5A640B92"/>
    <w:lvl w:ilvl="0" w:tplc="5414D35C">
      <w:start w:val="1"/>
      <w:numFmt w:val="bullet"/>
      <w:lvlText w:val=""/>
      <w:lvlJc w:val="left"/>
      <w:pPr>
        <w:ind w:left="144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401507D"/>
    <w:multiLevelType w:val="hybridMultilevel"/>
    <w:tmpl w:val="345E64B0"/>
    <w:lvl w:ilvl="0" w:tplc="61D6C334">
      <w:start w:val="1"/>
      <w:numFmt w:val="decimal"/>
      <w:lvlText w:val="%1."/>
      <w:lvlJc w:val="left"/>
      <w:pPr>
        <w:ind w:left="36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64125C9B"/>
    <w:multiLevelType w:val="hybridMultilevel"/>
    <w:tmpl w:val="BFDA9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439D99F"/>
    <w:multiLevelType w:val="hybridMultilevel"/>
    <w:tmpl w:val="67B4ADE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65C327B9"/>
    <w:multiLevelType w:val="hybridMultilevel"/>
    <w:tmpl w:val="275EB04A"/>
    <w:lvl w:ilvl="0" w:tplc="61D6C334">
      <w:start w:val="1"/>
      <w:numFmt w:val="decimal"/>
      <w:lvlText w:val="%1."/>
      <w:lvlJc w:val="left"/>
      <w:pPr>
        <w:ind w:left="36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65D154C1"/>
    <w:multiLevelType w:val="hybridMultilevel"/>
    <w:tmpl w:val="962C7E10"/>
    <w:lvl w:ilvl="0" w:tplc="61D6C334">
      <w:start w:val="1"/>
      <w:numFmt w:val="decimal"/>
      <w:lvlText w:val="%1."/>
      <w:lvlJc w:val="left"/>
      <w:pPr>
        <w:ind w:left="360" w:hanging="360"/>
      </w:pPr>
      <w:rPr>
        <w:b w:val="0"/>
      </w:rPr>
    </w:lvl>
    <w:lvl w:ilvl="1" w:tplc="08090017">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nsid w:val="69CE4C11"/>
    <w:multiLevelType w:val="hybridMultilevel"/>
    <w:tmpl w:val="F8706840"/>
    <w:lvl w:ilvl="0" w:tplc="61D6C334">
      <w:start w:val="1"/>
      <w:numFmt w:val="decimal"/>
      <w:lvlText w:val="%1."/>
      <w:lvlJc w:val="left"/>
      <w:pPr>
        <w:ind w:left="36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6B625855"/>
    <w:multiLevelType w:val="hybridMultilevel"/>
    <w:tmpl w:val="10609DC0"/>
    <w:lvl w:ilvl="0" w:tplc="61D6C334">
      <w:start w:val="1"/>
      <w:numFmt w:val="decimal"/>
      <w:lvlText w:val="%1."/>
      <w:lvlJc w:val="left"/>
      <w:pPr>
        <w:ind w:left="36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73027097"/>
    <w:multiLevelType w:val="hybridMultilevel"/>
    <w:tmpl w:val="2594F5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7598249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3">
    <w:nsid w:val="77792DBF"/>
    <w:multiLevelType w:val="hybridMultilevel"/>
    <w:tmpl w:val="3A8A08E2"/>
    <w:lvl w:ilvl="0" w:tplc="8B56C25E">
      <w:start w:val="19"/>
      <w:numFmt w:val="bullet"/>
      <w:lvlText w:val="-"/>
      <w:lvlJc w:val="left"/>
      <w:pPr>
        <w:ind w:left="1080" w:hanging="360"/>
      </w:pPr>
      <w:rPr>
        <w:rFonts w:ascii="Calibri" w:eastAsia="Times New Roman" w:hAnsi="Calibri"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2"/>
  </w:num>
  <w:num w:numId="12">
    <w:abstractNumId w:val="15"/>
  </w:num>
  <w:num w:numId="13">
    <w:abstractNumId w:val="14"/>
  </w:num>
  <w:num w:numId="14">
    <w:abstractNumId w:val="18"/>
  </w:num>
  <w:num w:numId="15">
    <w:abstractNumId w:val="13"/>
  </w:num>
  <w:num w:numId="16">
    <w:abstractNumId w:val="31"/>
  </w:num>
  <w:num w:numId="17">
    <w:abstractNumId w:val="19"/>
  </w:num>
  <w:num w:numId="18">
    <w:abstractNumId w:val="10"/>
  </w:num>
  <w:num w:numId="19">
    <w:abstractNumId w:val="21"/>
  </w:num>
  <w:num w:numId="20">
    <w:abstractNumId w:val="25"/>
  </w:num>
  <w:num w:numId="21">
    <w:abstractNumId w:val="12"/>
  </w:num>
  <w:num w:numId="22">
    <w:abstractNumId w:val="17"/>
  </w:num>
  <w:num w:numId="23">
    <w:abstractNumId w:val="23"/>
  </w:num>
  <w:num w:numId="24">
    <w:abstractNumId w:val="20"/>
  </w:num>
  <w:num w:numId="25">
    <w:abstractNumId w:val="28"/>
  </w:num>
  <w:num w:numId="26">
    <w:abstractNumId w:val="24"/>
  </w:num>
  <w:num w:numId="27">
    <w:abstractNumId w:val="26"/>
  </w:num>
  <w:num w:numId="28">
    <w:abstractNumId w:val="11"/>
  </w:num>
  <w:num w:numId="29">
    <w:abstractNumId w:val="22"/>
  </w:num>
  <w:num w:numId="30">
    <w:abstractNumId w:val="30"/>
  </w:num>
  <w:num w:numId="31">
    <w:abstractNumId w:val="16"/>
  </w:num>
  <w:num w:numId="32">
    <w:abstractNumId w:val="27"/>
  </w:num>
  <w:num w:numId="33">
    <w:abstractNumId w:val="29"/>
  </w:num>
  <w:num w:numId="34">
    <w:abstractNumId w:val="3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hideSpellingErrors/>
  <w:hideGrammaticalError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5C5B"/>
    <w:rsid w:val="00006B31"/>
    <w:rsid w:val="00011588"/>
    <w:rsid w:val="000125D6"/>
    <w:rsid w:val="000147CC"/>
    <w:rsid w:val="000207AE"/>
    <w:rsid w:val="00027BE2"/>
    <w:rsid w:val="0003080D"/>
    <w:rsid w:val="000474F0"/>
    <w:rsid w:val="00055A43"/>
    <w:rsid w:val="00063DFF"/>
    <w:rsid w:val="00065C9E"/>
    <w:rsid w:val="00066BDD"/>
    <w:rsid w:val="000735CB"/>
    <w:rsid w:val="00094DA5"/>
    <w:rsid w:val="000A0CC8"/>
    <w:rsid w:val="000A4416"/>
    <w:rsid w:val="000A6691"/>
    <w:rsid w:val="000C2017"/>
    <w:rsid w:val="000C56E8"/>
    <w:rsid w:val="000C6F3E"/>
    <w:rsid w:val="000D1674"/>
    <w:rsid w:val="000E0311"/>
    <w:rsid w:val="000E0BAC"/>
    <w:rsid w:val="000E1914"/>
    <w:rsid w:val="000E2477"/>
    <w:rsid w:val="000E5984"/>
    <w:rsid w:val="000E5D9E"/>
    <w:rsid w:val="000F0295"/>
    <w:rsid w:val="000F79BE"/>
    <w:rsid w:val="001031E0"/>
    <w:rsid w:val="001044E4"/>
    <w:rsid w:val="00110FD7"/>
    <w:rsid w:val="00122CE0"/>
    <w:rsid w:val="00124749"/>
    <w:rsid w:val="00132AA6"/>
    <w:rsid w:val="00134C2E"/>
    <w:rsid w:val="00137C5C"/>
    <w:rsid w:val="001461B6"/>
    <w:rsid w:val="0015072F"/>
    <w:rsid w:val="00156DB0"/>
    <w:rsid w:val="001601D8"/>
    <w:rsid w:val="00161CEE"/>
    <w:rsid w:val="00181097"/>
    <w:rsid w:val="00181974"/>
    <w:rsid w:val="00181D98"/>
    <w:rsid w:val="0018243D"/>
    <w:rsid w:val="00187F9D"/>
    <w:rsid w:val="00190E43"/>
    <w:rsid w:val="001A4558"/>
    <w:rsid w:val="001B4153"/>
    <w:rsid w:val="001B4458"/>
    <w:rsid w:val="001C1AE3"/>
    <w:rsid w:val="001C3CD6"/>
    <w:rsid w:val="001C433C"/>
    <w:rsid w:val="001D3742"/>
    <w:rsid w:val="001E0275"/>
    <w:rsid w:val="001E0B81"/>
    <w:rsid w:val="001E4496"/>
    <w:rsid w:val="001E7A0F"/>
    <w:rsid w:val="001F2190"/>
    <w:rsid w:val="001F5ECA"/>
    <w:rsid w:val="001F7451"/>
    <w:rsid w:val="00205316"/>
    <w:rsid w:val="00205856"/>
    <w:rsid w:val="00205A10"/>
    <w:rsid w:val="00214EBB"/>
    <w:rsid w:val="00217075"/>
    <w:rsid w:val="00227104"/>
    <w:rsid w:val="00231992"/>
    <w:rsid w:val="00241A08"/>
    <w:rsid w:val="00263ADE"/>
    <w:rsid w:val="00264A7E"/>
    <w:rsid w:val="00265006"/>
    <w:rsid w:val="00265A2C"/>
    <w:rsid w:val="00267ECF"/>
    <w:rsid w:val="0027063F"/>
    <w:rsid w:val="00270909"/>
    <w:rsid w:val="00276FA2"/>
    <w:rsid w:val="00281D6F"/>
    <w:rsid w:val="00287734"/>
    <w:rsid w:val="002A01A7"/>
    <w:rsid w:val="002A58FD"/>
    <w:rsid w:val="002B09EE"/>
    <w:rsid w:val="002B2223"/>
    <w:rsid w:val="002B231B"/>
    <w:rsid w:val="002B3B7E"/>
    <w:rsid w:val="002B4ECE"/>
    <w:rsid w:val="002C6934"/>
    <w:rsid w:val="002D732E"/>
    <w:rsid w:val="002E162D"/>
    <w:rsid w:val="002E170F"/>
    <w:rsid w:val="002F016E"/>
    <w:rsid w:val="002F13A4"/>
    <w:rsid w:val="002F5A1E"/>
    <w:rsid w:val="002F5C5B"/>
    <w:rsid w:val="002F6960"/>
    <w:rsid w:val="00301FC7"/>
    <w:rsid w:val="0030360A"/>
    <w:rsid w:val="0031154C"/>
    <w:rsid w:val="00323C5B"/>
    <w:rsid w:val="0033768E"/>
    <w:rsid w:val="0034441C"/>
    <w:rsid w:val="003528EE"/>
    <w:rsid w:val="00353F9A"/>
    <w:rsid w:val="00361A6F"/>
    <w:rsid w:val="00363E90"/>
    <w:rsid w:val="003664FE"/>
    <w:rsid w:val="003718E2"/>
    <w:rsid w:val="00375594"/>
    <w:rsid w:val="00382516"/>
    <w:rsid w:val="00383319"/>
    <w:rsid w:val="003846ED"/>
    <w:rsid w:val="00386448"/>
    <w:rsid w:val="00395EEE"/>
    <w:rsid w:val="003A5D27"/>
    <w:rsid w:val="003B231F"/>
    <w:rsid w:val="003B2D68"/>
    <w:rsid w:val="003B7AAA"/>
    <w:rsid w:val="003C3743"/>
    <w:rsid w:val="003C5E29"/>
    <w:rsid w:val="003C60F2"/>
    <w:rsid w:val="003D0A30"/>
    <w:rsid w:val="003D0EF9"/>
    <w:rsid w:val="003D1E98"/>
    <w:rsid w:val="003D4AE7"/>
    <w:rsid w:val="003E676F"/>
    <w:rsid w:val="003E6A25"/>
    <w:rsid w:val="003F0215"/>
    <w:rsid w:val="003F2947"/>
    <w:rsid w:val="00400BD0"/>
    <w:rsid w:val="00404E8A"/>
    <w:rsid w:val="00411708"/>
    <w:rsid w:val="00413835"/>
    <w:rsid w:val="00415C9B"/>
    <w:rsid w:val="004164F1"/>
    <w:rsid w:val="004269E5"/>
    <w:rsid w:val="00427185"/>
    <w:rsid w:val="00430611"/>
    <w:rsid w:val="00430C66"/>
    <w:rsid w:val="004345B3"/>
    <w:rsid w:val="004369FB"/>
    <w:rsid w:val="00443949"/>
    <w:rsid w:val="00444825"/>
    <w:rsid w:val="00445125"/>
    <w:rsid w:val="004539DE"/>
    <w:rsid w:val="004570F7"/>
    <w:rsid w:val="00460285"/>
    <w:rsid w:val="00465ADF"/>
    <w:rsid w:val="00465E83"/>
    <w:rsid w:val="0047035B"/>
    <w:rsid w:val="004708AE"/>
    <w:rsid w:val="004819E7"/>
    <w:rsid w:val="00487DD1"/>
    <w:rsid w:val="00497875"/>
    <w:rsid w:val="004A32E8"/>
    <w:rsid w:val="004A38C5"/>
    <w:rsid w:val="004B2E29"/>
    <w:rsid w:val="004B2FAF"/>
    <w:rsid w:val="004C14E1"/>
    <w:rsid w:val="004C1D2E"/>
    <w:rsid w:val="004D2423"/>
    <w:rsid w:val="004D7E1C"/>
    <w:rsid w:val="004E2BB3"/>
    <w:rsid w:val="004E3960"/>
    <w:rsid w:val="004F4F95"/>
    <w:rsid w:val="004F6CE5"/>
    <w:rsid w:val="00500F88"/>
    <w:rsid w:val="00530F52"/>
    <w:rsid w:val="00535117"/>
    <w:rsid w:val="00540F42"/>
    <w:rsid w:val="00543A50"/>
    <w:rsid w:val="00546AEF"/>
    <w:rsid w:val="0055364E"/>
    <w:rsid w:val="00553F0F"/>
    <w:rsid w:val="005564D5"/>
    <w:rsid w:val="0056016E"/>
    <w:rsid w:val="00560C1C"/>
    <w:rsid w:val="00565668"/>
    <w:rsid w:val="00580392"/>
    <w:rsid w:val="005839E3"/>
    <w:rsid w:val="0058638D"/>
    <w:rsid w:val="005A2471"/>
    <w:rsid w:val="005A27E1"/>
    <w:rsid w:val="005A68E3"/>
    <w:rsid w:val="005A6B73"/>
    <w:rsid w:val="005B05AE"/>
    <w:rsid w:val="005B50F9"/>
    <w:rsid w:val="005C2970"/>
    <w:rsid w:val="005C6489"/>
    <w:rsid w:val="005C792C"/>
    <w:rsid w:val="005D1AE2"/>
    <w:rsid w:val="005D23AB"/>
    <w:rsid w:val="005E03E4"/>
    <w:rsid w:val="005E03E9"/>
    <w:rsid w:val="005E0F6A"/>
    <w:rsid w:val="005E5263"/>
    <w:rsid w:val="005E678D"/>
    <w:rsid w:val="005E759A"/>
    <w:rsid w:val="005F09FB"/>
    <w:rsid w:val="005F40F2"/>
    <w:rsid w:val="00603CD8"/>
    <w:rsid w:val="00605672"/>
    <w:rsid w:val="0060657E"/>
    <w:rsid w:val="00612BC4"/>
    <w:rsid w:val="00625A23"/>
    <w:rsid w:val="0062600D"/>
    <w:rsid w:val="00661CD2"/>
    <w:rsid w:val="00673E4B"/>
    <w:rsid w:val="006754BF"/>
    <w:rsid w:val="00676B75"/>
    <w:rsid w:val="00683D1B"/>
    <w:rsid w:val="00687F20"/>
    <w:rsid w:val="0069107E"/>
    <w:rsid w:val="00694582"/>
    <w:rsid w:val="0069659D"/>
    <w:rsid w:val="00697479"/>
    <w:rsid w:val="006A12F7"/>
    <w:rsid w:val="006B5160"/>
    <w:rsid w:val="006B61C2"/>
    <w:rsid w:val="006C0C29"/>
    <w:rsid w:val="006C23E8"/>
    <w:rsid w:val="006C6199"/>
    <w:rsid w:val="006E0177"/>
    <w:rsid w:val="006E0A3A"/>
    <w:rsid w:val="006E2158"/>
    <w:rsid w:val="006E2C59"/>
    <w:rsid w:val="006E5E34"/>
    <w:rsid w:val="006F0298"/>
    <w:rsid w:val="00711635"/>
    <w:rsid w:val="0071477E"/>
    <w:rsid w:val="007165B6"/>
    <w:rsid w:val="007241A2"/>
    <w:rsid w:val="00731CF6"/>
    <w:rsid w:val="00735D51"/>
    <w:rsid w:val="00740364"/>
    <w:rsid w:val="007414D9"/>
    <w:rsid w:val="007469D4"/>
    <w:rsid w:val="00753CF1"/>
    <w:rsid w:val="00771D10"/>
    <w:rsid w:val="0077677C"/>
    <w:rsid w:val="00780034"/>
    <w:rsid w:val="007829B2"/>
    <w:rsid w:val="00782E7A"/>
    <w:rsid w:val="007865F3"/>
    <w:rsid w:val="00793C15"/>
    <w:rsid w:val="00794F6A"/>
    <w:rsid w:val="007A5C9A"/>
    <w:rsid w:val="007A7241"/>
    <w:rsid w:val="007B186B"/>
    <w:rsid w:val="007B2294"/>
    <w:rsid w:val="007C21D0"/>
    <w:rsid w:val="007E2367"/>
    <w:rsid w:val="007E2B11"/>
    <w:rsid w:val="007E3F82"/>
    <w:rsid w:val="007F0781"/>
    <w:rsid w:val="00811901"/>
    <w:rsid w:val="0081292B"/>
    <w:rsid w:val="00815D81"/>
    <w:rsid w:val="00817725"/>
    <w:rsid w:val="00825DF3"/>
    <w:rsid w:val="0082624E"/>
    <w:rsid w:val="0083060F"/>
    <w:rsid w:val="00830F21"/>
    <w:rsid w:val="008346D8"/>
    <w:rsid w:val="008358F5"/>
    <w:rsid w:val="00837C3A"/>
    <w:rsid w:val="00853330"/>
    <w:rsid w:val="00855CC5"/>
    <w:rsid w:val="00857314"/>
    <w:rsid w:val="008601D7"/>
    <w:rsid w:val="00861587"/>
    <w:rsid w:val="00865457"/>
    <w:rsid w:val="008714CE"/>
    <w:rsid w:val="00873E96"/>
    <w:rsid w:val="0087415B"/>
    <w:rsid w:val="008834A1"/>
    <w:rsid w:val="00884525"/>
    <w:rsid w:val="00885849"/>
    <w:rsid w:val="008921DA"/>
    <w:rsid w:val="008A0FC6"/>
    <w:rsid w:val="008B4B7E"/>
    <w:rsid w:val="008B4CC4"/>
    <w:rsid w:val="008B59B2"/>
    <w:rsid w:val="008B70BD"/>
    <w:rsid w:val="008C5EBA"/>
    <w:rsid w:val="008D34B3"/>
    <w:rsid w:val="008E479F"/>
    <w:rsid w:val="008E68E9"/>
    <w:rsid w:val="008F1A93"/>
    <w:rsid w:val="008F27B6"/>
    <w:rsid w:val="008F5127"/>
    <w:rsid w:val="008F5D8D"/>
    <w:rsid w:val="00903D99"/>
    <w:rsid w:val="00912341"/>
    <w:rsid w:val="00912882"/>
    <w:rsid w:val="00917FB5"/>
    <w:rsid w:val="00920872"/>
    <w:rsid w:val="00923721"/>
    <w:rsid w:val="0092604C"/>
    <w:rsid w:val="00926733"/>
    <w:rsid w:val="00941FD7"/>
    <w:rsid w:val="009455C5"/>
    <w:rsid w:val="009460BB"/>
    <w:rsid w:val="00955BFA"/>
    <w:rsid w:val="009604F9"/>
    <w:rsid w:val="009630AB"/>
    <w:rsid w:val="009656C9"/>
    <w:rsid w:val="00975AB8"/>
    <w:rsid w:val="009764CE"/>
    <w:rsid w:val="009844FD"/>
    <w:rsid w:val="00986674"/>
    <w:rsid w:val="00986F8A"/>
    <w:rsid w:val="009B10AA"/>
    <w:rsid w:val="009B3C59"/>
    <w:rsid w:val="009B740E"/>
    <w:rsid w:val="009C0AFE"/>
    <w:rsid w:val="009C3987"/>
    <w:rsid w:val="009D1B49"/>
    <w:rsid w:val="009E3F98"/>
    <w:rsid w:val="009F6D88"/>
    <w:rsid w:val="00A05F01"/>
    <w:rsid w:val="00A11B0D"/>
    <w:rsid w:val="00A125F0"/>
    <w:rsid w:val="00A20545"/>
    <w:rsid w:val="00A20E3F"/>
    <w:rsid w:val="00A23F3B"/>
    <w:rsid w:val="00A367B3"/>
    <w:rsid w:val="00A422D8"/>
    <w:rsid w:val="00A47E0B"/>
    <w:rsid w:val="00A51D24"/>
    <w:rsid w:val="00A542FC"/>
    <w:rsid w:val="00A55F5A"/>
    <w:rsid w:val="00A61B90"/>
    <w:rsid w:val="00A722A4"/>
    <w:rsid w:val="00A750A1"/>
    <w:rsid w:val="00A97A95"/>
    <w:rsid w:val="00AA45AD"/>
    <w:rsid w:val="00AB40A1"/>
    <w:rsid w:val="00AC02C2"/>
    <w:rsid w:val="00AC3A2E"/>
    <w:rsid w:val="00AC3EF2"/>
    <w:rsid w:val="00AC43E1"/>
    <w:rsid w:val="00AC7B0C"/>
    <w:rsid w:val="00AD2279"/>
    <w:rsid w:val="00AE6F47"/>
    <w:rsid w:val="00AE73E2"/>
    <w:rsid w:val="00AF1246"/>
    <w:rsid w:val="00AF4B62"/>
    <w:rsid w:val="00AF4EF5"/>
    <w:rsid w:val="00AF7206"/>
    <w:rsid w:val="00AF7A83"/>
    <w:rsid w:val="00B016EC"/>
    <w:rsid w:val="00B02BB1"/>
    <w:rsid w:val="00B11186"/>
    <w:rsid w:val="00B1216E"/>
    <w:rsid w:val="00B13F96"/>
    <w:rsid w:val="00B16356"/>
    <w:rsid w:val="00B21453"/>
    <w:rsid w:val="00B41301"/>
    <w:rsid w:val="00B544E8"/>
    <w:rsid w:val="00B55CA3"/>
    <w:rsid w:val="00B647FE"/>
    <w:rsid w:val="00B800C1"/>
    <w:rsid w:val="00B84636"/>
    <w:rsid w:val="00B85C75"/>
    <w:rsid w:val="00B86679"/>
    <w:rsid w:val="00B90AB6"/>
    <w:rsid w:val="00B93968"/>
    <w:rsid w:val="00B9589F"/>
    <w:rsid w:val="00B96826"/>
    <w:rsid w:val="00B97EDE"/>
    <w:rsid w:val="00BA2668"/>
    <w:rsid w:val="00BB0F45"/>
    <w:rsid w:val="00BB6346"/>
    <w:rsid w:val="00BC0BF2"/>
    <w:rsid w:val="00BC16F1"/>
    <w:rsid w:val="00BC5A11"/>
    <w:rsid w:val="00BD3595"/>
    <w:rsid w:val="00BD36A0"/>
    <w:rsid w:val="00BD79E3"/>
    <w:rsid w:val="00BE0308"/>
    <w:rsid w:val="00BE2009"/>
    <w:rsid w:val="00BE4C07"/>
    <w:rsid w:val="00BF1FD6"/>
    <w:rsid w:val="00BF3E37"/>
    <w:rsid w:val="00BF450E"/>
    <w:rsid w:val="00C00865"/>
    <w:rsid w:val="00C0274D"/>
    <w:rsid w:val="00C0302F"/>
    <w:rsid w:val="00C07EA4"/>
    <w:rsid w:val="00C11C73"/>
    <w:rsid w:val="00C16C56"/>
    <w:rsid w:val="00C2359B"/>
    <w:rsid w:val="00C2408A"/>
    <w:rsid w:val="00C3463F"/>
    <w:rsid w:val="00C41269"/>
    <w:rsid w:val="00C516D7"/>
    <w:rsid w:val="00C70DEF"/>
    <w:rsid w:val="00C7379F"/>
    <w:rsid w:val="00C7534F"/>
    <w:rsid w:val="00C75603"/>
    <w:rsid w:val="00C838A6"/>
    <w:rsid w:val="00C83E21"/>
    <w:rsid w:val="00C84E53"/>
    <w:rsid w:val="00C94490"/>
    <w:rsid w:val="00C9550D"/>
    <w:rsid w:val="00CA4C52"/>
    <w:rsid w:val="00CA5133"/>
    <w:rsid w:val="00CB03AF"/>
    <w:rsid w:val="00CB2FDA"/>
    <w:rsid w:val="00CC0345"/>
    <w:rsid w:val="00CD2064"/>
    <w:rsid w:val="00CD6BD6"/>
    <w:rsid w:val="00CF0AC2"/>
    <w:rsid w:val="00CF1FE8"/>
    <w:rsid w:val="00CF546C"/>
    <w:rsid w:val="00D01F08"/>
    <w:rsid w:val="00D0664C"/>
    <w:rsid w:val="00D152E5"/>
    <w:rsid w:val="00D24994"/>
    <w:rsid w:val="00D255F5"/>
    <w:rsid w:val="00D25A32"/>
    <w:rsid w:val="00D31277"/>
    <w:rsid w:val="00D3198C"/>
    <w:rsid w:val="00D50C13"/>
    <w:rsid w:val="00D51C0B"/>
    <w:rsid w:val="00D56113"/>
    <w:rsid w:val="00D70C7B"/>
    <w:rsid w:val="00D74C2C"/>
    <w:rsid w:val="00D76F19"/>
    <w:rsid w:val="00D821E5"/>
    <w:rsid w:val="00D91B72"/>
    <w:rsid w:val="00D92AF5"/>
    <w:rsid w:val="00D939E0"/>
    <w:rsid w:val="00D93F19"/>
    <w:rsid w:val="00D966B6"/>
    <w:rsid w:val="00DB470E"/>
    <w:rsid w:val="00DB554F"/>
    <w:rsid w:val="00DB59FC"/>
    <w:rsid w:val="00DB6583"/>
    <w:rsid w:val="00DC2080"/>
    <w:rsid w:val="00DC6B36"/>
    <w:rsid w:val="00DD21A7"/>
    <w:rsid w:val="00DE1E04"/>
    <w:rsid w:val="00DE4C85"/>
    <w:rsid w:val="00DF181F"/>
    <w:rsid w:val="00DF2453"/>
    <w:rsid w:val="00DF474D"/>
    <w:rsid w:val="00E01535"/>
    <w:rsid w:val="00E04077"/>
    <w:rsid w:val="00E07460"/>
    <w:rsid w:val="00E0748E"/>
    <w:rsid w:val="00E077C9"/>
    <w:rsid w:val="00E1621B"/>
    <w:rsid w:val="00E20BD1"/>
    <w:rsid w:val="00E22B2F"/>
    <w:rsid w:val="00E25F00"/>
    <w:rsid w:val="00E42E47"/>
    <w:rsid w:val="00E444B2"/>
    <w:rsid w:val="00E5707E"/>
    <w:rsid w:val="00E6061D"/>
    <w:rsid w:val="00E61F72"/>
    <w:rsid w:val="00E6376F"/>
    <w:rsid w:val="00E71E8D"/>
    <w:rsid w:val="00E722E3"/>
    <w:rsid w:val="00E73308"/>
    <w:rsid w:val="00E844FB"/>
    <w:rsid w:val="00EA3E17"/>
    <w:rsid w:val="00EA4574"/>
    <w:rsid w:val="00EA52DE"/>
    <w:rsid w:val="00EA5C82"/>
    <w:rsid w:val="00EB0D5F"/>
    <w:rsid w:val="00EB5C27"/>
    <w:rsid w:val="00EC1204"/>
    <w:rsid w:val="00EC131F"/>
    <w:rsid w:val="00EC28E6"/>
    <w:rsid w:val="00EC32A9"/>
    <w:rsid w:val="00EC36D8"/>
    <w:rsid w:val="00ED1633"/>
    <w:rsid w:val="00ED53C6"/>
    <w:rsid w:val="00EE6F0E"/>
    <w:rsid w:val="00EF126B"/>
    <w:rsid w:val="00EF25B2"/>
    <w:rsid w:val="00F07BEC"/>
    <w:rsid w:val="00F13062"/>
    <w:rsid w:val="00F22680"/>
    <w:rsid w:val="00F22CAE"/>
    <w:rsid w:val="00F31BC3"/>
    <w:rsid w:val="00F455ED"/>
    <w:rsid w:val="00F456E0"/>
    <w:rsid w:val="00F557C6"/>
    <w:rsid w:val="00F57FBD"/>
    <w:rsid w:val="00F6650E"/>
    <w:rsid w:val="00F76A46"/>
    <w:rsid w:val="00F83978"/>
    <w:rsid w:val="00F92E50"/>
    <w:rsid w:val="00F95983"/>
    <w:rsid w:val="00F9695A"/>
    <w:rsid w:val="00FA28EC"/>
    <w:rsid w:val="00FA31DE"/>
    <w:rsid w:val="00FB2231"/>
    <w:rsid w:val="00FB4205"/>
    <w:rsid w:val="00FC70E2"/>
    <w:rsid w:val="00FD18A5"/>
    <w:rsid w:val="00FD2151"/>
    <w:rsid w:val="00FD2CFB"/>
    <w:rsid w:val="00FD552D"/>
    <w:rsid w:val="00FE4F13"/>
    <w:rsid w:val="00FE5B95"/>
    <w:rsid w:val="00FE6950"/>
    <w:rsid w:val="00FE715B"/>
    <w:rsid w:val="00FF6570"/>
  </w:rsids>
  <m:mathPr>
    <m:mathFont m:val="Cambria Math"/>
    <m:brkBin m:val="before"/>
    <m:brkBinSub m:val="--"/>
    <m:smallFrac m:val="0"/>
    <m:dispDef/>
    <m:lMargin m:val="0"/>
    <m:rMargin m:val="0"/>
    <m:defJc m:val="centerGroup"/>
    <m:wrapIndent m:val="1440"/>
    <m:intLim m:val="subSup"/>
    <m:naryLim m:val="undOvr"/>
  </m:mathPr>
  <w:themeFontLang w:val="en-AU"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6DF6537"/>
  <w15:docId w15:val="{BC1C0A9D-C669-4814-B377-08C887C56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2F5C5B"/>
    <w:rPr>
      <w:rFonts w:ascii="Frutiger 45 Light" w:hAnsi="Frutiger 45 Light"/>
      <w:sz w:val="24"/>
      <w:szCs w:val="24"/>
      <w:lang w:val="en-GB"/>
    </w:rPr>
  </w:style>
  <w:style w:type="paragraph" w:styleId="Heading1">
    <w:name w:val="heading 1"/>
    <w:basedOn w:val="Normal"/>
    <w:next w:val="Normal"/>
    <w:link w:val="Heading1Char"/>
    <w:qFormat/>
    <w:rsid w:val="00AF4EF5"/>
    <w:pPr>
      <w:keepNext/>
      <w:spacing w:before="240" w:after="60"/>
      <w:outlineLvl w:val="0"/>
    </w:pPr>
    <w:rPr>
      <w:rFonts w:ascii="Frutiger 55 Roman" w:hAnsi="Frutiger 55 Roman" w:cs="Arial"/>
      <w:b/>
      <w:bCs/>
      <w:kern w:val="32"/>
      <w:sz w:val="36"/>
      <w:szCs w:val="32"/>
    </w:rPr>
  </w:style>
  <w:style w:type="paragraph" w:styleId="Heading2">
    <w:name w:val="heading 2"/>
    <w:basedOn w:val="Normal"/>
    <w:next w:val="Normal"/>
    <w:qFormat/>
    <w:rsid w:val="00A11B0D"/>
    <w:pPr>
      <w:keepNext/>
      <w:spacing w:before="240" w:after="60"/>
      <w:outlineLvl w:val="1"/>
    </w:pPr>
    <w:rPr>
      <w:rFonts w:ascii="Frutiger 55 Roman" w:hAnsi="Frutiger 55 Roman" w:cs="Arial"/>
      <w:b/>
      <w:bCs/>
      <w:iCs/>
      <w:sz w:val="28"/>
      <w:szCs w:val="28"/>
    </w:rPr>
  </w:style>
  <w:style w:type="paragraph" w:styleId="Heading3">
    <w:name w:val="heading 3"/>
    <w:basedOn w:val="Normal"/>
    <w:next w:val="Normal"/>
    <w:qFormat/>
    <w:rsid w:val="009844FD"/>
    <w:pPr>
      <w:keepNext/>
      <w:spacing w:before="240" w:after="60"/>
      <w:outlineLvl w:val="2"/>
    </w:pPr>
    <w:rPr>
      <w:rFonts w:ascii="Frutiger 55 Roman" w:hAnsi="Frutiger 55 Roman" w:cs="Arial"/>
      <w:bCs/>
      <w:szCs w:val="26"/>
    </w:rPr>
  </w:style>
  <w:style w:type="paragraph" w:styleId="Heading4">
    <w:name w:val="heading 4"/>
    <w:basedOn w:val="Normal"/>
    <w:next w:val="Normal"/>
    <w:link w:val="Heading4Char"/>
    <w:qFormat/>
    <w:rsid w:val="009844FD"/>
    <w:pPr>
      <w:keepNext/>
      <w:spacing w:before="240" w:after="60"/>
      <w:outlineLvl w:val="3"/>
    </w:pPr>
    <w:rPr>
      <w:bCs/>
      <w:i/>
      <w:szCs w:val="28"/>
    </w:rPr>
  </w:style>
  <w:style w:type="paragraph" w:styleId="Heading5">
    <w:name w:val="heading 5"/>
    <w:basedOn w:val="Normal"/>
    <w:next w:val="Normal"/>
    <w:qFormat/>
    <w:rsid w:val="00CB03AF"/>
    <w:pPr>
      <w:spacing w:before="240" w:after="60"/>
      <w:outlineLvl w:val="4"/>
    </w:pPr>
    <w:rPr>
      <w:b/>
      <w:bCs/>
      <w:i/>
      <w:iCs/>
      <w:sz w:val="26"/>
      <w:szCs w:val="26"/>
    </w:rPr>
  </w:style>
  <w:style w:type="paragraph" w:styleId="Heading6">
    <w:name w:val="heading 6"/>
    <w:basedOn w:val="Normal"/>
    <w:next w:val="Normal"/>
    <w:qFormat/>
    <w:rsid w:val="00CB03AF"/>
    <w:pPr>
      <w:spacing w:before="240" w:after="60"/>
      <w:outlineLvl w:val="5"/>
    </w:pPr>
    <w:rPr>
      <w:b/>
      <w:bCs/>
      <w:sz w:val="22"/>
      <w:szCs w:val="22"/>
    </w:rPr>
  </w:style>
  <w:style w:type="paragraph" w:styleId="Heading7">
    <w:name w:val="heading 7"/>
    <w:basedOn w:val="Normal"/>
    <w:next w:val="Normal"/>
    <w:qFormat/>
    <w:rsid w:val="00CB03AF"/>
    <w:pPr>
      <w:spacing w:before="240" w:after="60"/>
      <w:outlineLvl w:val="6"/>
    </w:pPr>
  </w:style>
  <w:style w:type="paragraph" w:styleId="Heading8">
    <w:name w:val="heading 8"/>
    <w:basedOn w:val="Normal"/>
    <w:next w:val="Normal"/>
    <w:qFormat/>
    <w:rsid w:val="00CB03AF"/>
    <w:pPr>
      <w:spacing w:before="240" w:after="60"/>
      <w:outlineLvl w:val="7"/>
    </w:pPr>
    <w:rPr>
      <w:i/>
      <w:iCs/>
    </w:rPr>
  </w:style>
  <w:style w:type="paragraph" w:styleId="Heading9">
    <w:name w:val="heading 9"/>
    <w:basedOn w:val="Normal"/>
    <w:next w:val="Normal"/>
    <w:qFormat/>
    <w:rsid w:val="00CB03A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F4EF5"/>
    <w:rPr>
      <w:rFonts w:ascii="Frutiger 55 Roman" w:hAnsi="Frutiger 55 Roman" w:cs="Arial"/>
      <w:b/>
      <w:bCs/>
      <w:kern w:val="32"/>
      <w:sz w:val="36"/>
      <w:szCs w:val="32"/>
      <w:lang w:val="en-AU" w:eastAsia="en-AU" w:bidi="ar-SA"/>
    </w:rPr>
  </w:style>
  <w:style w:type="numbering" w:styleId="111111">
    <w:name w:val="Outline List 2"/>
    <w:basedOn w:val="NoList"/>
    <w:semiHidden/>
    <w:rsid w:val="00CB03AF"/>
    <w:pPr>
      <w:numPr>
        <w:numId w:val="11"/>
      </w:numPr>
    </w:pPr>
  </w:style>
  <w:style w:type="numbering" w:styleId="1ai">
    <w:name w:val="Outline List 1"/>
    <w:basedOn w:val="NoList"/>
    <w:semiHidden/>
    <w:rsid w:val="00CB03AF"/>
    <w:pPr>
      <w:numPr>
        <w:numId w:val="12"/>
      </w:numPr>
    </w:pPr>
  </w:style>
  <w:style w:type="numbering" w:styleId="ArticleSection">
    <w:name w:val="Outline List 3"/>
    <w:basedOn w:val="NoList"/>
    <w:semiHidden/>
    <w:rsid w:val="00CB03AF"/>
    <w:pPr>
      <w:numPr>
        <w:numId w:val="13"/>
      </w:numPr>
    </w:pPr>
  </w:style>
  <w:style w:type="paragraph" w:styleId="BlockText">
    <w:name w:val="Block Text"/>
    <w:basedOn w:val="Normal"/>
    <w:semiHidden/>
    <w:rsid w:val="00CB03AF"/>
    <w:pPr>
      <w:spacing w:after="120"/>
      <w:ind w:left="1440" w:right="1440"/>
    </w:pPr>
  </w:style>
  <w:style w:type="paragraph" w:customStyle="1" w:styleId="VEOHRCListBullet2ndlevel">
    <w:name w:val="VEOHRC List Bullet 2nd level"/>
    <w:basedOn w:val="VEOHRCListBullet"/>
    <w:rsid w:val="00430611"/>
    <w:pPr>
      <w:numPr>
        <w:numId w:val="1"/>
      </w:numPr>
      <w:ind w:left="1080"/>
    </w:pPr>
  </w:style>
  <w:style w:type="paragraph" w:styleId="BodyText2">
    <w:name w:val="Body Text 2"/>
    <w:basedOn w:val="Normal"/>
    <w:semiHidden/>
    <w:rsid w:val="00CB03AF"/>
    <w:pPr>
      <w:spacing w:after="120" w:line="480" w:lineRule="auto"/>
    </w:pPr>
  </w:style>
  <w:style w:type="paragraph" w:styleId="BodyText3">
    <w:name w:val="Body Text 3"/>
    <w:basedOn w:val="Normal"/>
    <w:semiHidden/>
    <w:rsid w:val="00CB03AF"/>
    <w:pPr>
      <w:spacing w:after="120"/>
    </w:pPr>
    <w:rPr>
      <w:sz w:val="16"/>
      <w:szCs w:val="16"/>
    </w:rPr>
  </w:style>
  <w:style w:type="paragraph" w:styleId="BodyTextFirstIndent">
    <w:name w:val="Body Text First Indent"/>
    <w:basedOn w:val="Normal"/>
    <w:semiHidden/>
    <w:rsid w:val="00811901"/>
    <w:pPr>
      <w:ind w:firstLine="210"/>
    </w:pPr>
  </w:style>
  <w:style w:type="paragraph" w:styleId="BodyTextIndent">
    <w:name w:val="Body Text Indent"/>
    <w:basedOn w:val="Normal"/>
    <w:semiHidden/>
    <w:rsid w:val="00CB03AF"/>
    <w:pPr>
      <w:spacing w:after="120"/>
      <w:ind w:left="283"/>
    </w:pPr>
  </w:style>
  <w:style w:type="paragraph" w:styleId="BodyTextFirstIndent2">
    <w:name w:val="Body Text First Indent 2"/>
    <w:basedOn w:val="BodyTextIndent"/>
    <w:semiHidden/>
    <w:rsid w:val="00CB03AF"/>
    <w:pPr>
      <w:ind w:firstLine="210"/>
    </w:pPr>
  </w:style>
  <w:style w:type="paragraph" w:styleId="BodyTextIndent2">
    <w:name w:val="Body Text Indent 2"/>
    <w:basedOn w:val="Normal"/>
    <w:semiHidden/>
    <w:rsid w:val="00CB03AF"/>
    <w:pPr>
      <w:spacing w:after="120" w:line="480" w:lineRule="auto"/>
      <w:ind w:left="283"/>
    </w:pPr>
  </w:style>
  <w:style w:type="paragraph" w:styleId="BodyTextIndent3">
    <w:name w:val="Body Text Indent 3"/>
    <w:basedOn w:val="Normal"/>
    <w:semiHidden/>
    <w:rsid w:val="00CB03AF"/>
    <w:pPr>
      <w:spacing w:after="120"/>
      <w:ind w:left="283"/>
    </w:pPr>
    <w:rPr>
      <w:sz w:val="16"/>
      <w:szCs w:val="16"/>
    </w:rPr>
  </w:style>
  <w:style w:type="paragraph" w:styleId="Closing">
    <w:name w:val="Closing"/>
    <w:basedOn w:val="Normal"/>
    <w:semiHidden/>
    <w:rsid w:val="00CB03AF"/>
    <w:pPr>
      <w:ind w:left="4252"/>
    </w:pPr>
  </w:style>
  <w:style w:type="paragraph" w:styleId="Date">
    <w:name w:val="Date"/>
    <w:basedOn w:val="Normal"/>
    <w:next w:val="Normal"/>
    <w:semiHidden/>
    <w:rsid w:val="00CB03AF"/>
  </w:style>
  <w:style w:type="paragraph" w:styleId="E-mailSignature">
    <w:name w:val="E-mail Signature"/>
    <w:basedOn w:val="Normal"/>
    <w:semiHidden/>
    <w:rsid w:val="00CB03AF"/>
  </w:style>
  <w:style w:type="character" w:styleId="Emphasis">
    <w:name w:val="Emphasis"/>
    <w:uiPriority w:val="20"/>
    <w:qFormat/>
    <w:rsid w:val="00CB03AF"/>
    <w:rPr>
      <w:i/>
      <w:iCs/>
    </w:rPr>
  </w:style>
  <w:style w:type="paragraph" w:styleId="EnvelopeAddress">
    <w:name w:val="envelope address"/>
    <w:basedOn w:val="Normal"/>
    <w:semiHidden/>
    <w:rsid w:val="00CB03AF"/>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CB03AF"/>
    <w:rPr>
      <w:rFonts w:ascii="Arial" w:hAnsi="Arial" w:cs="Arial"/>
      <w:sz w:val="20"/>
      <w:szCs w:val="20"/>
    </w:rPr>
  </w:style>
  <w:style w:type="character" w:styleId="FollowedHyperlink">
    <w:name w:val="FollowedHyperlink"/>
    <w:semiHidden/>
    <w:rsid w:val="00CB03AF"/>
    <w:rPr>
      <w:color w:val="800080"/>
      <w:u w:val="single"/>
    </w:rPr>
  </w:style>
  <w:style w:type="paragraph" w:styleId="Footer">
    <w:name w:val="footer"/>
    <w:basedOn w:val="Normal"/>
    <w:link w:val="FooterChar"/>
    <w:uiPriority w:val="99"/>
    <w:rsid w:val="00CB03AF"/>
    <w:pPr>
      <w:tabs>
        <w:tab w:val="center" w:pos="4153"/>
        <w:tab w:val="right" w:pos="8306"/>
      </w:tabs>
    </w:pPr>
  </w:style>
  <w:style w:type="paragraph" w:styleId="Header">
    <w:name w:val="header"/>
    <w:basedOn w:val="Normal"/>
    <w:link w:val="HeaderChar"/>
    <w:uiPriority w:val="99"/>
    <w:rsid w:val="00CB03AF"/>
    <w:pPr>
      <w:tabs>
        <w:tab w:val="center" w:pos="4153"/>
        <w:tab w:val="right" w:pos="8306"/>
      </w:tabs>
    </w:pPr>
  </w:style>
  <w:style w:type="character" w:styleId="HTMLAcronym">
    <w:name w:val="HTML Acronym"/>
    <w:basedOn w:val="DefaultParagraphFont"/>
    <w:semiHidden/>
    <w:rsid w:val="00CB03AF"/>
  </w:style>
  <w:style w:type="paragraph" w:styleId="HTMLAddress">
    <w:name w:val="HTML Address"/>
    <w:basedOn w:val="Normal"/>
    <w:semiHidden/>
    <w:rsid w:val="00CB03AF"/>
    <w:rPr>
      <w:i/>
      <w:iCs/>
    </w:rPr>
  </w:style>
  <w:style w:type="character" w:styleId="HTMLCite">
    <w:name w:val="HTML Cite"/>
    <w:semiHidden/>
    <w:rsid w:val="00CB03AF"/>
    <w:rPr>
      <w:i/>
      <w:iCs/>
    </w:rPr>
  </w:style>
  <w:style w:type="character" w:styleId="HTMLCode">
    <w:name w:val="HTML Code"/>
    <w:semiHidden/>
    <w:rsid w:val="00CB03AF"/>
    <w:rPr>
      <w:rFonts w:ascii="Courier New" w:hAnsi="Courier New" w:cs="Courier New"/>
      <w:sz w:val="20"/>
      <w:szCs w:val="20"/>
    </w:rPr>
  </w:style>
  <w:style w:type="character" w:styleId="HTMLDefinition">
    <w:name w:val="HTML Definition"/>
    <w:semiHidden/>
    <w:rsid w:val="00CB03AF"/>
    <w:rPr>
      <w:i/>
      <w:iCs/>
    </w:rPr>
  </w:style>
  <w:style w:type="character" w:styleId="HTMLKeyboard">
    <w:name w:val="HTML Keyboard"/>
    <w:semiHidden/>
    <w:rsid w:val="00CB03AF"/>
    <w:rPr>
      <w:rFonts w:ascii="Courier New" w:hAnsi="Courier New" w:cs="Courier New"/>
      <w:sz w:val="20"/>
      <w:szCs w:val="20"/>
    </w:rPr>
  </w:style>
  <w:style w:type="paragraph" w:styleId="HTMLPreformatted">
    <w:name w:val="HTML Preformatted"/>
    <w:basedOn w:val="Normal"/>
    <w:semiHidden/>
    <w:rsid w:val="00CB03AF"/>
    <w:rPr>
      <w:rFonts w:ascii="Courier New" w:hAnsi="Courier New" w:cs="Courier New"/>
      <w:sz w:val="20"/>
      <w:szCs w:val="20"/>
    </w:rPr>
  </w:style>
  <w:style w:type="character" w:styleId="HTMLSample">
    <w:name w:val="HTML Sample"/>
    <w:semiHidden/>
    <w:rsid w:val="00CB03AF"/>
    <w:rPr>
      <w:rFonts w:ascii="Courier New" w:hAnsi="Courier New" w:cs="Courier New"/>
    </w:rPr>
  </w:style>
  <w:style w:type="character" w:styleId="HTMLTypewriter">
    <w:name w:val="HTML Typewriter"/>
    <w:semiHidden/>
    <w:rsid w:val="00CB03AF"/>
    <w:rPr>
      <w:rFonts w:ascii="Courier New" w:hAnsi="Courier New" w:cs="Courier New"/>
      <w:sz w:val="20"/>
      <w:szCs w:val="20"/>
    </w:rPr>
  </w:style>
  <w:style w:type="character" w:styleId="HTMLVariable">
    <w:name w:val="HTML Variable"/>
    <w:semiHidden/>
    <w:rsid w:val="00CB03AF"/>
    <w:rPr>
      <w:i/>
      <w:iCs/>
    </w:rPr>
  </w:style>
  <w:style w:type="character" w:styleId="Hyperlink">
    <w:name w:val="Hyperlink"/>
    <w:uiPriority w:val="99"/>
    <w:semiHidden/>
    <w:rsid w:val="00CB03AF"/>
    <w:rPr>
      <w:color w:val="0000FF"/>
      <w:u w:val="single"/>
    </w:rPr>
  </w:style>
  <w:style w:type="character" w:styleId="LineNumber">
    <w:name w:val="line number"/>
    <w:basedOn w:val="DefaultParagraphFont"/>
    <w:semiHidden/>
    <w:rsid w:val="00CB03AF"/>
  </w:style>
  <w:style w:type="paragraph" w:styleId="FootnoteText">
    <w:name w:val="footnote text"/>
    <w:basedOn w:val="Normal"/>
    <w:link w:val="FootnoteTextChar"/>
    <w:uiPriority w:val="99"/>
    <w:semiHidden/>
    <w:rsid w:val="00205316"/>
    <w:rPr>
      <w:sz w:val="20"/>
      <w:szCs w:val="20"/>
    </w:rPr>
  </w:style>
  <w:style w:type="paragraph" w:customStyle="1" w:styleId="VEOHRCListBullet">
    <w:name w:val="VEOHRC List Bullet"/>
    <w:rsid w:val="003B7AAA"/>
    <w:pPr>
      <w:keepNext/>
      <w:numPr>
        <w:numId w:val="14"/>
      </w:numPr>
      <w:spacing w:after="60" w:line="240" w:lineRule="atLeast"/>
      <w:ind w:left="714" w:hanging="357"/>
    </w:pPr>
    <w:rPr>
      <w:rFonts w:ascii="Arial" w:eastAsia="Arial Unicode MS" w:hAnsi="Arial"/>
      <w:sz w:val="24"/>
      <w:szCs w:val="24"/>
      <w:lang w:val="en-GB"/>
    </w:rPr>
  </w:style>
  <w:style w:type="paragraph" w:styleId="List3">
    <w:name w:val="List 3"/>
    <w:basedOn w:val="Normal"/>
    <w:semiHidden/>
    <w:rsid w:val="00CB03AF"/>
    <w:pPr>
      <w:ind w:left="849" w:hanging="283"/>
    </w:pPr>
  </w:style>
  <w:style w:type="paragraph" w:styleId="List4">
    <w:name w:val="List 4"/>
    <w:basedOn w:val="Normal"/>
    <w:semiHidden/>
    <w:rsid w:val="00CB03AF"/>
    <w:pPr>
      <w:ind w:left="1132" w:hanging="283"/>
    </w:pPr>
  </w:style>
  <w:style w:type="paragraph" w:styleId="List5">
    <w:name w:val="List 5"/>
    <w:basedOn w:val="Normal"/>
    <w:semiHidden/>
    <w:rsid w:val="00CB03AF"/>
    <w:pPr>
      <w:ind w:left="1415" w:hanging="283"/>
    </w:pPr>
  </w:style>
  <w:style w:type="paragraph" w:styleId="BodyText">
    <w:name w:val="Body Text"/>
    <w:basedOn w:val="Normal"/>
    <w:semiHidden/>
    <w:rsid w:val="00EF25B2"/>
    <w:pPr>
      <w:spacing w:after="120"/>
    </w:pPr>
  </w:style>
  <w:style w:type="paragraph" w:styleId="ListBullet2">
    <w:name w:val="List Bullet 2"/>
    <w:basedOn w:val="Normal"/>
    <w:semiHidden/>
    <w:rsid w:val="00CB03AF"/>
    <w:pPr>
      <w:numPr>
        <w:numId w:val="2"/>
      </w:numPr>
    </w:pPr>
  </w:style>
  <w:style w:type="paragraph" w:styleId="ListBullet3">
    <w:name w:val="List Bullet 3"/>
    <w:basedOn w:val="Normal"/>
    <w:semiHidden/>
    <w:rsid w:val="00CB03AF"/>
    <w:pPr>
      <w:numPr>
        <w:numId w:val="3"/>
      </w:numPr>
    </w:pPr>
  </w:style>
  <w:style w:type="paragraph" w:styleId="ListBullet4">
    <w:name w:val="List Bullet 4"/>
    <w:basedOn w:val="Normal"/>
    <w:semiHidden/>
    <w:rsid w:val="00CB03AF"/>
    <w:pPr>
      <w:numPr>
        <w:numId w:val="4"/>
      </w:numPr>
    </w:pPr>
  </w:style>
  <w:style w:type="paragraph" w:styleId="ListBullet5">
    <w:name w:val="List Bullet 5"/>
    <w:basedOn w:val="Normal"/>
    <w:semiHidden/>
    <w:rsid w:val="00CB03AF"/>
    <w:pPr>
      <w:numPr>
        <w:numId w:val="5"/>
      </w:numPr>
    </w:pPr>
  </w:style>
  <w:style w:type="paragraph" w:styleId="ListContinue">
    <w:name w:val="List Continue"/>
    <w:basedOn w:val="Normal"/>
    <w:semiHidden/>
    <w:rsid w:val="00CB03AF"/>
    <w:pPr>
      <w:spacing w:after="120"/>
      <w:ind w:left="283"/>
    </w:pPr>
  </w:style>
  <w:style w:type="paragraph" w:styleId="ListContinue2">
    <w:name w:val="List Continue 2"/>
    <w:basedOn w:val="Normal"/>
    <w:semiHidden/>
    <w:rsid w:val="00CB03AF"/>
    <w:pPr>
      <w:spacing w:after="120"/>
      <w:ind w:left="566"/>
    </w:pPr>
  </w:style>
  <w:style w:type="paragraph" w:styleId="ListContinue3">
    <w:name w:val="List Continue 3"/>
    <w:basedOn w:val="Normal"/>
    <w:semiHidden/>
    <w:rsid w:val="00CB03AF"/>
    <w:pPr>
      <w:spacing w:after="120"/>
      <w:ind w:left="849"/>
    </w:pPr>
  </w:style>
  <w:style w:type="paragraph" w:styleId="ListContinue4">
    <w:name w:val="List Continue 4"/>
    <w:basedOn w:val="Normal"/>
    <w:semiHidden/>
    <w:rsid w:val="00CB03AF"/>
    <w:pPr>
      <w:spacing w:after="120"/>
      <w:ind w:left="1132"/>
    </w:pPr>
  </w:style>
  <w:style w:type="paragraph" w:styleId="ListContinue5">
    <w:name w:val="List Continue 5"/>
    <w:basedOn w:val="Normal"/>
    <w:semiHidden/>
    <w:rsid w:val="00CB03AF"/>
    <w:pPr>
      <w:spacing w:after="120"/>
      <w:ind w:left="1415"/>
    </w:pPr>
  </w:style>
  <w:style w:type="paragraph" w:styleId="ListNumber">
    <w:name w:val="List Number"/>
    <w:basedOn w:val="Normal"/>
    <w:semiHidden/>
    <w:rsid w:val="007165B6"/>
    <w:pPr>
      <w:numPr>
        <w:numId w:val="6"/>
      </w:numPr>
    </w:pPr>
  </w:style>
  <w:style w:type="paragraph" w:styleId="ListNumber2">
    <w:name w:val="List Number 2"/>
    <w:basedOn w:val="Normal"/>
    <w:semiHidden/>
    <w:rsid w:val="00CB03AF"/>
    <w:pPr>
      <w:numPr>
        <w:numId w:val="7"/>
      </w:numPr>
    </w:pPr>
  </w:style>
  <w:style w:type="paragraph" w:styleId="ListNumber3">
    <w:name w:val="List Number 3"/>
    <w:basedOn w:val="Normal"/>
    <w:semiHidden/>
    <w:rsid w:val="00CB03AF"/>
    <w:pPr>
      <w:numPr>
        <w:numId w:val="8"/>
      </w:numPr>
    </w:pPr>
  </w:style>
  <w:style w:type="paragraph" w:styleId="ListNumber4">
    <w:name w:val="List Number 4"/>
    <w:basedOn w:val="Normal"/>
    <w:semiHidden/>
    <w:rsid w:val="00CB03AF"/>
    <w:pPr>
      <w:numPr>
        <w:numId w:val="9"/>
      </w:numPr>
    </w:pPr>
  </w:style>
  <w:style w:type="paragraph" w:styleId="ListNumber5">
    <w:name w:val="List Number 5"/>
    <w:basedOn w:val="Normal"/>
    <w:semiHidden/>
    <w:rsid w:val="00CB03AF"/>
    <w:pPr>
      <w:numPr>
        <w:numId w:val="10"/>
      </w:numPr>
    </w:pPr>
  </w:style>
  <w:style w:type="paragraph" w:styleId="MessageHeader">
    <w:name w:val="Message Header"/>
    <w:basedOn w:val="Normal"/>
    <w:semiHidden/>
    <w:rsid w:val="00CB03A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semiHidden/>
    <w:rsid w:val="00CB03AF"/>
  </w:style>
  <w:style w:type="paragraph" w:styleId="NormalIndent">
    <w:name w:val="Normal Indent"/>
    <w:basedOn w:val="Normal"/>
    <w:semiHidden/>
    <w:rsid w:val="00CB03AF"/>
    <w:pPr>
      <w:ind w:left="720"/>
    </w:pPr>
  </w:style>
  <w:style w:type="paragraph" w:styleId="NoteHeading">
    <w:name w:val="Note Heading"/>
    <w:basedOn w:val="Normal"/>
    <w:next w:val="Normal"/>
    <w:semiHidden/>
    <w:rsid w:val="00CB03AF"/>
  </w:style>
  <w:style w:type="character" w:styleId="PageNumber">
    <w:name w:val="page number"/>
    <w:basedOn w:val="DefaultParagraphFont"/>
    <w:semiHidden/>
    <w:rsid w:val="00CB03AF"/>
  </w:style>
  <w:style w:type="paragraph" w:styleId="PlainText">
    <w:name w:val="Plain Text"/>
    <w:basedOn w:val="Normal"/>
    <w:semiHidden/>
    <w:rsid w:val="00CB03AF"/>
    <w:rPr>
      <w:rFonts w:ascii="Courier New" w:hAnsi="Courier New" w:cs="Courier New"/>
      <w:sz w:val="20"/>
      <w:szCs w:val="20"/>
    </w:rPr>
  </w:style>
  <w:style w:type="paragraph" w:styleId="Salutation">
    <w:name w:val="Salutation"/>
    <w:basedOn w:val="Normal"/>
    <w:next w:val="Normal"/>
    <w:semiHidden/>
    <w:rsid w:val="00CB03AF"/>
  </w:style>
  <w:style w:type="paragraph" w:styleId="Signature">
    <w:name w:val="Signature"/>
    <w:basedOn w:val="Normal"/>
    <w:semiHidden/>
    <w:rsid w:val="00CB03AF"/>
    <w:pPr>
      <w:ind w:left="4252"/>
    </w:pPr>
  </w:style>
  <w:style w:type="character" w:styleId="Strong">
    <w:name w:val="Strong"/>
    <w:qFormat/>
    <w:rsid w:val="00CB03AF"/>
    <w:rPr>
      <w:b/>
      <w:bCs/>
    </w:rPr>
  </w:style>
  <w:style w:type="paragraph" w:styleId="Subtitle">
    <w:name w:val="Subtitle"/>
    <w:basedOn w:val="Normal"/>
    <w:qFormat/>
    <w:rsid w:val="00CB03AF"/>
    <w:pPr>
      <w:spacing w:after="60"/>
      <w:jc w:val="center"/>
      <w:outlineLvl w:val="1"/>
    </w:pPr>
    <w:rPr>
      <w:rFonts w:ascii="Arial" w:hAnsi="Arial" w:cs="Arial"/>
    </w:rPr>
  </w:style>
  <w:style w:type="table" w:styleId="Table3Deffects1">
    <w:name w:val="Table 3D effects 1"/>
    <w:basedOn w:val="TableNormal"/>
    <w:semiHidden/>
    <w:rsid w:val="00CB03AF"/>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B03AF"/>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B03AF"/>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B03AF"/>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B03AF"/>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B03AF"/>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B03AF"/>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B03AF"/>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B03AF"/>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B03AF"/>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B03AF"/>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B03AF"/>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B03AF"/>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B03AF"/>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B03AF"/>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B03AF"/>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B03AF"/>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CB03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CB03A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B03AF"/>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B03AF"/>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B03AF"/>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B03AF"/>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B03AF"/>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B03AF"/>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B03AF"/>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B03AF"/>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B03AF"/>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B03AF"/>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B03AF"/>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B03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B03AF"/>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B03AF"/>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B03AF"/>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B03A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B03AF"/>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B03AF"/>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B03AF"/>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B03AF"/>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B03AF"/>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B03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CB03AF"/>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B03A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B03AF"/>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CB03AF"/>
    <w:pPr>
      <w:spacing w:before="240" w:after="60"/>
      <w:jc w:val="center"/>
      <w:outlineLvl w:val="0"/>
    </w:pPr>
    <w:rPr>
      <w:rFonts w:ascii="Arial" w:hAnsi="Arial" w:cs="Arial"/>
      <w:b/>
      <w:bCs/>
      <w:kern w:val="28"/>
      <w:sz w:val="32"/>
      <w:szCs w:val="32"/>
    </w:rPr>
  </w:style>
  <w:style w:type="paragraph" w:styleId="List">
    <w:name w:val="List"/>
    <w:basedOn w:val="Normal"/>
    <w:semiHidden/>
    <w:rsid w:val="00EF25B2"/>
    <w:pPr>
      <w:ind w:left="283" w:hanging="283"/>
    </w:pPr>
  </w:style>
  <w:style w:type="paragraph" w:customStyle="1" w:styleId="VEOHRCFootnotetext">
    <w:name w:val="VEOHRC Footnote text"/>
    <w:basedOn w:val="Normal"/>
    <w:rsid w:val="00EB5C27"/>
    <w:pPr>
      <w:spacing w:line="200" w:lineRule="atLeast"/>
    </w:pPr>
    <w:rPr>
      <w:rFonts w:ascii="Arial" w:hAnsi="Arial"/>
      <w:sz w:val="20"/>
      <w:szCs w:val="20"/>
    </w:rPr>
  </w:style>
  <w:style w:type="paragraph" w:customStyle="1" w:styleId="VEOHRCQuotation">
    <w:name w:val="VEOHRC Quotation"/>
    <w:basedOn w:val="Normal"/>
    <w:rsid w:val="004A32E8"/>
    <w:pPr>
      <w:spacing w:before="120" w:after="120"/>
      <w:ind w:left="720" w:right="788"/>
    </w:pPr>
    <w:rPr>
      <w:rFonts w:ascii="Arial" w:hAnsi="Arial" w:cs="Arial"/>
    </w:rPr>
  </w:style>
  <w:style w:type="paragraph" w:styleId="List2">
    <w:name w:val="List 2"/>
    <w:basedOn w:val="Normal"/>
    <w:semiHidden/>
    <w:rsid w:val="00EF25B2"/>
    <w:pPr>
      <w:ind w:left="566" w:hanging="283"/>
    </w:pPr>
  </w:style>
  <w:style w:type="paragraph" w:customStyle="1" w:styleId="VEOHRCHeading1">
    <w:name w:val="VEOHRC Heading 1"/>
    <w:basedOn w:val="Heading1"/>
    <w:rsid w:val="00323C5B"/>
    <w:pPr>
      <w:spacing w:after="120" w:line="360" w:lineRule="atLeast"/>
    </w:pPr>
    <w:rPr>
      <w:rFonts w:ascii="Arial" w:hAnsi="Arial" w:cs="Times New Roman"/>
      <w:sz w:val="32"/>
    </w:rPr>
  </w:style>
  <w:style w:type="paragraph" w:customStyle="1" w:styleId="VEOHRCBodytext">
    <w:name w:val="VEOHRC Body text"/>
    <w:link w:val="VEOHRCBodytextChar"/>
    <w:rsid w:val="00110FD7"/>
    <w:pPr>
      <w:keepNext/>
      <w:spacing w:before="80" w:after="120"/>
    </w:pPr>
    <w:rPr>
      <w:rFonts w:ascii="Arial" w:eastAsia="Arial Unicode MS" w:hAnsi="Arial"/>
      <w:sz w:val="24"/>
      <w:szCs w:val="24"/>
      <w:lang w:val="en-GB"/>
    </w:rPr>
  </w:style>
  <w:style w:type="paragraph" w:styleId="ListBullet">
    <w:name w:val="List Bullet"/>
    <w:basedOn w:val="Normal"/>
    <w:semiHidden/>
    <w:rsid w:val="00EF25B2"/>
    <w:pPr>
      <w:tabs>
        <w:tab w:val="num" w:pos="720"/>
      </w:tabs>
      <w:ind w:left="720" w:hanging="360"/>
    </w:pPr>
  </w:style>
  <w:style w:type="character" w:styleId="FootnoteReference">
    <w:name w:val="footnote reference"/>
    <w:uiPriority w:val="99"/>
    <w:rsid w:val="00205316"/>
    <w:rPr>
      <w:vertAlign w:val="superscript"/>
    </w:rPr>
  </w:style>
  <w:style w:type="paragraph" w:customStyle="1" w:styleId="VEOHRCChapterTitle">
    <w:name w:val="VEOHRC Chapter Title"/>
    <w:basedOn w:val="Normal"/>
    <w:rsid w:val="00EB5C27"/>
    <w:pPr>
      <w:spacing w:after="120" w:line="360" w:lineRule="atLeast"/>
    </w:pPr>
    <w:rPr>
      <w:rFonts w:ascii="Arial" w:hAnsi="Arial"/>
      <w:sz w:val="48"/>
    </w:rPr>
  </w:style>
  <w:style w:type="paragraph" w:customStyle="1" w:styleId="VEOHRCHeading2">
    <w:name w:val="VEOHRC Heading 2"/>
    <w:basedOn w:val="Heading2"/>
    <w:rsid w:val="00323C5B"/>
    <w:pPr>
      <w:spacing w:after="120" w:line="280" w:lineRule="atLeast"/>
    </w:pPr>
    <w:rPr>
      <w:rFonts w:ascii="Arial" w:eastAsia="Calibri" w:hAnsi="Arial" w:cs="Times New Roman"/>
      <w:lang w:val="en-AU"/>
    </w:rPr>
  </w:style>
  <w:style w:type="paragraph" w:customStyle="1" w:styleId="VEOHRCHeading3">
    <w:name w:val="VEOHRC Heading 3"/>
    <w:next w:val="VEOHRCBodytext"/>
    <w:link w:val="VEOHRCHeading3Char"/>
    <w:rsid w:val="00F13062"/>
    <w:pPr>
      <w:spacing w:before="180" w:line="240" w:lineRule="atLeast"/>
    </w:pPr>
    <w:rPr>
      <w:rFonts w:ascii="Arial" w:hAnsi="Arial" w:cs="Arial"/>
      <w:b/>
      <w:bCs/>
      <w:sz w:val="24"/>
      <w:szCs w:val="26"/>
      <w:lang w:val="en-GB"/>
    </w:rPr>
  </w:style>
  <w:style w:type="paragraph" w:customStyle="1" w:styleId="VEOHRCHeading4">
    <w:name w:val="VEOHRC Heading 4"/>
    <w:basedOn w:val="Heading4"/>
    <w:link w:val="VEOHRCHeading4Char"/>
    <w:rsid w:val="00EB5C27"/>
    <w:pPr>
      <w:spacing w:before="120" w:after="0"/>
    </w:pPr>
    <w:rPr>
      <w:rFonts w:ascii="Arial" w:hAnsi="Arial"/>
    </w:rPr>
  </w:style>
  <w:style w:type="paragraph" w:customStyle="1" w:styleId="VEOHRCFootnotereference">
    <w:name w:val="VEOHRC Footnote reference"/>
    <w:basedOn w:val="FootnoteText"/>
    <w:link w:val="VEOHRCFootnotereferenceChar"/>
    <w:rsid w:val="00205316"/>
    <w:rPr>
      <w:rFonts w:ascii="Arial" w:hAnsi="Arial"/>
      <w:vertAlign w:val="superscript"/>
    </w:rPr>
  </w:style>
  <w:style w:type="character" w:customStyle="1" w:styleId="FootnoteTextChar">
    <w:name w:val="Footnote Text Char"/>
    <w:link w:val="FootnoteText"/>
    <w:uiPriority w:val="99"/>
    <w:rsid w:val="00205316"/>
    <w:rPr>
      <w:rFonts w:ascii="Frutiger 45 Light" w:hAnsi="Frutiger 45 Light"/>
      <w:lang w:val="en-AU" w:eastAsia="en-AU" w:bidi="ar-SA"/>
    </w:rPr>
  </w:style>
  <w:style w:type="character" w:customStyle="1" w:styleId="VEOHRCFootnotereferenceChar">
    <w:name w:val="VEOHRC Footnote reference Char"/>
    <w:link w:val="VEOHRCFootnotereference"/>
    <w:rsid w:val="00205316"/>
    <w:rPr>
      <w:rFonts w:ascii="Arial" w:hAnsi="Arial"/>
      <w:vertAlign w:val="superscript"/>
      <w:lang w:val="en-AU" w:eastAsia="en-AU" w:bidi="ar-SA"/>
    </w:rPr>
  </w:style>
  <w:style w:type="paragraph" w:customStyle="1" w:styleId="VEOHRCNumberedlist">
    <w:name w:val="VEOHRC Numbered list"/>
    <w:rsid w:val="00430611"/>
    <w:pPr>
      <w:numPr>
        <w:numId w:val="15"/>
      </w:numPr>
      <w:tabs>
        <w:tab w:val="clear" w:pos="1080"/>
      </w:tabs>
    </w:pPr>
    <w:rPr>
      <w:rFonts w:ascii="Arial" w:eastAsia="Arial Unicode MS" w:hAnsi="Arial"/>
      <w:sz w:val="24"/>
      <w:szCs w:val="24"/>
      <w:lang w:val="en-GB"/>
    </w:rPr>
  </w:style>
  <w:style w:type="paragraph" w:customStyle="1" w:styleId="VEOHRCsubhead">
    <w:name w:val="VEOHRC &gt; subhead"/>
    <w:basedOn w:val="VEOHRCBodytext"/>
    <w:rsid w:val="00EB5C27"/>
    <w:rPr>
      <w:sz w:val="28"/>
    </w:rPr>
  </w:style>
  <w:style w:type="character" w:customStyle="1" w:styleId="Heading4Char">
    <w:name w:val="Heading 4 Char"/>
    <w:link w:val="Heading4"/>
    <w:rsid w:val="00D70C7B"/>
    <w:rPr>
      <w:rFonts w:ascii="Frutiger 45 Light" w:hAnsi="Frutiger 45 Light"/>
      <w:bCs/>
      <w:i/>
      <w:sz w:val="24"/>
      <w:szCs w:val="28"/>
      <w:lang w:val="en-GB" w:eastAsia="en-AU" w:bidi="ar-SA"/>
    </w:rPr>
  </w:style>
  <w:style w:type="character" w:customStyle="1" w:styleId="VEOHRCHeading4Char">
    <w:name w:val="VEOHRC Heading 4 Char"/>
    <w:link w:val="VEOHRCHeading4"/>
    <w:rsid w:val="00D70C7B"/>
    <w:rPr>
      <w:rFonts w:ascii="Arial" w:hAnsi="Arial"/>
      <w:bCs/>
      <w:i/>
      <w:sz w:val="24"/>
      <w:szCs w:val="28"/>
      <w:lang w:val="en-GB" w:eastAsia="en-AU" w:bidi="ar-SA"/>
    </w:rPr>
  </w:style>
  <w:style w:type="character" w:customStyle="1" w:styleId="VEOHRCBodytextitalics">
    <w:name w:val="VEOHRC Body text italics"/>
    <w:rsid w:val="008601D7"/>
    <w:rPr>
      <w:rFonts w:ascii="Arial" w:hAnsi="Arial"/>
      <w:i/>
      <w:dstrike w:val="0"/>
      <w:color w:val="auto"/>
      <w:sz w:val="24"/>
      <w:u w:val="none"/>
      <w:vertAlign w:val="baseline"/>
    </w:rPr>
  </w:style>
  <w:style w:type="character" w:customStyle="1" w:styleId="VEOHRCFootnotetextitalics">
    <w:name w:val="VEOHRC Footnote text italics"/>
    <w:rsid w:val="00497875"/>
    <w:rPr>
      <w:rFonts w:ascii="Arial" w:hAnsi="Arial" w:cs="Arial"/>
      <w:bCs/>
      <w:i/>
      <w:dstrike w:val="0"/>
      <w:color w:val="auto"/>
      <w:sz w:val="20"/>
      <w:szCs w:val="26"/>
      <w:u w:val="none"/>
      <w:vertAlign w:val="baseline"/>
      <w:lang w:val="en-GB"/>
    </w:rPr>
  </w:style>
  <w:style w:type="paragraph" w:styleId="TOC3">
    <w:name w:val="toc 3"/>
    <w:next w:val="VEOHRCBodytext"/>
    <w:autoRedefine/>
    <w:semiHidden/>
    <w:rsid w:val="00782E7A"/>
    <w:rPr>
      <w:rFonts w:ascii="Arial" w:hAnsi="Arial"/>
      <w:sz w:val="24"/>
      <w:szCs w:val="24"/>
      <w:lang w:val="en-GB"/>
    </w:rPr>
  </w:style>
  <w:style w:type="character" w:customStyle="1" w:styleId="VEOHRCBodytextbold">
    <w:name w:val="VEOHRC Body text bold"/>
    <w:rsid w:val="00923721"/>
    <w:rPr>
      <w:rFonts w:ascii="Arial Bold" w:hAnsi="Arial Bold"/>
      <w:b/>
      <w:dstrike w:val="0"/>
      <w:color w:val="auto"/>
      <w:sz w:val="24"/>
      <w:u w:val="none"/>
      <w:vertAlign w:val="baseline"/>
    </w:rPr>
  </w:style>
  <w:style w:type="paragraph" w:styleId="TOC1">
    <w:name w:val="toc 1"/>
    <w:next w:val="VEOHRCBodytext"/>
    <w:autoRedefine/>
    <w:semiHidden/>
    <w:rsid w:val="00181974"/>
    <w:rPr>
      <w:rFonts w:ascii="Arial" w:hAnsi="Arial"/>
      <w:sz w:val="24"/>
      <w:szCs w:val="24"/>
      <w:lang w:val="en-GB"/>
    </w:rPr>
  </w:style>
  <w:style w:type="paragraph" w:styleId="TOC2">
    <w:name w:val="toc 2"/>
    <w:next w:val="VEOHRCBodytext"/>
    <w:autoRedefine/>
    <w:semiHidden/>
    <w:rsid w:val="00181974"/>
    <w:rPr>
      <w:rFonts w:ascii="Arial" w:hAnsi="Arial"/>
      <w:sz w:val="24"/>
      <w:szCs w:val="24"/>
      <w:lang w:val="en-GB"/>
    </w:rPr>
  </w:style>
  <w:style w:type="paragraph" w:styleId="TOC4">
    <w:name w:val="toc 4"/>
    <w:next w:val="VEOHRCBodytext"/>
    <w:autoRedefine/>
    <w:semiHidden/>
    <w:rsid w:val="00782E7A"/>
    <w:rPr>
      <w:rFonts w:ascii="Arial" w:hAnsi="Arial"/>
      <w:sz w:val="24"/>
      <w:szCs w:val="24"/>
      <w:lang w:val="en-GB"/>
    </w:rPr>
  </w:style>
  <w:style w:type="character" w:customStyle="1" w:styleId="VEOHRCBodytextChar">
    <w:name w:val="VEOHRC Body text Char"/>
    <w:link w:val="VEOHRCBodytext"/>
    <w:rsid w:val="00110FD7"/>
    <w:rPr>
      <w:rFonts w:ascii="Arial" w:eastAsia="Arial Unicode MS" w:hAnsi="Arial"/>
      <w:sz w:val="24"/>
      <w:szCs w:val="24"/>
      <w:lang w:val="en-GB" w:eastAsia="en-AU" w:bidi="ar-SA"/>
    </w:rPr>
  </w:style>
  <w:style w:type="character" w:styleId="CommentReference">
    <w:name w:val="annotation reference"/>
    <w:rsid w:val="00276FA2"/>
    <w:rPr>
      <w:sz w:val="16"/>
      <w:szCs w:val="16"/>
    </w:rPr>
  </w:style>
  <w:style w:type="paragraph" w:styleId="CommentText">
    <w:name w:val="annotation text"/>
    <w:basedOn w:val="Normal"/>
    <w:link w:val="CommentTextChar"/>
    <w:rsid w:val="00276FA2"/>
    <w:rPr>
      <w:sz w:val="20"/>
      <w:szCs w:val="20"/>
    </w:rPr>
  </w:style>
  <w:style w:type="character" w:customStyle="1" w:styleId="CommentTextChar">
    <w:name w:val="Comment Text Char"/>
    <w:link w:val="CommentText"/>
    <w:rsid w:val="00276FA2"/>
    <w:rPr>
      <w:rFonts w:ascii="Frutiger 45 Light" w:hAnsi="Frutiger 45 Light"/>
      <w:lang w:val="en-GB"/>
    </w:rPr>
  </w:style>
  <w:style w:type="paragraph" w:styleId="CommentSubject">
    <w:name w:val="annotation subject"/>
    <w:basedOn w:val="CommentText"/>
    <w:next w:val="CommentText"/>
    <w:link w:val="CommentSubjectChar"/>
    <w:rsid w:val="00276FA2"/>
    <w:rPr>
      <w:b/>
      <w:bCs/>
    </w:rPr>
  </w:style>
  <w:style w:type="character" w:customStyle="1" w:styleId="CommentSubjectChar">
    <w:name w:val="Comment Subject Char"/>
    <w:link w:val="CommentSubject"/>
    <w:rsid w:val="00276FA2"/>
    <w:rPr>
      <w:rFonts w:ascii="Frutiger 45 Light" w:hAnsi="Frutiger 45 Light"/>
      <w:b/>
      <w:bCs/>
      <w:lang w:val="en-GB"/>
    </w:rPr>
  </w:style>
  <w:style w:type="paragraph" w:styleId="BalloonText">
    <w:name w:val="Balloon Text"/>
    <w:basedOn w:val="Normal"/>
    <w:link w:val="BalloonTextChar"/>
    <w:rsid w:val="00276FA2"/>
    <w:rPr>
      <w:rFonts w:ascii="Segoe UI" w:hAnsi="Segoe UI" w:cs="Segoe UI"/>
      <w:sz w:val="18"/>
      <w:szCs w:val="18"/>
    </w:rPr>
  </w:style>
  <w:style w:type="character" w:customStyle="1" w:styleId="BalloonTextChar">
    <w:name w:val="Balloon Text Char"/>
    <w:link w:val="BalloonText"/>
    <w:rsid w:val="00276FA2"/>
    <w:rPr>
      <w:rFonts w:ascii="Segoe UI" w:hAnsi="Segoe UI" w:cs="Segoe UI"/>
      <w:sz w:val="18"/>
      <w:szCs w:val="18"/>
      <w:lang w:val="en-GB"/>
    </w:rPr>
  </w:style>
  <w:style w:type="character" w:customStyle="1" w:styleId="apple-converted-space">
    <w:name w:val="apple-converted-space"/>
    <w:rsid w:val="006C23E8"/>
  </w:style>
  <w:style w:type="table" w:customStyle="1" w:styleId="GridTable4-Accent61">
    <w:name w:val="Grid Table 4 - Accent 61"/>
    <w:uiPriority w:val="49"/>
    <w:rsid w:val="005C6489"/>
    <w:rPr>
      <w:rFonts w:ascii="Arial" w:eastAsia="Calibri" w:hAnsi="Arial"/>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0" w:type="dxa"/>
        <w:bottom w:w="0" w:type="dxa"/>
        <w:right w:w="0" w:type="dxa"/>
      </w:tblCellMar>
    </w:tblPr>
  </w:style>
  <w:style w:type="character" w:customStyle="1" w:styleId="FooterChar">
    <w:name w:val="Footer Char"/>
    <w:link w:val="Footer"/>
    <w:uiPriority w:val="99"/>
    <w:rsid w:val="00287734"/>
    <w:rPr>
      <w:rFonts w:ascii="Frutiger 45 Light" w:hAnsi="Frutiger 45 Light"/>
      <w:sz w:val="24"/>
      <w:szCs w:val="24"/>
      <w:lang w:val="en-GB"/>
    </w:rPr>
  </w:style>
  <w:style w:type="character" w:customStyle="1" w:styleId="HeaderChar">
    <w:name w:val="Header Char"/>
    <w:link w:val="Header"/>
    <w:uiPriority w:val="99"/>
    <w:rsid w:val="00287734"/>
    <w:rPr>
      <w:rFonts w:ascii="Frutiger 45 Light" w:hAnsi="Frutiger 45 Light"/>
      <w:sz w:val="24"/>
      <w:szCs w:val="24"/>
      <w:lang w:val="en-GB"/>
    </w:rPr>
  </w:style>
  <w:style w:type="character" w:customStyle="1" w:styleId="VEOHRCHeading3Char">
    <w:name w:val="VEOHRC Heading 3 Char"/>
    <w:link w:val="VEOHRCHeading3"/>
    <w:rsid w:val="002B09EE"/>
    <w:rPr>
      <w:rFonts w:ascii="Arial" w:hAnsi="Arial" w:cs="Arial"/>
      <w:b/>
      <w:bCs/>
      <w:sz w:val="24"/>
      <w:szCs w:val="26"/>
      <w:lang w:val="en-GB"/>
    </w:rPr>
  </w:style>
  <w:style w:type="paragraph" w:customStyle="1" w:styleId="BodyText-List-Indent">
    <w:name w:val="Body Text - List - Indent"/>
    <w:semiHidden/>
    <w:rsid w:val="00A542FC"/>
    <w:pPr>
      <w:numPr>
        <w:numId w:val="17"/>
      </w:numPr>
      <w:spacing w:after="120"/>
    </w:pPr>
    <w:rPr>
      <w:rFonts w:ascii="Verdana" w:eastAsia="Times" w:hAnsi="Verdana"/>
      <w:szCs w:val="24"/>
      <w:lang w:eastAsia="en-US"/>
    </w:rPr>
  </w:style>
  <w:style w:type="paragraph" w:styleId="ListParagraph">
    <w:name w:val="List Paragraph"/>
    <w:basedOn w:val="Normal"/>
    <w:uiPriority w:val="34"/>
    <w:qFormat/>
    <w:rsid w:val="00CF546C"/>
    <w:pPr>
      <w:ind w:left="720"/>
      <w:contextualSpacing/>
    </w:pPr>
  </w:style>
  <w:style w:type="paragraph" w:customStyle="1" w:styleId="Default">
    <w:name w:val="Default"/>
    <w:rsid w:val="00270909"/>
    <w:pPr>
      <w:autoSpaceDE w:val="0"/>
      <w:autoSpaceDN w:val="0"/>
      <w:adjustRightInd w:val="0"/>
    </w:pPr>
    <w:rPr>
      <w:rFonts w:ascii="VIC Light" w:hAnsi="VIC Light" w:cs="VIC Light"/>
      <w:color w:val="000000"/>
      <w:sz w:val="24"/>
      <w:szCs w:val="24"/>
    </w:rPr>
  </w:style>
  <w:style w:type="paragraph" w:customStyle="1" w:styleId="Pa3">
    <w:name w:val="Pa3"/>
    <w:basedOn w:val="Default"/>
    <w:next w:val="Default"/>
    <w:uiPriority w:val="99"/>
    <w:rsid w:val="00270909"/>
    <w:pPr>
      <w:spacing w:line="181" w:lineRule="atLeast"/>
    </w:pPr>
    <w:rPr>
      <w:rFonts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9088767">
      <w:bodyDiv w:val="1"/>
      <w:marLeft w:val="0"/>
      <w:marRight w:val="0"/>
      <w:marTop w:val="0"/>
      <w:marBottom w:val="0"/>
      <w:divBdr>
        <w:top w:val="none" w:sz="0" w:space="0" w:color="auto"/>
        <w:left w:val="none" w:sz="0" w:space="0" w:color="auto"/>
        <w:bottom w:val="none" w:sz="0" w:space="0" w:color="auto"/>
        <w:right w:val="none" w:sz="0" w:space="0" w:color="auto"/>
      </w:divBdr>
      <w:divsChild>
        <w:div w:id="698511729">
          <w:marLeft w:val="0"/>
          <w:marRight w:val="0"/>
          <w:marTop w:val="0"/>
          <w:marBottom w:val="0"/>
          <w:divBdr>
            <w:top w:val="none" w:sz="0" w:space="0" w:color="auto"/>
            <w:left w:val="none" w:sz="0" w:space="0" w:color="auto"/>
            <w:bottom w:val="none" w:sz="0" w:space="0" w:color="auto"/>
            <w:right w:val="none" w:sz="0" w:space="0" w:color="auto"/>
          </w:divBdr>
          <w:divsChild>
            <w:div w:id="1775903370">
              <w:marLeft w:val="0"/>
              <w:marRight w:val="0"/>
              <w:marTop w:val="0"/>
              <w:marBottom w:val="0"/>
              <w:divBdr>
                <w:top w:val="none" w:sz="0" w:space="0" w:color="auto"/>
                <w:left w:val="none" w:sz="0" w:space="0" w:color="auto"/>
                <w:bottom w:val="none" w:sz="0" w:space="0" w:color="auto"/>
                <w:right w:val="none" w:sz="0" w:space="0" w:color="auto"/>
              </w:divBdr>
              <w:divsChild>
                <w:div w:id="1653484169">
                  <w:marLeft w:val="0"/>
                  <w:marRight w:val="0"/>
                  <w:marTop w:val="0"/>
                  <w:marBottom w:val="0"/>
                  <w:divBdr>
                    <w:top w:val="none" w:sz="0" w:space="0" w:color="auto"/>
                    <w:left w:val="none" w:sz="0" w:space="0" w:color="auto"/>
                    <w:bottom w:val="none" w:sz="0" w:space="0" w:color="auto"/>
                    <w:right w:val="none" w:sz="0" w:space="0" w:color="auto"/>
                  </w:divBdr>
                  <w:divsChild>
                    <w:div w:id="189264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9248834">
      <w:bodyDiv w:val="1"/>
      <w:marLeft w:val="0"/>
      <w:marRight w:val="0"/>
      <w:marTop w:val="0"/>
      <w:marBottom w:val="0"/>
      <w:divBdr>
        <w:top w:val="none" w:sz="0" w:space="0" w:color="auto"/>
        <w:left w:val="none" w:sz="0" w:space="0" w:color="auto"/>
        <w:bottom w:val="none" w:sz="0" w:space="0" w:color="auto"/>
        <w:right w:val="none" w:sz="0" w:space="0" w:color="auto"/>
      </w:divBdr>
      <w:divsChild>
        <w:div w:id="934217048">
          <w:marLeft w:val="0"/>
          <w:marRight w:val="0"/>
          <w:marTop w:val="0"/>
          <w:marBottom w:val="0"/>
          <w:divBdr>
            <w:top w:val="none" w:sz="0" w:space="0" w:color="auto"/>
            <w:left w:val="none" w:sz="0" w:space="0" w:color="auto"/>
            <w:bottom w:val="none" w:sz="0" w:space="0" w:color="auto"/>
            <w:right w:val="none" w:sz="0" w:space="0" w:color="auto"/>
          </w:divBdr>
          <w:divsChild>
            <w:div w:id="1574119181">
              <w:marLeft w:val="0"/>
              <w:marRight w:val="0"/>
              <w:marTop w:val="0"/>
              <w:marBottom w:val="0"/>
              <w:divBdr>
                <w:top w:val="none" w:sz="0" w:space="0" w:color="auto"/>
                <w:left w:val="none" w:sz="0" w:space="0" w:color="auto"/>
                <w:bottom w:val="none" w:sz="0" w:space="0" w:color="auto"/>
                <w:right w:val="none" w:sz="0" w:space="0" w:color="auto"/>
              </w:divBdr>
              <w:divsChild>
                <w:div w:id="1519393736">
                  <w:marLeft w:val="0"/>
                  <w:marRight w:val="0"/>
                  <w:marTop w:val="0"/>
                  <w:marBottom w:val="0"/>
                  <w:divBdr>
                    <w:top w:val="none" w:sz="0" w:space="0" w:color="auto"/>
                    <w:left w:val="none" w:sz="0" w:space="0" w:color="auto"/>
                    <w:bottom w:val="none" w:sz="0" w:space="0" w:color="auto"/>
                    <w:right w:val="none" w:sz="0" w:space="0" w:color="auto"/>
                  </w:divBdr>
                  <w:divsChild>
                    <w:div w:id="132057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6005953">
      <w:bodyDiv w:val="1"/>
      <w:marLeft w:val="0"/>
      <w:marRight w:val="0"/>
      <w:marTop w:val="0"/>
      <w:marBottom w:val="0"/>
      <w:divBdr>
        <w:top w:val="none" w:sz="0" w:space="0" w:color="auto"/>
        <w:left w:val="none" w:sz="0" w:space="0" w:color="auto"/>
        <w:bottom w:val="none" w:sz="0" w:space="0" w:color="auto"/>
        <w:right w:val="none" w:sz="0" w:space="0" w:color="auto"/>
      </w:divBdr>
      <w:divsChild>
        <w:div w:id="706564590">
          <w:marLeft w:val="0"/>
          <w:marRight w:val="0"/>
          <w:marTop w:val="0"/>
          <w:marBottom w:val="0"/>
          <w:divBdr>
            <w:top w:val="none" w:sz="0" w:space="0" w:color="auto"/>
            <w:left w:val="none" w:sz="0" w:space="0" w:color="auto"/>
            <w:bottom w:val="none" w:sz="0" w:space="0" w:color="auto"/>
            <w:right w:val="none" w:sz="0" w:space="0" w:color="auto"/>
          </w:divBdr>
          <w:divsChild>
            <w:div w:id="1880512185">
              <w:marLeft w:val="0"/>
              <w:marRight w:val="0"/>
              <w:marTop w:val="0"/>
              <w:marBottom w:val="0"/>
              <w:divBdr>
                <w:top w:val="none" w:sz="0" w:space="0" w:color="auto"/>
                <w:left w:val="none" w:sz="0" w:space="0" w:color="auto"/>
                <w:bottom w:val="none" w:sz="0" w:space="0" w:color="auto"/>
                <w:right w:val="none" w:sz="0" w:space="0" w:color="auto"/>
              </w:divBdr>
              <w:divsChild>
                <w:div w:id="1944723788">
                  <w:marLeft w:val="0"/>
                  <w:marRight w:val="0"/>
                  <w:marTop w:val="0"/>
                  <w:marBottom w:val="0"/>
                  <w:divBdr>
                    <w:top w:val="none" w:sz="0" w:space="0" w:color="auto"/>
                    <w:left w:val="none" w:sz="0" w:space="0" w:color="auto"/>
                    <w:bottom w:val="none" w:sz="0" w:space="0" w:color="auto"/>
                    <w:right w:val="none" w:sz="0" w:space="0" w:color="auto"/>
                  </w:divBdr>
                  <w:divsChild>
                    <w:div w:id="1350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405556">
      <w:bodyDiv w:val="1"/>
      <w:marLeft w:val="0"/>
      <w:marRight w:val="0"/>
      <w:marTop w:val="0"/>
      <w:marBottom w:val="0"/>
      <w:divBdr>
        <w:top w:val="none" w:sz="0" w:space="0" w:color="auto"/>
        <w:left w:val="none" w:sz="0" w:space="0" w:color="auto"/>
        <w:bottom w:val="none" w:sz="0" w:space="0" w:color="auto"/>
        <w:right w:val="none" w:sz="0" w:space="0" w:color="auto"/>
      </w:divBdr>
    </w:div>
    <w:div w:id="1105156243">
      <w:bodyDiv w:val="1"/>
      <w:marLeft w:val="0"/>
      <w:marRight w:val="0"/>
      <w:marTop w:val="0"/>
      <w:marBottom w:val="0"/>
      <w:divBdr>
        <w:top w:val="none" w:sz="0" w:space="0" w:color="auto"/>
        <w:left w:val="none" w:sz="0" w:space="0" w:color="auto"/>
        <w:bottom w:val="none" w:sz="0" w:space="0" w:color="auto"/>
        <w:right w:val="none" w:sz="0" w:space="0" w:color="auto"/>
      </w:divBdr>
    </w:div>
    <w:div w:id="1227885093">
      <w:bodyDiv w:val="1"/>
      <w:marLeft w:val="0"/>
      <w:marRight w:val="0"/>
      <w:marTop w:val="0"/>
      <w:marBottom w:val="0"/>
      <w:divBdr>
        <w:top w:val="none" w:sz="0" w:space="0" w:color="auto"/>
        <w:left w:val="none" w:sz="0" w:space="0" w:color="auto"/>
        <w:bottom w:val="none" w:sz="0" w:space="0" w:color="auto"/>
        <w:right w:val="none" w:sz="0" w:space="0" w:color="auto"/>
      </w:divBdr>
      <w:divsChild>
        <w:div w:id="234978041">
          <w:marLeft w:val="0"/>
          <w:marRight w:val="0"/>
          <w:marTop w:val="0"/>
          <w:marBottom w:val="0"/>
          <w:divBdr>
            <w:top w:val="none" w:sz="0" w:space="0" w:color="auto"/>
            <w:left w:val="none" w:sz="0" w:space="0" w:color="auto"/>
            <w:bottom w:val="none" w:sz="0" w:space="0" w:color="auto"/>
            <w:right w:val="none" w:sz="0" w:space="0" w:color="auto"/>
          </w:divBdr>
          <w:divsChild>
            <w:div w:id="2121798277">
              <w:marLeft w:val="0"/>
              <w:marRight w:val="0"/>
              <w:marTop w:val="0"/>
              <w:marBottom w:val="0"/>
              <w:divBdr>
                <w:top w:val="none" w:sz="0" w:space="0" w:color="auto"/>
                <w:left w:val="none" w:sz="0" w:space="0" w:color="auto"/>
                <w:bottom w:val="none" w:sz="0" w:space="0" w:color="auto"/>
                <w:right w:val="none" w:sz="0" w:space="0" w:color="auto"/>
              </w:divBdr>
              <w:divsChild>
                <w:div w:id="175180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484281">
      <w:bodyDiv w:val="1"/>
      <w:marLeft w:val="0"/>
      <w:marRight w:val="0"/>
      <w:marTop w:val="0"/>
      <w:marBottom w:val="0"/>
      <w:divBdr>
        <w:top w:val="none" w:sz="0" w:space="0" w:color="auto"/>
        <w:left w:val="none" w:sz="0" w:space="0" w:color="auto"/>
        <w:bottom w:val="none" w:sz="0" w:space="0" w:color="auto"/>
        <w:right w:val="none" w:sz="0" w:space="0" w:color="auto"/>
      </w:divBdr>
    </w:div>
    <w:div w:id="1568346016">
      <w:bodyDiv w:val="1"/>
      <w:marLeft w:val="0"/>
      <w:marRight w:val="0"/>
      <w:marTop w:val="0"/>
      <w:marBottom w:val="0"/>
      <w:divBdr>
        <w:top w:val="none" w:sz="0" w:space="0" w:color="auto"/>
        <w:left w:val="none" w:sz="0" w:space="0" w:color="auto"/>
        <w:bottom w:val="none" w:sz="0" w:space="0" w:color="auto"/>
        <w:right w:val="none" w:sz="0" w:space="0" w:color="auto"/>
      </w:divBdr>
    </w:div>
    <w:div w:id="1672100506">
      <w:bodyDiv w:val="1"/>
      <w:marLeft w:val="0"/>
      <w:marRight w:val="0"/>
      <w:marTop w:val="0"/>
      <w:marBottom w:val="0"/>
      <w:divBdr>
        <w:top w:val="none" w:sz="0" w:space="0" w:color="auto"/>
        <w:left w:val="none" w:sz="0" w:space="0" w:color="auto"/>
        <w:bottom w:val="none" w:sz="0" w:space="0" w:color="auto"/>
        <w:right w:val="none" w:sz="0" w:space="0" w:color="auto"/>
      </w:divBdr>
      <w:divsChild>
        <w:div w:id="412748470">
          <w:marLeft w:val="0"/>
          <w:marRight w:val="0"/>
          <w:marTop w:val="0"/>
          <w:marBottom w:val="0"/>
          <w:divBdr>
            <w:top w:val="none" w:sz="0" w:space="0" w:color="auto"/>
            <w:left w:val="none" w:sz="0" w:space="0" w:color="auto"/>
            <w:bottom w:val="none" w:sz="0" w:space="0" w:color="auto"/>
            <w:right w:val="none" w:sz="0" w:space="0" w:color="auto"/>
          </w:divBdr>
          <w:divsChild>
            <w:div w:id="2125464030">
              <w:marLeft w:val="0"/>
              <w:marRight w:val="0"/>
              <w:marTop w:val="0"/>
              <w:marBottom w:val="0"/>
              <w:divBdr>
                <w:top w:val="none" w:sz="0" w:space="0" w:color="auto"/>
                <w:left w:val="none" w:sz="0" w:space="0" w:color="auto"/>
                <w:bottom w:val="none" w:sz="0" w:space="0" w:color="auto"/>
                <w:right w:val="none" w:sz="0" w:space="0" w:color="auto"/>
              </w:divBdr>
              <w:divsChild>
                <w:div w:id="1618490455">
                  <w:marLeft w:val="0"/>
                  <w:marRight w:val="0"/>
                  <w:marTop w:val="0"/>
                  <w:marBottom w:val="0"/>
                  <w:divBdr>
                    <w:top w:val="none" w:sz="0" w:space="0" w:color="auto"/>
                    <w:left w:val="none" w:sz="0" w:space="0" w:color="auto"/>
                    <w:bottom w:val="none" w:sz="0" w:space="0" w:color="auto"/>
                    <w:right w:val="none" w:sz="0" w:space="0" w:color="auto"/>
                  </w:divBdr>
                  <w:divsChild>
                    <w:div w:id="13529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747591">
      <w:bodyDiv w:val="1"/>
      <w:marLeft w:val="0"/>
      <w:marRight w:val="0"/>
      <w:marTop w:val="0"/>
      <w:marBottom w:val="0"/>
      <w:divBdr>
        <w:top w:val="none" w:sz="0" w:space="0" w:color="auto"/>
        <w:left w:val="none" w:sz="0" w:space="0" w:color="auto"/>
        <w:bottom w:val="none" w:sz="0" w:space="0" w:color="auto"/>
        <w:right w:val="none" w:sz="0" w:space="0" w:color="auto"/>
      </w:divBdr>
      <w:divsChild>
        <w:div w:id="441263166">
          <w:marLeft w:val="0"/>
          <w:marRight w:val="0"/>
          <w:marTop w:val="0"/>
          <w:marBottom w:val="0"/>
          <w:divBdr>
            <w:top w:val="none" w:sz="0" w:space="0" w:color="auto"/>
            <w:left w:val="none" w:sz="0" w:space="0" w:color="auto"/>
            <w:bottom w:val="none" w:sz="0" w:space="0" w:color="auto"/>
            <w:right w:val="none" w:sz="0" w:space="0" w:color="auto"/>
          </w:divBdr>
          <w:divsChild>
            <w:div w:id="516577333">
              <w:marLeft w:val="0"/>
              <w:marRight w:val="0"/>
              <w:marTop w:val="0"/>
              <w:marBottom w:val="0"/>
              <w:divBdr>
                <w:top w:val="none" w:sz="0" w:space="0" w:color="auto"/>
                <w:left w:val="none" w:sz="0" w:space="0" w:color="auto"/>
                <w:bottom w:val="none" w:sz="0" w:space="0" w:color="auto"/>
                <w:right w:val="none" w:sz="0" w:space="0" w:color="auto"/>
              </w:divBdr>
              <w:divsChild>
                <w:div w:id="13374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987868">
      <w:bodyDiv w:val="1"/>
      <w:marLeft w:val="0"/>
      <w:marRight w:val="0"/>
      <w:marTop w:val="0"/>
      <w:marBottom w:val="0"/>
      <w:divBdr>
        <w:top w:val="none" w:sz="0" w:space="0" w:color="auto"/>
        <w:left w:val="none" w:sz="0" w:space="0" w:color="auto"/>
        <w:bottom w:val="none" w:sz="0" w:space="0" w:color="auto"/>
        <w:right w:val="none" w:sz="0" w:space="0" w:color="auto"/>
      </w:divBdr>
      <w:divsChild>
        <w:div w:id="473329271">
          <w:marLeft w:val="0"/>
          <w:marRight w:val="0"/>
          <w:marTop w:val="0"/>
          <w:marBottom w:val="0"/>
          <w:divBdr>
            <w:top w:val="none" w:sz="0" w:space="0" w:color="auto"/>
            <w:left w:val="none" w:sz="0" w:space="0" w:color="auto"/>
            <w:bottom w:val="none" w:sz="0" w:space="0" w:color="auto"/>
            <w:right w:val="none" w:sz="0" w:space="0" w:color="auto"/>
          </w:divBdr>
          <w:divsChild>
            <w:div w:id="1297638428">
              <w:marLeft w:val="0"/>
              <w:marRight w:val="0"/>
              <w:marTop w:val="0"/>
              <w:marBottom w:val="0"/>
              <w:divBdr>
                <w:top w:val="none" w:sz="0" w:space="0" w:color="auto"/>
                <w:left w:val="none" w:sz="0" w:space="0" w:color="auto"/>
                <w:bottom w:val="none" w:sz="0" w:space="0" w:color="auto"/>
                <w:right w:val="none" w:sz="0" w:space="0" w:color="auto"/>
              </w:divBdr>
              <w:divsChild>
                <w:div w:id="1824541109">
                  <w:marLeft w:val="0"/>
                  <w:marRight w:val="0"/>
                  <w:marTop w:val="0"/>
                  <w:marBottom w:val="0"/>
                  <w:divBdr>
                    <w:top w:val="none" w:sz="0" w:space="0" w:color="auto"/>
                    <w:left w:val="none" w:sz="0" w:space="0" w:color="auto"/>
                    <w:bottom w:val="none" w:sz="0" w:space="0" w:color="auto"/>
                    <w:right w:val="none" w:sz="0" w:space="0" w:color="auto"/>
                  </w:divBdr>
                  <w:divsChild>
                    <w:div w:id="143624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642953">
      <w:bodyDiv w:val="1"/>
      <w:marLeft w:val="0"/>
      <w:marRight w:val="0"/>
      <w:marTop w:val="0"/>
      <w:marBottom w:val="0"/>
      <w:divBdr>
        <w:top w:val="none" w:sz="0" w:space="0" w:color="auto"/>
        <w:left w:val="none" w:sz="0" w:space="0" w:color="auto"/>
        <w:bottom w:val="none" w:sz="0" w:space="0" w:color="auto"/>
        <w:right w:val="none" w:sz="0" w:space="0" w:color="auto"/>
      </w:divBdr>
      <w:divsChild>
        <w:div w:id="41682517">
          <w:marLeft w:val="0"/>
          <w:marRight w:val="0"/>
          <w:marTop w:val="0"/>
          <w:marBottom w:val="0"/>
          <w:divBdr>
            <w:top w:val="none" w:sz="0" w:space="0" w:color="auto"/>
            <w:left w:val="none" w:sz="0" w:space="0" w:color="auto"/>
            <w:bottom w:val="none" w:sz="0" w:space="0" w:color="auto"/>
            <w:right w:val="none" w:sz="0" w:space="0" w:color="auto"/>
          </w:divBdr>
          <w:divsChild>
            <w:div w:id="1412501548">
              <w:marLeft w:val="0"/>
              <w:marRight w:val="0"/>
              <w:marTop w:val="0"/>
              <w:marBottom w:val="0"/>
              <w:divBdr>
                <w:top w:val="none" w:sz="0" w:space="0" w:color="auto"/>
                <w:left w:val="none" w:sz="0" w:space="0" w:color="auto"/>
                <w:bottom w:val="none" w:sz="0" w:space="0" w:color="auto"/>
                <w:right w:val="none" w:sz="0" w:space="0" w:color="auto"/>
              </w:divBdr>
              <w:divsChild>
                <w:div w:id="9621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600252">
      <w:bodyDiv w:val="1"/>
      <w:marLeft w:val="0"/>
      <w:marRight w:val="0"/>
      <w:marTop w:val="0"/>
      <w:marBottom w:val="0"/>
      <w:divBdr>
        <w:top w:val="none" w:sz="0" w:space="0" w:color="auto"/>
        <w:left w:val="none" w:sz="0" w:space="0" w:color="auto"/>
        <w:bottom w:val="none" w:sz="0" w:space="0" w:color="auto"/>
        <w:right w:val="none" w:sz="0" w:space="0" w:color="auto"/>
      </w:divBdr>
      <w:divsChild>
        <w:div w:id="1974434227">
          <w:marLeft w:val="0"/>
          <w:marRight w:val="0"/>
          <w:marTop w:val="0"/>
          <w:marBottom w:val="0"/>
          <w:divBdr>
            <w:top w:val="none" w:sz="0" w:space="0" w:color="auto"/>
            <w:left w:val="none" w:sz="0" w:space="0" w:color="auto"/>
            <w:bottom w:val="none" w:sz="0" w:space="0" w:color="auto"/>
            <w:right w:val="none" w:sz="0" w:space="0" w:color="auto"/>
          </w:divBdr>
          <w:divsChild>
            <w:div w:id="1796751191">
              <w:marLeft w:val="0"/>
              <w:marRight w:val="0"/>
              <w:marTop w:val="0"/>
              <w:marBottom w:val="0"/>
              <w:divBdr>
                <w:top w:val="none" w:sz="0" w:space="0" w:color="auto"/>
                <w:left w:val="none" w:sz="0" w:space="0" w:color="auto"/>
                <w:bottom w:val="none" w:sz="0" w:space="0" w:color="auto"/>
                <w:right w:val="none" w:sz="0" w:space="0" w:color="auto"/>
              </w:divBdr>
              <w:divsChild>
                <w:div w:id="2144273491">
                  <w:marLeft w:val="0"/>
                  <w:marRight w:val="0"/>
                  <w:marTop w:val="0"/>
                  <w:marBottom w:val="0"/>
                  <w:divBdr>
                    <w:top w:val="none" w:sz="0" w:space="0" w:color="auto"/>
                    <w:left w:val="none" w:sz="0" w:space="0" w:color="auto"/>
                    <w:bottom w:val="none" w:sz="0" w:space="0" w:color="auto"/>
                    <w:right w:val="none" w:sz="0" w:space="0" w:color="auto"/>
                  </w:divBdr>
                  <w:divsChild>
                    <w:div w:id="156706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518220">
      <w:bodyDiv w:val="1"/>
      <w:marLeft w:val="0"/>
      <w:marRight w:val="0"/>
      <w:marTop w:val="0"/>
      <w:marBottom w:val="0"/>
      <w:divBdr>
        <w:top w:val="none" w:sz="0" w:space="0" w:color="auto"/>
        <w:left w:val="none" w:sz="0" w:space="0" w:color="auto"/>
        <w:bottom w:val="none" w:sz="0" w:space="0" w:color="auto"/>
        <w:right w:val="none" w:sz="0" w:space="0" w:color="auto"/>
      </w:divBdr>
      <w:divsChild>
        <w:div w:id="2076313937">
          <w:marLeft w:val="0"/>
          <w:marRight w:val="0"/>
          <w:marTop w:val="0"/>
          <w:marBottom w:val="0"/>
          <w:divBdr>
            <w:top w:val="none" w:sz="0" w:space="0" w:color="auto"/>
            <w:left w:val="none" w:sz="0" w:space="0" w:color="auto"/>
            <w:bottom w:val="none" w:sz="0" w:space="0" w:color="auto"/>
            <w:right w:val="none" w:sz="0" w:space="0" w:color="auto"/>
          </w:divBdr>
          <w:divsChild>
            <w:div w:id="204025052">
              <w:marLeft w:val="0"/>
              <w:marRight w:val="0"/>
              <w:marTop w:val="0"/>
              <w:marBottom w:val="0"/>
              <w:divBdr>
                <w:top w:val="none" w:sz="0" w:space="0" w:color="auto"/>
                <w:left w:val="none" w:sz="0" w:space="0" w:color="auto"/>
                <w:bottom w:val="none" w:sz="0" w:space="0" w:color="auto"/>
                <w:right w:val="none" w:sz="0" w:space="0" w:color="auto"/>
              </w:divBdr>
              <w:divsChild>
                <w:div w:id="1175269306">
                  <w:marLeft w:val="0"/>
                  <w:marRight w:val="0"/>
                  <w:marTop w:val="0"/>
                  <w:marBottom w:val="0"/>
                  <w:divBdr>
                    <w:top w:val="none" w:sz="0" w:space="0" w:color="auto"/>
                    <w:left w:val="none" w:sz="0" w:space="0" w:color="auto"/>
                    <w:bottom w:val="none" w:sz="0" w:space="0" w:color="auto"/>
                    <w:right w:val="none" w:sz="0" w:space="0" w:color="auto"/>
                  </w:divBdr>
                  <w:divsChild>
                    <w:div w:id="144483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047820">
      <w:bodyDiv w:val="1"/>
      <w:marLeft w:val="0"/>
      <w:marRight w:val="0"/>
      <w:marTop w:val="0"/>
      <w:marBottom w:val="0"/>
      <w:divBdr>
        <w:top w:val="none" w:sz="0" w:space="0" w:color="auto"/>
        <w:left w:val="none" w:sz="0" w:space="0" w:color="auto"/>
        <w:bottom w:val="none" w:sz="0" w:space="0" w:color="auto"/>
        <w:right w:val="none" w:sz="0" w:space="0" w:color="auto"/>
      </w:divBdr>
    </w:div>
    <w:div w:id="2100907099">
      <w:bodyDiv w:val="1"/>
      <w:marLeft w:val="0"/>
      <w:marRight w:val="0"/>
      <w:marTop w:val="0"/>
      <w:marBottom w:val="0"/>
      <w:divBdr>
        <w:top w:val="none" w:sz="0" w:space="0" w:color="auto"/>
        <w:left w:val="none" w:sz="0" w:space="0" w:color="auto"/>
        <w:bottom w:val="none" w:sz="0" w:space="0" w:color="auto"/>
        <w:right w:val="none" w:sz="0" w:space="0" w:color="auto"/>
      </w:divBdr>
      <w:divsChild>
        <w:div w:id="1474834405">
          <w:marLeft w:val="0"/>
          <w:marRight w:val="0"/>
          <w:marTop w:val="0"/>
          <w:marBottom w:val="0"/>
          <w:divBdr>
            <w:top w:val="none" w:sz="0" w:space="0" w:color="auto"/>
            <w:left w:val="none" w:sz="0" w:space="0" w:color="auto"/>
            <w:bottom w:val="none" w:sz="0" w:space="0" w:color="auto"/>
            <w:right w:val="none" w:sz="0" w:space="0" w:color="auto"/>
          </w:divBdr>
          <w:divsChild>
            <w:div w:id="523250410">
              <w:marLeft w:val="0"/>
              <w:marRight w:val="0"/>
              <w:marTop w:val="0"/>
              <w:marBottom w:val="0"/>
              <w:divBdr>
                <w:top w:val="none" w:sz="0" w:space="0" w:color="auto"/>
                <w:left w:val="none" w:sz="0" w:space="0" w:color="auto"/>
                <w:bottom w:val="none" w:sz="0" w:space="0" w:color="auto"/>
                <w:right w:val="none" w:sz="0" w:space="0" w:color="auto"/>
              </w:divBdr>
              <w:divsChild>
                <w:div w:id="121211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sarc@parliament.vic.gov.au" TargetMode="External"/><Relationship Id="rId9" Type="http://schemas.openxmlformats.org/officeDocument/2006/relationships/image" Target="media/image1.tiff"/><Relationship Id="rId10"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20.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G:\Template\Template.01\VEOHRC\Electronic%20letterhead%201%20pag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6ED3E2-245A-8043-96C2-702ADFEAB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G:\Template\Template.01\VEOHRC\Electronic letterhead 1 page.dotx</Template>
  <TotalTime>4</TotalTime>
  <Pages>8</Pages>
  <Words>2277</Words>
  <Characters>12984</Characters>
  <Application>Microsoft Macintosh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KDFNL KFNASKLNFKASLFNSLK ASLFKNSFL LSKFNASFKLN</vt:lpstr>
    </vt:vector>
  </TitlesOfParts>
  <Company>Dept. of Justice Victoria</Company>
  <LinksUpToDate>false</LinksUpToDate>
  <CharactersWithSpaces>15231</CharactersWithSpaces>
  <SharedDoc>false</SharedDoc>
  <HLinks>
    <vt:vector size="12" baseType="variant">
      <vt:variant>
        <vt:i4>3866632</vt:i4>
      </vt:variant>
      <vt:variant>
        <vt:i4>0</vt:i4>
      </vt:variant>
      <vt:variant>
        <vt:i4>0</vt:i4>
      </vt:variant>
      <vt:variant>
        <vt:i4>5</vt:i4>
      </vt:variant>
      <vt:variant>
        <vt:lpwstr>mailto:sarc@parliament.vic.gov.au</vt:lpwstr>
      </vt:variant>
      <vt:variant>
        <vt:lpwstr/>
      </vt:variant>
      <vt:variant>
        <vt:i4>3014764</vt:i4>
      </vt:variant>
      <vt:variant>
        <vt:i4>0</vt:i4>
      </vt:variant>
      <vt:variant>
        <vt:i4>0</vt:i4>
      </vt:variant>
      <vt:variant>
        <vt:i4>5</vt:i4>
      </vt:variant>
      <vt:variant>
        <vt:lpwstr>http://www.austlii.edu.au/cgi-bin/LawCite?cit=%282009%29%2031%20VAR%20286?stem=0&amp;synonyms=0&amp;query=Matsoukatidou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KDFNL KFNASKLNFKASLFNSLK ASLFKNSFL LSKFNASFKLN</dc:title>
  <dc:subject/>
  <dc:creator>Jacinta Lewin</dc:creator>
  <cp:keywords/>
  <dc:description/>
  <cp:lastModifiedBy>Emily Minter</cp:lastModifiedBy>
  <cp:revision>4</cp:revision>
  <cp:lastPrinted>2018-05-20T22:18:00Z</cp:lastPrinted>
  <dcterms:created xsi:type="dcterms:W3CDTF">2018-05-21T00:00:00Z</dcterms:created>
  <dcterms:modified xsi:type="dcterms:W3CDTF">2018-05-21T00:09:00Z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ID">
    <vt:lpwstr/>
  </property>
</Properties>
</file>