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F01D9" w14:textId="7BDB3C14" w:rsidR="00CE7EDD" w:rsidRPr="00CE7EDD" w:rsidRDefault="003F481E" w:rsidP="003F481E">
      <w:pPr>
        <w:pStyle w:val="vCoversubtitle"/>
        <w:spacing w:before="6000"/>
      </w:pPr>
      <w:r>
        <w:t xml:space="preserve">DATA REPORT </w:t>
      </w:r>
      <w:r w:rsidRPr="00CE7EDD">
        <w:t>2022–23</w:t>
      </w:r>
    </w:p>
    <w:p w14:paraId="2051D25D" w14:textId="17B94EAD" w:rsidR="00CE7EDD" w:rsidRDefault="00EF45E3" w:rsidP="00EF45E3">
      <w:pPr>
        <w:pStyle w:val="vCovertitle"/>
      </w:pPr>
      <w:r w:rsidRPr="00EF45E3">
        <w:t>Understanding the</w:t>
      </w:r>
      <w:r>
        <w:t xml:space="preserve"> </w:t>
      </w:r>
      <w:r w:rsidRPr="00EF45E3">
        <w:t>discrimination experienced</w:t>
      </w:r>
      <w:r>
        <w:t xml:space="preserve"> </w:t>
      </w:r>
      <w:r w:rsidRPr="00EF45E3">
        <w:t>by First</w:t>
      </w:r>
      <w:r>
        <w:t> </w:t>
      </w:r>
      <w:r w:rsidRPr="00EF45E3">
        <w:t xml:space="preserve">Nations </w:t>
      </w:r>
      <w:proofErr w:type="gramStart"/>
      <w:r w:rsidRPr="00EF45E3">
        <w:t>people</w:t>
      </w:r>
      <w:proofErr w:type="gramEnd"/>
    </w:p>
    <w:p w14:paraId="66448222" w14:textId="77777777" w:rsidR="00D2361B" w:rsidRDefault="00D2361B">
      <w:pPr>
        <w:rPr>
          <w:rFonts w:ascii="Arial Nova Light" w:hAnsi="Arial Nova Light"/>
          <w:sz w:val="20"/>
          <w:szCs w:val="20"/>
        </w:rPr>
      </w:pPr>
      <w:r>
        <w:br w:type="page"/>
      </w:r>
    </w:p>
    <w:p w14:paraId="6B9D6E08" w14:textId="6F343F7F" w:rsidR="00E9152D" w:rsidRDefault="00C52593" w:rsidP="00C52593">
      <w:pPr>
        <w:pStyle w:val="vBodyintroduction"/>
      </w:pPr>
      <w:r w:rsidRPr="00C52593">
        <w:lastRenderedPageBreak/>
        <w:t>Accurate data about the experiences</w:t>
      </w:r>
      <w:r>
        <w:t xml:space="preserve"> </w:t>
      </w:r>
      <w:r w:rsidRPr="00C52593">
        <w:t>of First Nations people is critical</w:t>
      </w:r>
      <w:r>
        <w:t xml:space="preserve"> </w:t>
      </w:r>
      <w:r w:rsidRPr="00C52593">
        <w:t>for ensuring policy decisions and</w:t>
      </w:r>
      <w:r>
        <w:t xml:space="preserve"> </w:t>
      </w:r>
      <w:r w:rsidRPr="00C52593">
        <w:t>public services meet the needs of</w:t>
      </w:r>
      <w:r>
        <w:t xml:space="preserve"> </w:t>
      </w:r>
      <w:r w:rsidRPr="00C52593">
        <w:t>First Nations communities.</w:t>
      </w:r>
      <w:r>
        <w:t xml:space="preserve"> </w:t>
      </w:r>
      <w:r w:rsidRPr="00C52593">
        <w:t>We’ve been working to improve the</w:t>
      </w:r>
      <w:r>
        <w:t xml:space="preserve"> </w:t>
      </w:r>
      <w:r w:rsidRPr="00C52593">
        <w:t>data we collect from our enquiries</w:t>
      </w:r>
      <w:r>
        <w:t xml:space="preserve"> </w:t>
      </w:r>
      <w:r w:rsidRPr="00C52593">
        <w:t>and complaints services and how we</w:t>
      </w:r>
      <w:r>
        <w:t xml:space="preserve"> </w:t>
      </w:r>
      <w:r w:rsidRPr="00C52593">
        <w:t>can share it with other organisations</w:t>
      </w:r>
      <w:r>
        <w:t xml:space="preserve"> </w:t>
      </w:r>
      <w:r w:rsidRPr="00C52593">
        <w:t>serving First Nations people.</w:t>
      </w:r>
      <w:r w:rsidR="00323557" w:rsidRPr="00E9152D">
        <w:rPr>
          <w:lang w:eastAsia="en-AU"/>
        </w:rPr>
        <w:t xml:space="preserve"> </w:t>
      </w:r>
      <w:r>
        <w:t xml:space="preserve"> </w:t>
      </w:r>
    </w:p>
    <w:p w14:paraId="6A56C313" w14:textId="77777777" w:rsidR="00BA0B90" w:rsidRDefault="00BA0B90" w:rsidP="00BA0B90">
      <w:pPr>
        <w:pStyle w:val="vBodytext"/>
      </w:pPr>
      <w:r w:rsidRPr="00BA0B90">
        <w:t>Under our First Nations Data Strategy, we are committed to prioritising privacy</w:t>
      </w:r>
      <w:r>
        <w:t xml:space="preserve"> </w:t>
      </w:r>
      <w:r w:rsidRPr="00BA0B90">
        <w:t>and consent, respecting self-determination and data sovereignty, supporting</w:t>
      </w:r>
      <w:r>
        <w:t xml:space="preserve"> </w:t>
      </w:r>
      <w:r w:rsidRPr="00BA0B90">
        <w:t>cultural rights, and ensuring transparency and accountability.</w:t>
      </w:r>
      <w:r>
        <w:t xml:space="preserve"> </w:t>
      </w:r>
    </w:p>
    <w:p w14:paraId="4E0B87EF" w14:textId="77777777" w:rsidR="00BA0B90" w:rsidRDefault="00BA0B90" w:rsidP="00BA0B90">
      <w:pPr>
        <w:pStyle w:val="vBodytext"/>
      </w:pPr>
      <w:r w:rsidRPr="00BA0B90">
        <w:t>We acknowledge that the complaints and enquiries we have received represent</w:t>
      </w:r>
      <w:r>
        <w:t xml:space="preserve"> </w:t>
      </w:r>
      <w:r w:rsidRPr="00BA0B90">
        <w:t>just a fraction of the instances of discrimination experienced by First Nations</w:t>
      </w:r>
      <w:r>
        <w:t xml:space="preserve"> </w:t>
      </w:r>
      <w:r w:rsidRPr="00BA0B90">
        <w:t>people.</w:t>
      </w:r>
    </w:p>
    <w:p w14:paraId="5108AEF4" w14:textId="77777777" w:rsidR="00BA0B90" w:rsidRDefault="00BA0B90" w:rsidP="00BA0B90">
      <w:pPr>
        <w:pStyle w:val="vBodytext"/>
      </w:pPr>
      <w:r w:rsidRPr="00BA0B90">
        <w:t>This data should not be seen or published as definitive. It is not representative</w:t>
      </w:r>
      <w:r>
        <w:t xml:space="preserve"> </w:t>
      </w:r>
      <w:r w:rsidRPr="00BA0B90">
        <w:t>of all experiences of discrimination experienced by First Nations people.</w:t>
      </w:r>
      <w:r>
        <w:t xml:space="preserve"> </w:t>
      </w:r>
    </w:p>
    <w:p w14:paraId="2E73E512" w14:textId="77777777" w:rsidR="00BA0B90" w:rsidRDefault="00BA0B90" w:rsidP="00BA0B90">
      <w:pPr>
        <w:pStyle w:val="vBodytext"/>
      </w:pPr>
      <w:r w:rsidRPr="00BA0B90">
        <w:t>Even when people know about our services, there are many barriers that may</w:t>
      </w:r>
      <w:r>
        <w:t xml:space="preserve"> </w:t>
      </w:r>
      <w:r w:rsidRPr="00BA0B90">
        <w:t>deter them from reporting what has happened to them. This includes the mistrust</w:t>
      </w:r>
      <w:r>
        <w:t xml:space="preserve"> </w:t>
      </w:r>
      <w:r w:rsidRPr="00BA0B90">
        <w:t>of government services and systems, because of past government policies,</w:t>
      </w:r>
      <w:r>
        <w:t xml:space="preserve"> </w:t>
      </w:r>
      <w:r w:rsidRPr="00BA0B90">
        <w:t>including segregation, displacement, and separation of families. This mistrust</w:t>
      </w:r>
      <w:r>
        <w:t xml:space="preserve"> </w:t>
      </w:r>
      <w:r w:rsidRPr="00BA0B90">
        <w:t>is also from a history of poor complaint handling across public services and</w:t>
      </w:r>
      <w:r>
        <w:t xml:space="preserve"> </w:t>
      </w:r>
      <w:r w:rsidRPr="00BA0B90">
        <w:t>genuine fear that making a complaint will result in retribution.</w:t>
      </w:r>
      <w:r>
        <w:t xml:space="preserve"> </w:t>
      </w:r>
    </w:p>
    <w:p w14:paraId="1EB390CA" w14:textId="77777777" w:rsidR="00BA0B90" w:rsidRDefault="00BA0B90" w:rsidP="00BA0B90">
      <w:pPr>
        <w:pStyle w:val="vBodytext"/>
      </w:pPr>
      <w:r w:rsidRPr="00BA0B90">
        <w:t>In recent years we have made changes to ensure our processes are culturally</w:t>
      </w:r>
      <w:r>
        <w:t xml:space="preserve"> </w:t>
      </w:r>
      <w:r w:rsidRPr="00BA0B90">
        <w:t>appropriate for First Nations people. It will take time and ongoing improvements</w:t>
      </w:r>
      <w:r>
        <w:t xml:space="preserve"> </w:t>
      </w:r>
      <w:r w:rsidRPr="00BA0B90">
        <w:t>to our services to ensure First Nations people continue to come to us to report</w:t>
      </w:r>
      <w:r>
        <w:t xml:space="preserve"> </w:t>
      </w:r>
      <w:r w:rsidRPr="00BA0B90">
        <w:t>their experiences.</w:t>
      </w:r>
      <w:r>
        <w:t xml:space="preserve"> </w:t>
      </w:r>
    </w:p>
    <w:p w14:paraId="786A0022" w14:textId="77777777" w:rsidR="00BA0B90" w:rsidRDefault="00BA0B90" w:rsidP="00BA0B90">
      <w:pPr>
        <w:pStyle w:val="vBodytext"/>
      </w:pPr>
      <w:r w:rsidRPr="00BA0B90">
        <w:t>We also acknowledge that there are some limitations in the data we have</w:t>
      </w:r>
      <w:r>
        <w:t xml:space="preserve"> </w:t>
      </w:r>
      <w:r w:rsidRPr="00BA0B90">
        <w:t>available. While our complaints team started recording whether someone</w:t>
      </w:r>
      <w:r>
        <w:t xml:space="preserve"> </w:t>
      </w:r>
      <w:r w:rsidRPr="00BA0B90">
        <w:t>identified themselves as a First Nations person in 2017–18, we only started asking</w:t>
      </w:r>
      <w:r>
        <w:t xml:space="preserve"> </w:t>
      </w:r>
      <w:r w:rsidRPr="00BA0B90">
        <w:t>this question explicitly in 2019–20. Our previous approach was to minimise the</w:t>
      </w:r>
      <w:r>
        <w:t xml:space="preserve"> </w:t>
      </w:r>
      <w:r w:rsidRPr="00BA0B90">
        <w:t>mandatory questions we ask, but we recognise that providing a culturally safe way</w:t>
      </w:r>
      <w:r>
        <w:t xml:space="preserve"> </w:t>
      </w:r>
      <w:r w:rsidRPr="00BA0B90">
        <w:t>for people to identify as a First Nations person is important for collecting data and</w:t>
      </w:r>
      <w:r>
        <w:t xml:space="preserve"> </w:t>
      </w:r>
      <w:r w:rsidRPr="00BA0B90">
        <w:t>ensuring our service responds to their needs.</w:t>
      </w:r>
      <w:r>
        <w:t xml:space="preserve"> </w:t>
      </w:r>
    </w:p>
    <w:p w14:paraId="6B3535DB" w14:textId="69C652F9" w:rsidR="00BA0B90" w:rsidRDefault="00BA0B90" w:rsidP="00BA0B90">
      <w:pPr>
        <w:pStyle w:val="vBodytext"/>
      </w:pPr>
      <w:r w:rsidRPr="00BA0B90">
        <w:t>We’ll be publishing this data report each year and providing it directly to our key</w:t>
      </w:r>
      <w:r>
        <w:t xml:space="preserve"> </w:t>
      </w:r>
      <w:r w:rsidRPr="00BA0B90">
        <w:t>First Nations stakeholders in the hope that it can identify emerging issues for</w:t>
      </w:r>
      <w:r>
        <w:t xml:space="preserve"> </w:t>
      </w:r>
      <w:r w:rsidRPr="00BA0B90">
        <w:t>First Nations communities and continue to shape effective policies and services.</w:t>
      </w:r>
    </w:p>
    <w:p w14:paraId="565DE39D" w14:textId="77777777" w:rsidR="007060FD" w:rsidRDefault="007060FD">
      <w:pPr>
        <w:rPr>
          <w:rFonts w:ascii="Arial Nova" w:hAnsi="Arial Nova"/>
          <w:b/>
          <w:bCs/>
          <w:sz w:val="34"/>
          <w:szCs w:val="34"/>
        </w:rPr>
      </w:pPr>
      <w:r>
        <w:br w:type="page"/>
      </w:r>
    </w:p>
    <w:p w14:paraId="6EF485DA" w14:textId="696EAFDF" w:rsidR="0008061F" w:rsidRDefault="0008061F" w:rsidP="0008061F">
      <w:pPr>
        <w:pStyle w:val="vHeading3"/>
      </w:pPr>
      <w:r w:rsidRPr="0008061F">
        <w:lastRenderedPageBreak/>
        <w:t>Key findings</w:t>
      </w:r>
    </w:p>
    <w:p w14:paraId="7FB5AC07" w14:textId="77777777" w:rsidR="007B4992" w:rsidRDefault="0008061F" w:rsidP="007B4992">
      <w:pPr>
        <w:pStyle w:val="vBodybullet1"/>
      </w:pPr>
      <w:r w:rsidRPr="0008061F">
        <w:t>157 First Nations people</w:t>
      </w:r>
      <w:r>
        <w:t xml:space="preserve"> </w:t>
      </w:r>
      <w:r w:rsidRPr="0008061F">
        <w:t>have made complaints</w:t>
      </w:r>
      <w:r>
        <w:t xml:space="preserve"> </w:t>
      </w:r>
      <w:r w:rsidRPr="0008061F">
        <w:t>to the Commission</w:t>
      </w:r>
      <w:r>
        <w:t xml:space="preserve"> </w:t>
      </w:r>
      <w:r w:rsidRPr="0008061F">
        <w:t>since 2017–18.</w:t>
      </w:r>
      <w:r>
        <w:t xml:space="preserve"> </w:t>
      </w:r>
    </w:p>
    <w:p w14:paraId="3C7B5247" w14:textId="77777777" w:rsidR="007B4992" w:rsidRDefault="0008061F" w:rsidP="007B4992">
      <w:pPr>
        <w:pStyle w:val="vBodybullet1"/>
      </w:pPr>
      <w:r w:rsidRPr="0008061F">
        <w:t>We’ve received</w:t>
      </w:r>
      <w:r>
        <w:t xml:space="preserve"> </w:t>
      </w:r>
      <w:r w:rsidRPr="0008061F">
        <w:t>187 enquiries</w:t>
      </w:r>
      <w:r>
        <w:t xml:space="preserve"> </w:t>
      </w:r>
      <w:r w:rsidRPr="0008061F">
        <w:t>from First Nations</w:t>
      </w:r>
      <w:r>
        <w:t xml:space="preserve"> </w:t>
      </w:r>
      <w:r w:rsidRPr="0008061F">
        <w:t>people, raising</w:t>
      </w:r>
      <w:r>
        <w:t xml:space="preserve"> </w:t>
      </w:r>
      <w:r w:rsidRPr="0008061F">
        <w:t>329 issues of</w:t>
      </w:r>
      <w:r>
        <w:t xml:space="preserve"> </w:t>
      </w:r>
      <w:r w:rsidRPr="0008061F">
        <w:t>discrimination.</w:t>
      </w:r>
      <w:r>
        <w:t xml:space="preserve"> </w:t>
      </w:r>
    </w:p>
    <w:p w14:paraId="253CE7AA" w14:textId="77777777" w:rsidR="007B4992" w:rsidRDefault="0008061F" w:rsidP="007B4992">
      <w:pPr>
        <w:pStyle w:val="vBodybullet1"/>
      </w:pPr>
      <w:r w:rsidRPr="0008061F">
        <w:t>Racism and disability</w:t>
      </w:r>
      <w:r>
        <w:t xml:space="preserve"> </w:t>
      </w:r>
      <w:r w:rsidRPr="0008061F">
        <w:t>discrimination were</w:t>
      </w:r>
      <w:r>
        <w:t xml:space="preserve"> </w:t>
      </w:r>
      <w:r w:rsidRPr="0008061F">
        <w:t>the most common types</w:t>
      </w:r>
      <w:r>
        <w:t xml:space="preserve"> </w:t>
      </w:r>
      <w:r w:rsidRPr="0008061F">
        <w:t>of discrimination in</w:t>
      </w:r>
      <w:r>
        <w:t xml:space="preserve"> </w:t>
      </w:r>
      <w:r w:rsidRPr="0008061F">
        <w:t>the complaints and</w:t>
      </w:r>
      <w:r>
        <w:t xml:space="preserve"> </w:t>
      </w:r>
      <w:r w:rsidRPr="0008061F">
        <w:t>enquiries we received.</w:t>
      </w:r>
      <w:r>
        <w:t xml:space="preserve"> </w:t>
      </w:r>
    </w:p>
    <w:p w14:paraId="31712B47" w14:textId="77777777" w:rsidR="007B4992" w:rsidRDefault="0008061F" w:rsidP="007B4992">
      <w:pPr>
        <w:pStyle w:val="vBodybullet1"/>
      </w:pPr>
      <w:r w:rsidRPr="0008061F">
        <w:t>The most common places</w:t>
      </w:r>
      <w:r>
        <w:t xml:space="preserve"> </w:t>
      </w:r>
      <w:r w:rsidRPr="0008061F">
        <w:t>where First Nations people</w:t>
      </w:r>
      <w:r>
        <w:t xml:space="preserve"> </w:t>
      </w:r>
      <w:r w:rsidRPr="0008061F">
        <w:t>experienced discrimination</w:t>
      </w:r>
      <w:r>
        <w:t xml:space="preserve"> </w:t>
      </w:r>
      <w:r w:rsidRPr="0008061F">
        <w:t>were in provision of goods</w:t>
      </w:r>
      <w:r>
        <w:t xml:space="preserve"> </w:t>
      </w:r>
      <w:r w:rsidRPr="0008061F">
        <w:t>and services and at work.</w:t>
      </w:r>
      <w:r>
        <w:t xml:space="preserve"> </w:t>
      </w:r>
    </w:p>
    <w:p w14:paraId="605CE0F9" w14:textId="77777777" w:rsidR="007B4992" w:rsidRDefault="0008061F" w:rsidP="007B4992">
      <w:pPr>
        <w:pStyle w:val="vBodybullet1"/>
      </w:pPr>
      <w:r w:rsidRPr="0008061F">
        <w:t>Discrimination against</w:t>
      </w:r>
      <w:r>
        <w:t xml:space="preserve"> </w:t>
      </w:r>
      <w:r w:rsidRPr="0008061F">
        <w:t>First Nations people often</w:t>
      </w:r>
      <w:r>
        <w:t xml:space="preserve"> </w:t>
      </w:r>
      <w:r w:rsidRPr="0008061F">
        <w:t>occurred in interactions</w:t>
      </w:r>
      <w:r>
        <w:t xml:space="preserve"> </w:t>
      </w:r>
      <w:r w:rsidRPr="0008061F">
        <w:t>with retail businesses, real</w:t>
      </w:r>
      <w:r>
        <w:t xml:space="preserve"> </w:t>
      </w:r>
      <w:r w:rsidRPr="0008061F">
        <w:t>estate companies, health</w:t>
      </w:r>
      <w:r>
        <w:t xml:space="preserve"> </w:t>
      </w:r>
      <w:r w:rsidRPr="0008061F">
        <w:t>and medical providers and</w:t>
      </w:r>
      <w:r>
        <w:t xml:space="preserve"> </w:t>
      </w:r>
      <w:r w:rsidRPr="0008061F">
        <w:t>state government agencies.</w:t>
      </w:r>
      <w:r>
        <w:t xml:space="preserve"> </w:t>
      </w:r>
    </w:p>
    <w:p w14:paraId="15A15B30" w14:textId="5D960C25" w:rsidR="0008061F" w:rsidRDefault="0008061F" w:rsidP="007B4992">
      <w:pPr>
        <w:pStyle w:val="vBodybullet1"/>
      </w:pPr>
      <w:r w:rsidRPr="0008061F">
        <w:t>Almost two-thirds</w:t>
      </w:r>
      <w:r>
        <w:t xml:space="preserve"> </w:t>
      </w:r>
      <w:r w:rsidRPr="0008061F">
        <w:t>of First Nations</w:t>
      </w:r>
      <w:r>
        <w:t xml:space="preserve"> </w:t>
      </w:r>
      <w:r w:rsidRPr="0008061F">
        <w:t>complainants (62%)</w:t>
      </w:r>
      <w:r>
        <w:t xml:space="preserve"> </w:t>
      </w:r>
      <w:r w:rsidRPr="0008061F">
        <w:t>were women.</w:t>
      </w:r>
      <w:r>
        <w:t xml:space="preserve"> </w:t>
      </w:r>
    </w:p>
    <w:tbl>
      <w:tblPr>
        <w:tblStyle w:val="VEOHRCsimplegreen"/>
        <w:tblW w:w="0" w:type="auto"/>
        <w:shd w:val="clear" w:color="auto" w:fill="A0EBD7" w:themeFill="accent4" w:themeFillTint="99"/>
        <w:tblLook w:val="04A0" w:firstRow="1" w:lastRow="0" w:firstColumn="1" w:lastColumn="0" w:noHBand="0" w:noVBand="1"/>
      </w:tblPr>
      <w:tblGrid>
        <w:gridCol w:w="9060"/>
      </w:tblGrid>
      <w:tr w:rsidR="006D1E95" w14:paraId="0696EB5D" w14:textId="77777777" w:rsidTr="00347772">
        <w:tc>
          <w:tcPr>
            <w:tcW w:w="9060" w:type="dxa"/>
            <w:shd w:val="clear" w:color="auto" w:fill="A0EBD7" w:themeFill="accent4" w:themeFillTint="99"/>
          </w:tcPr>
          <w:p w14:paraId="6310B4F6" w14:textId="77777777" w:rsidR="000E7E03" w:rsidRPr="000E7E03" w:rsidRDefault="000E7E03" w:rsidP="000E7E03">
            <w:pPr>
              <w:pStyle w:val="vTableboldleft"/>
            </w:pPr>
            <w:r w:rsidRPr="000E7E03">
              <w:t>About our complaints data</w:t>
            </w:r>
          </w:p>
          <w:p w14:paraId="48241CD8" w14:textId="6BA2F09B" w:rsidR="000E7E03" w:rsidRPr="000E7E03" w:rsidRDefault="000E7E03" w:rsidP="000E7E03">
            <w:pPr>
              <w:pStyle w:val="vTabletext"/>
            </w:pPr>
            <w:r w:rsidRPr="000E7E03">
              <w:t>When a person makes a complaint about discrimination, we record some</w:t>
            </w:r>
            <w:r>
              <w:t xml:space="preserve"> </w:t>
            </w:r>
            <w:r w:rsidRPr="000E7E03">
              <w:t>key details including:</w:t>
            </w:r>
          </w:p>
          <w:p w14:paraId="58D0F91D" w14:textId="53E00DDF" w:rsidR="000E7E03" w:rsidRPr="000E7E03" w:rsidRDefault="000E7E03" w:rsidP="000E7E03">
            <w:pPr>
              <w:pStyle w:val="vTablebullet1"/>
            </w:pPr>
            <w:r w:rsidRPr="000E7E03">
              <w:t>what type of discrimination the person experienced – for example, discrimination</w:t>
            </w:r>
            <w:r>
              <w:t xml:space="preserve"> </w:t>
            </w:r>
            <w:r w:rsidRPr="000E7E03">
              <w:t xml:space="preserve">based on race, sex, disability, </w:t>
            </w:r>
            <w:proofErr w:type="gramStart"/>
            <w:r w:rsidRPr="000E7E03">
              <w:t>age</w:t>
            </w:r>
            <w:proofErr w:type="gramEnd"/>
            <w:r w:rsidRPr="000E7E03">
              <w:t xml:space="preserve"> or sexual orientation</w:t>
            </w:r>
            <w:r>
              <w:t xml:space="preserve"> </w:t>
            </w:r>
            <w:r w:rsidRPr="000E7E03">
              <w:t>(these characteristics are known as protected attributes)</w:t>
            </w:r>
          </w:p>
          <w:p w14:paraId="4869DE38" w14:textId="2783C90B" w:rsidR="000E7E03" w:rsidRPr="000E7E03" w:rsidRDefault="000E7E03" w:rsidP="000E7E03">
            <w:pPr>
              <w:pStyle w:val="vTablebullet1"/>
            </w:pPr>
            <w:r w:rsidRPr="000E7E03">
              <w:t>where the discrimination occurred – for example, in employment, in education or</w:t>
            </w:r>
            <w:r w:rsidR="00367D8C">
              <w:t xml:space="preserve"> </w:t>
            </w:r>
            <w:r w:rsidRPr="000E7E03">
              <w:t>in the provision of goods and services (these places are known as areas</w:t>
            </w:r>
            <w:r>
              <w:t xml:space="preserve"> </w:t>
            </w:r>
            <w:r w:rsidRPr="000E7E03">
              <w:t>of public life).</w:t>
            </w:r>
          </w:p>
          <w:p w14:paraId="7F6FFF02" w14:textId="207EE9CE" w:rsidR="006D1E95" w:rsidRPr="006D1E95" w:rsidRDefault="000E7E03" w:rsidP="000E7E03">
            <w:pPr>
              <w:pStyle w:val="vTabletext"/>
            </w:pPr>
            <w:r w:rsidRPr="000E7E03">
              <w:t>A single complaint can include more than one type of discrimination.</w:t>
            </w:r>
          </w:p>
        </w:tc>
      </w:tr>
    </w:tbl>
    <w:p w14:paraId="3F7E699A" w14:textId="77777777" w:rsidR="00367D8C" w:rsidRDefault="008B11FD" w:rsidP="00367D8C">
      <w:pPr>
        <w:pStyle w:val="vHeading3"/>
      </w:pPr>
      <w:r w:rsidRPr="008B11FD">
        <w:t>About our complaints process</w:t>
      </w:r>
    </w:p>
    <w:p w14:paraId="1E533C34" w14:textId="77777777" w:rsidR="00367D8C" w:rsidRDefault="008B11FD" w:rsidP="008B11FD">
      <w:pPr>
        <w:pStyle w:val="vBodytext"/>
      </w:pPr>
      <w:r w:rsidRPr="008B11FD">
        <w:t xml:space="preserve">We can help resolve complaints under two Victorian laws: the </w:t>
      </w:r>
      <w:r w:rsidRPr="00367D8C">
        <w:rPr>
          <w:rStyle w:val="vCharacteritalics"/>
        </w:rPr>
        <w:t>Equal Opportunity Act</w:t>
      </w:r>
      <w:r w:rsidRPr="00367D8C">
        <w:rPr>
          <w:rStyle w:val="vCharacteritalics"/>
        </w:rPr>
        <w:t xml:space="preserve"> </w:t>
      </w:r>
      <w:r w:rsidRPr="00367D8C">
        <w:rPr>
          <w:rStyle w:val="vCharacteritalics"/>
        </w:rPr>
        <w:t>2010</w:t>
      </w:r>
      <w:r w:rsidRPr="008B11FD">
        <w:t xml:space="preserve"> and the </w:t>
      </w:r>
      <w:r w:rsidRPr="00367D8C">
        <w:rPr>
          <w:rStyle w:val="vCharacteritalics"/>
        </w:rPr>
        <w:t>Racial and Religious Tolerance Act 2001</w:t>
      </w:r>
      <w:r w:rsidRPr="008B11FD">
        <w:t>.</w:t>
      </w:r>
      <w:r>
        <w:t xml:space="preserve"> </w:t>
      </w:r>
    </w:p>
    <w:p w14:paraId="06B81DDA" w14:textId="77777777" w:rsidR="00367D8C" w:rsidRDefault="008B11FD" w:rsidP="008B11FD">
      <w:pPr>
        <w:pStyle w:val="vBodytext"/>
      </w:pPr>
      <w:r w:rsidRPr="008B11FD">
        <w:t>Under these laws, anyone (of any age – usually those under 18 are supported by a parent</w:t>
      </w:r>
      <w:r>
        <w:t xml:space="preserve"> </w:t>
      </w:r>
      <w:r w:rsidRPr="008B11FD">
        <w:t>or carer) can make a complaint if they believe they have experienced discrimination,</w:t>
      </w:r>
      <w:r>
        <w:t xml:space="preserve"> </w:t>
      </w:r>
      <w:r w:rsidRPr="008B11FD">
        <w:t>sexual harassment, racial or religious vilification or victimisation.</w:t>
      </w:r>
      <w:r>
        <w:t xml:space="preserve"> </w:t>
      </w:r>
    </w:p>
    <w:p w14:paraId="103F641F" w14:textId="77777777" w:rsidR="00367D8C" w:rsidRDefault="008B11FD" w:rsidP="008B11FD">
      <w:pPr>
        <w:pStyle w:val="vBodytext"/>
      </w:pPr>
      <w:r w:rsidRPr="008B11FD">
        <w:t>Complaints are normally about individual experiences. We can also accept</w:t>
      </w:r>
      <w:r>
        <w:t xml:space="preserve"> </w:t>
      </w:r>
      <w:r w:rsidRPr="008B11FD">
        <w:t>representative complaints which are issues affecting a lot of people, but these are less</w:t>
      </w:r>
      <w:r>
        <w:t xml:space="preserve"> </w:t>
      </w:r>
      <w:r w:rsidRPr="008B11FD">
        <w:t>common. Generally, we may receive up to two of these a year but are yet to receive any</w:t>
      </w:r>
      <w:r>
        <w:t xml:space="preserve"> </w:t>
      </w:r>
      <w:r w:rsidRPr="008B11FD">
        <w:t>representative complaints from First Nations people.</w:t>
      </w:r>
      <w:r>
        <w:t xml:space="preserve"> </w:t>
      </w:r>
    </w:p>
    <w:p w14:paraId="2F5052A0" w14:textId="5DF8416E" w:rsidR="00367D8C" w:rsidRDefault="004405C8" w:rsidP="008B11FD">
      <w:pPr>
        <w:pStyle w:val="vBodytext"/>
      </w:pPr>
      <w:hyperlink r:id="rId11" w:history="1">
        <w:r w:rsidR="008B11FD" w:rsidRPr="004405C8">
          <w:rPr>
            <w:rStyle w:val="Hyperlink"/>
          </w:rPr>
          <w:t>Read more about our complaints process.</w:t>
        </w:r>
      </w:hyperlink>
      <w:r w:rsidR="008B11FD">
        <w:t xml:space="preserve"> </w:t>
      </w:r>
    </w:p>
    <w:p w14:paraId="481406C7" w14:textId="77777777" w:rsidR="004405C8" w:rsidRPr="009365F3" w:rsidRDefault="008B11FD" w:rsidP="00AE541E">
      <w:pPr>
        <w:pStyle w:val="vBodytext"/>
        <w:keepLines/>
        <w:rPr>
          <w:spacing w:val="-2"/>
        </w:rPr>
      </w:pPr>
      <w:r w:rsidRPr="009365F3">
        <w:rPr>
          <w:spacing w:val="-2"/>
        </w:rPr>
        <w:t>Sometimes we become aware of systemic issues, where laws, policies or practices</w:t>
      </w:r>
      <w:r w:rsidRPr="009365F3">
        <w:rPr>
          <w:spacing w:val="-2"/>
        </w:rPr>
        <w:t xml:space="preserve"> </w:t>
      </w:r>
      <w:r w:rsidRPr="009365F3">
        <w:rPr>
          <w:spacing w:val="-2"/>
        </w:rPr>
        <w:t>discriminate against a group of people because of their personal attributes. In those</w:t>
      </w:r>
      <w:r w:rsidRPr="009365F3">
        <w:rPr>
          <w:spacing w:val="-2"/>
        </w:rPr>
        <w:t xml:space="preserve"> </w:t>
      </w:r>
      <w:r w:rsidRPr="009365F3">
        <w:rPr>
          <w:spacing w:val="-2"/>
        </w:rPr>
        <w:t>situations, we may use our investigation function to look at whether the organisation</w:t>
      </w:r>
      <w:r w:rsidRPr="009365F3">
        <w:rPr>
          <w:spacing w:val="-2"/>
        </w:rPr>
        <w:t xml:space="preserve"> </w:t>
      </w:r>
      <w:r w:rsidRPr="009365F3">
        <w:rPr>
          <w:spacing w:val="-2"/>
        </w:rPr>
        <w:t>involved is fulfilling its obligations under the Equal Opportunity Act and recommend</w:t>
      </w:r>
      <w:r w:rsidRPr="009365F3">
        <w:rPr>
          <w:spacing w:val="-2"/>
        </w:rPr>
        <w:t xml:space="preserve"> </w:t>
      </w:r>
      <w:r w:rsidRPr="009365F3">
        <w:rPr>
          <w:spacing w:val="-2"/>
        </w:rPr>
        <w:t>changes to ensure they are treating people fairly.</w:t>
      </w:r>
      <w:r w:rsidRPr="009365F3">
        <w:rPr>
          <w:spacing w:val="-2"/>
        </w:rPr>
        <w:t xml:space="preserve"> </w:t>
      </w:r>
    </w:p>
    <w:p w14:paraId="1B9DE99D" w14:textId="65A4F894" w:rsidR="006D1E95" w:rsidRDefault="004405C8" w:rsidP="008B11FD">
      <w:pPr>
        <w:pStyle w:val="vBodytext"/>
      </w:pPr>
      <w:hyperlink r:id="rId12" w:history="1">
        <w:r w:rsidR="008B11FD" w:rsidRPr="004405C8">
          <w:rPr>
            <w:rStyle w:val="Hyperlink"/>
          </w:rPr>
          <w:t>Read more about our investigations.</w:t>
        </w:r>
      </w:hyperlink>
      <w:r w:rsidR="008B11FD">
        <w:t xml:space="preserve"> </w:t>
      </w:r>
    </w:p>
    <w:p w14:paraId="574C2A1B" w14:textId="77777777" w:rsidR="00301E66" w:rsidRPr="00301E66" w:rsidRDefault="00301E66" w:rsidP="00301E66">
      <w:pPr>
        <w:pStyle w:val="vHeading1"/>
      </w:pPr>
      <w:r w:rsidRPr="00301E66">
        <w:lastRenderedPageBreak/>
        <w:t>Complaints</w:t>
      </w:r>
    </w:p>
    <w:p w14:paraId="0EA2B6A5" w14:textId="27242355" w:rsidR="00301E66" w:rsidRPr="00301E66" w:rsidRDefault="00301E66" w:rsidP="00301E66">
      <w:pPr>
        <w:pStyle w:val="vHeading2"/>
      </w:pPr>
      <w:r w:rsidRPr="00301E66">
        <w:t>How many First Nations people made</w:t>
      </w:r>
      <w:r>
        <w:t xml:space="preserve"> </w:t>
      </w:r>
      <w:r w:rsidRPr="00301E66">
        <w:t>complaints?</w:t>
      </w:r>
    </w:p>
    <w:p w14:paraId="6C6D0BC7" w14:textId="7A81354B" w:rsidR="00301E66" w:rsidRPr="00301E66" w:rsidRDefault="00301E66" w:rsidP="00301E66">
      <w:pPr>
        <w:pStyle w:val="vBodytext"/>
      </w:pPr>
      <w:r w:rsidRPr="00301E66">
        <w:t>Since 2017–18, 157 First Nations people made complaints about discrimination,</w:t>
      </w:r>
      <w:r>
        <w:t xml:space="preserve"> </w:t>
      </w:r>
      <w:r w:rsidRPr="00301E66">
        <w:t xml:space="preserve">sexual </w:t>
      </w:r>
      <w:proofErr w:type="gramStart"/>
      <w:r w:rsidRPr="00301E66">
        <w:t>harassment</w:t>
      </w:r>
      <w:proofErr w:type="gramEnd"/>
      <w:r w:rsidRPr="00301E66">
        <w:t xml:space="preserve"> and victimisation to the Commission.</w:t>
      </w:r>
    </w:p>
    <w:p w14:paraId="3FBD26AF" w14:textId="3DF3334E" w:rsidR="00301E66" w:rsidRDefault="00301E66" w:rsidP="00301E66">
      <w:pPr>
        <w:pStyle w:val="vHeading5"/>
      </w:pPr>
      <w:r w:rsidRPr="00301E66">
        <w:t>Figure 1. First Nations people lodging a complaint with the Commission</w:t>
      </w:r>
      <w:r>
        <w:t xml:space="preserve"> </w:t>
      </w:r>
      <w:r w:rsidRPr="00301E66">
        <w:t>each year, 2017–18 to 2022–</w:t>
      </w:r>
      <w:proofErr w:type="gramStart"/>
      <w:r w:rsidRPr="00301E66">
        <w:t>23</w:t>
      </w:r>
      <w:proofErr w:type="gramEnd"/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71"/>
        <w:gridCol w:w="2693"/>
      </w:tblGrid>
      <w:tr w:rsidR="00301E66" w:rsidRPr="00E06DE3" w14:paraId="1EE25368" w14:textId="77777777" w:rsidTr="00A50151">
        <w:tc>
          <w:tcPr>
            <w:tcW w:w="1271" w:type="dxa"/>
            <w:shd w:val="clear" w:color="auto" w:fill="071C53" w:themeFill="text2"/>
            <w:tcMar>
              <w:top w:w="57" w:type="dxa"/>
              <w:bottom w:w="57" w:type="dxa"/>
            </w:tcMar>
          </w:tcPr>
          <w:p w14:paraId="30F7F699" w14:textId="3FF32B40" w:rsidR="00301E66" w:rsidRPr="00301E66" w:rsidRDefault="00301E66" w:rsidP="00301E66">
            <w:pPr>
              <w:pStyle w:val="vTableheaderleft"/>
            </w:pPr>
            <w:r>
              <w:t>Year</w:t>
            </w:r>
          </w:p>
        </w:tc>
        <w:tc>
          <w:tcPr>
            <w:tcW w:w="2693" w:type="dxa"/>
            <w:shd w:val="clear" w:color="auto" w:fill="071C53" w:themeFill="text2"/>
            <w:tcMar>
              <w:top w:w="57" w:type="dxa"/>
              <w:bottom w:w="57" w:type="dxa"/>
            </w:tcMar>
          </w:tcPr>
          <w:p w14:paraId="33BC238D" w14:textId="3E14D733" w:rsidR="00301E66" w:rsidRPr="00301E66" w:rsidRDefault="00301E66" w:rsidP="00301E66">
            <w:pPr>
              <w:pStyle w:val="vTableheaderright"/>
            </w:pPr>
            <w:r>
              <w:t>Complaints received from First Nations people</w:t>
            </w:r>
          </w:p>
        </w:tc>
      </w:tr>
      <w:tr w:rsidR="00301E66" w:rsidRPr="00E06DE3" w14:paraId="5BDDD429" w14:textId="77777777" w:rsidTr="00A50151">
        <w:tc>
          <w:tcPr>
            <w:tcW w:w="1271" w:type="dxa"/>
            <w:shd w:val="clear" w:color="auto" w:fill="DDDDDD"/>
            <w:tcMar>
              <w:top w:w="57" w:type="dxa"/>
              <w:bottom w:w="57" w:type="dxa"/>
            </w:tcMar>
          </w:tcPr>
          <w:p w14:paraId="31F363D7" w14:textId="65F6CAEF" w:rsidR="00301E66" w:rsidRPr="00301E66" w:rsidRDefault="00301E66" w:rsidP="00301E66">
            <w:pPr>
              <w:pStyle w:val="vTabletext"/>
            </w:pPr>
            <w:r>
              <w:t>2017–18</w:t>
            </w:r>
          </w:p>
        </w:tc>
        <w:tc>
          <w:tcPr>
            <w:tcW w:w="2693" w:type="dxa"/>
            <w:shd w:val="clear" w:color="auto" w:fill="DDDDDD"/>
            <w:tcMar>
              <w:top w:w="57" w:type="dxa"/>
              <w:bottom w:w="57" w:type="dxa"/>
            </w:tcMar>
          </w:tcPr>
          <w:p w14:paraId="614A06B2" w14:textId="14E331F2" w:rsidR="00301E66" w:rsidRPr="00301E66" w:rsidRDefault="00A50151" w:rsidP="00A50151">
            <w:pPr>
              <w:pStyle w:val="vTabletextright"/>
            </w:pPr>
            <w:r>
              <w:t>12</w:t>
            </w:r>
          </w:p>
        </w:tc>
      </w:tr>
      <w:tr w:rsidR="00301E66" w:rsidRPr="00E06DE3" w14:paraId="67EA5372" w14:textId="77777777" w:rsidTr="00A50151">
        <w:tc>
          <w:tcPr>
            <w:tcW w:w="1271" w:type="dxa"/>
            <w:shd w:val="clear" w:color="auto" w:fill="DDDDDD"/>
            <w:tcMar>
              <w:top w:w="57" w:type="dxa"/>
              <w:bottom w:w="57" w:type="dxa"/>
            </w:tcMar>
          </w:tcPr>
          <w:p w14:paraId="68211251" w14:textId="296F43E5" w:rsidR="00301E66" w:rsidRPr="00301E66" w:rsidRDefault="00301E66" w:rsidP="00301E66">
            <w:pPr>
              <w:pStyle w:val="vTabletext"/>
            </w:pPr>
            <w:r>
              <w:t>2018–19</w:t>
            </w:r>
          </w:p>
        </w:tc>
        <w:tc>
          <w:tcPr>
            <w:tcW w:w="2693" w:type="dxa"/>
            <w:shd w:val="clear" w:color="auto" w:fill="DDDDDD"/>
            <w:tcMar>
              <w:top w:w="57" w:type="dxa"/>
              <w:bottom w:w="57" w:type="dxa"/>
            </w:tcMar>
          </w:tcPr>
          <w:p w14:paraId="57C89D11" w14:textId="736CB76C" w:rsidR="00301E66" w:rsidRPr="00301E66" w:rsidRDefault="00A50151" w:rsidP="00A50151">
            <w:pPr>
              <w:pStyle w:val="vTabletextright"/>
            </w:pPr>
            <w:r>
              <w:t>20</w:t>
            </w:r>
          </w:p>
        </w:tc>
      </w:tr>
      <w:tr w:rsidR="00301E66" w:rsidRPr="00E06DE3" w14:paraId="154C7448" w14:textId="77777777" w:rsidTr="00A50151">
        <w:tc>
          <w:tcPr>
            <w:tcW w:w="1271" w:type="dxa"/>
            <w:shd w:val="clear" w:color="auto" w:fill="DDDDDD"/>
            <w:tcMar>
              <w:top w:w="57" w:type="dxa"/>
              <w:bottom w:w="57" w:type="dxa"/>
            </w:tcMar>
          </w:tcPr>
          <w:p w14:paraId="47AD4267" w14:textId="7EFD7BB2" w:rsidR="00301E66" w:rsidRPr="00301E66" w:rsidRDefault="00301E66" w:rsidP="00301E66">
            <w:pPr>
              <w:pStyle w:val="vTabletext"/>
            </w:pPr>
            <w:r>
              <w:t>2019–20</w:t>
            </w:r>
          </w:p>
        </w:tc>
        <w:tc>
          <w:tcPr>
            <w:tcW w:w="2693" w:type="dxa"/>
            <w:shd w:val="clear" w:color="auto" w:fill="DDDDDD"/>
            <w:tcMar>
              <w:top w:w="57" w:type="dxa"/>
              <w:bottom w:w="57" w:type="dxa"/>
            </w:tcMar>
          </w:tcPr>
          <w:p w14:paraId="5CD93ED6" w14:textId="32CA033C" w:rsidR="00301E66" w:rsidRPr="00301E66" w:rsidRDefault="00A50151" w:rsidP="00A50151">
            <w:pPr>
              <w:pStyle w:val="vTabletextright"/>
            </w:pPr>
            <w:r>
              <w:t>19</w:t>
            </w:r>
          </w:p>
        </w:tc>
      </w:tr>
      <w:tr w:rsidR="00301E66" w:rsidRPr="00E06DE3" w14:paraId="2B626AC9" w14:textId="77777777" w:rsidTr="00A50151">
        <w:tc>
          <w:tcPr>
            <w:tcW w:w="1271" w:type="dxa"/>
            <w:shd w:val="clear" w:color="auto" w:fill="DDDDDD"/>
            <w:tcMar>
              <w:top w:w="57" w:type="dxa"/>
              <w:bottom w:w="57" w:type="dxa"/>
            </w:tcMar>
          </w:tcPr>
          <w:p w14:paraId="2E8453D1" w14:textId="6176841D" w:rsidR="00301E66" w:rsidRPr="00301E66" w:rsidRDefault="00301E66" w:rsidP="00301E66">
            <w:pPr>
              <w:pStyle w:val="vTabletext"/>
            </w:pPr>
            <w:r>
              <w:t>2020–21</w:t>
            </w:r>
          </w:p>
        </w:tc>
        <w:tc>
          <w:tcPr>
            <w:tcW w:w="2693" w:type="dxa"/>
            <w:shd w:val="clear" w:color="auto" w:fill="DDDDDD"/>
            <w:tcMar>
              <w:top w:w="57" w:type="dxa"/>
              <w:bottom w:w="57" w:type="dxa"/>
            </w:tcMar>
          </w:tcPr>
          <w:p w14:paraId="2590498D" w14:textId="6E597CD9" w:rsidR="00301E66" w:rsidRPr="00301E66" w:rsidRDefault="00A50151" w:rsidP="00A50151">
            <w:pPr>
              <w:pStyle w:val="vTabletextright"/>
            </w:pPr>
            <w:r>
              <w:t>23</w:t>
            </w:r>
          </w:p>
        </w:tc>
      </w:tr>
      <w:tr w:rsidR="00301E66" w:rsidRPr="00E06DE3" w14:paraId="37524C11" w14:textId="77777777" w:rsidTr="00A50151">
        <w:tc>
          <w:tcPr>
            <w:tcW w:w="1271" w:type="dxa"/>
            <w:shd w:val="clear" w:color="auto" w:fill="DDDDDD"/>
            <w:tcMar>
              <w:top w:w="57" w:type="dxa"/>
              <w:bottom w:w="57" w:type="dxa"/>
            </w:tcMar>
          </w:tcPr>
          <w:p w14:paraId="1A8E4787" w14:textId="1047B1EE" w:rsidR="00301E66" w:rsidRPr="00301E66" w:rsidRDefault="00301E66" w:rsidP="00301E66">
            <w:pPr>
              <w:pStyle w:val="vTabletext"/>
            </w:pPr>
            <w:r>
              <w:t>2021–22</w:t>
            </w:r>
          </w:p>
        </w:tc>
        <w:tc>
          <w:tcPr>
            <w:tcW w:w="2693" w:type="dxa"/>
            <w:shd w:val="clear" w:color="auto" w:fill="DDDDDD"/>
            <w:tcMar>
              <w:top w:w="57" w:type="dxa"/>
              <w:bottom w:w="57" w:type="dxa"/>
            </w:tcMar>
          </w:tcPr>
          <w:p w14:paraId="5F5ABEB0" w14:textId="706F6E20" w:rsidR="00301E66" w:rsidRPr="00301E66" w:rsidRDefault="00A50151" w:rsidP="00A50151">
            <w:pPr>
              <w:pStyle w:val="vTabletextright"/>
            </w:pPr>
            <w:r>
              <w:t>42</w:t>
            </w:r>
          </w:p>
        </w:tc>
      </w:tr>
      <w:tr w:rsidR="00301E66" w:rsidRPr="00E06DE3" w14:paraId="51D23F44" w14:textId="77777777" w:rsidTr="00A50151">
        <w:tc>
          <w:tcPr>
            <w:tcW w:w="1271" w:type="dxa"/>
            <w:shd w:val="clear" w:color="auto" w:fill="DDDDDD"/>
            <w:tcMar>
              <w:top w:w="57" w:type="dxa"/>
              <w:bottom w:w="57" w:type="dxa"/>
            </w:tcMar>
          </w:tcPr>
          <w:p w14:paraId="0A4B1CF8" w14:textId="571C44DF" w:rsidR="00301E66" w:rsidRPr="00301E66" w:rsidRDefault="00301E66" w:rsidP="00301E66">
            <w:pPr>
              <w:pStyle w:val="vTabletext"/>
            </w:pPr>
            <w:r>
              <w:t>2022–23</w:t>
            </w:r>
          </w:p>
        </w:tc>
        <w:tc>
          <w:tcPr>
            <w:tcW w:w="2693" w:type="dxa"/>
            <w:shd w:val="clear" w:color="auto" w:fill="DDDDDD"/>
            <w:tcMar>
              <w:top w:w="57" w:type="dxa"/>
              <w:bottom w:w="57" w:type="dxa"/>
            </w:tcMar>
          </w:tcPr>
          <w:p w14:paraId="7EA317BA" w14:textId="3278B3C3" w:rsidR="00301E66" w:rsidRPr="00301E66" w:rsidRDefault="00A50151" w:rsidP="00A50151">
            <w:pPr>
              <w:pStyle w:val="vTabletextright"/>
            </w:pPr>
            <w:r>
              <w:t>41</w:t>
            </w:r>
          </w:p>
        </w:tc>
      </w:tr>
    </w:tbl>
    <w:p w14:paraId="1166DE9E" w14:textId="5BCD93E1" w:rsidR="0017691C" w:rsidRPr="0017691C" w:rsidRDefault="0017691C" w:rsidP="002A3857">
      <w:pPr>
        <w:pStyle w:val="vHeading2"/>
        <w:keepNext/>
      </w:pPr>
      <w:r w:rsidRPr="0017691C">
        <w:t>What types of discrimination did First Nations</w:t>
      </w:r>
      <w:r>
        <w:t xml:space="preserve"> </w:t>
      </w:r>
      <w:r w:rsidRPr="0017691C">
        <w:t>people experience?</w:t>
      </w:r>
    </w:p>
    <w:p w14:paraId="3B020E1B" w14:textId="37AF28EA" w:rsidR="0017691C" w:rsidRPr="0017691C" w:rsidRDefault="0017691C" w:rsidP="002A3857">
      <w:pPr>
        <w:pStyle w:val="vBodytext"/>
        <w:keepNext/>
      </w:pPr>
      <w:r w:rsidRPr="0017691C">
        <w:t>Since 2017–18, disability discrimination (35% of issues raised in complaints) and</w:t>
      </w:r>
      <w:r>
        <w:t xml:space="preserve"> </w:t>
      </w:r>
      <w:r w:rsidRPr="0017691C">
        <w:t>race discrimination (21%) were the most common issues that First Nations people</w:t>
      </w:r>
      <w:r>
        <w:t xml:space="preserve"> </w:t>
      </w:r>
      <w:r w:rsidRPr="0017691C">
        <w:t>raised in complaints.</w:t>
      </w:r>
    </w:p>
    <w:p w14:paraId="543B49D6" w14:textId="4391D17A" w:rsidR="00301E66" w:rsidRDefault="0017691C" w:rsidP="009365F3">
      <w:pPr>
        <w:pStyle w:val="vHeading5"/>
        <w:keepLines/>
      </w:pPr>
      <w:r w:rsidRPr="0017691C">
        <w:t>Figure 2. Most common issues raised in complaints from First Nations people,</w:t>
      </w:r>
      <w:r>
        <w:t xml:space="preserve"> </w:t>
      </w:r>
      <w:r w:rsidRPr="0017691C">
        <w:t>2017–18 to 2022–</w:t>
      </w:r>
      <w:proofErr w:type="gramStart"/>
      <w:r w:rsidRPr="0017691C">
        <w:t>23</w:t>
      </w:r>
      <w:proofErr w:type="gramEnd"/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22"/>
        <w:gridCol w:w="2693"/>
      </w:tblGrid>
      <w:tr w:rsidR="0017691C" w:rsidRPr="00E06DE3" w14:paraId="648BAF61" w14:textId="77777777" w:rsidTr="00AF4709">
        <w:tc>
          <w:tcPr>
            <w:tcW w:w="2122" w:type="dxa"/>
            <w:shd w:val="clear" w:color="auto" w:fill="071C53" w:themeFill="text2"/>
            <w:tcMar>
              <w:top w:w="57" w:type="dxa"/>
              <w:bottom w:w="57" w:type="dxa"/>
            </w:tcMar>
          </w:tcPr>
          <w:p w14:paraId="213D9FEE" w14:textId="73B807F1" w:rsidR="0017691C" w:rsidRPr="0017691C" w:rsidRDefault="0017691C" w:rsidP="009365F3">
            <w:pPr>
              <w:pStyle w:val="vTableheaderleft"/>
              <w:keepLines/>
            </w:pPr>
            <w:r>
              <w:t>Attribute</w:t>
            </w:r>
            <w:r w:rsidR="000D7459">
              <w:t xml:space="preserve"> or behaviour</w:t>
            </w:r>
          </w:p>
        </w:tc>
        <w:tc>
          <w:tcPr>
            <w:tcW w:w="2693" w:type="dxa"/>
            <w:shd w:val="clear" w:color="auto" w:fill="071C53" w:themeFill="text2"/>
            <w:tcMar>
              <w:top w:w="57" w:type="dxa"/>
              <w:bottom w:w="57" w:type="dxa"/>
            </w:tcMar>
          </w:tcPr>
          <w:p w14:paraId="542D2FB2" w14:textId="30A6679F" w:rsidR="0017691C" w:rsidRPr="0017691C" w:rsidRDefault="000D7459" w:rsidP="009365F3">
            <w:pPr>
              <w:pStyle w:val="vTableheaderright"/>
              <w:keepLines/>
            </w:pPr>
            <w:r>
              <w:t>Proportion of complaints from First Nations people</w:t>
            </w:r>
          </w:p>
        </w:tc>
      </w:tr>
      <w:tr w:rsidR="0017691C" w:rsidRPr="00E06DE3" w14:paraId="31327E54" w14:textId="77777777" w:rsidTr="00AF4709">
        <w:tc>
          <w:tcPr>
            <w:tcW w:w="2122" w:type="dxa"/>
            <w:shd w:val="clear" w:color="auto" w:fill="DDDDDD"/>
            <w:tcMar>
              <w:top w:w="57" w:type="dxa"/>
              <w:bottom w:w="57" w:type="dxa"/>
            </w:tcMar>
          </w:tcPr>
          <w:p w14:paraId="5DD415C5" w14:textId="43A5EEE8" w:rsidR="0017691C" w:rsidRPr="0017691C" w:rsidRDefault="000D7459" w:rsidP="009365F3">
            <w:pPr>
              <w:pStyle w:val="vTabletext"/>
              <w:keepLines/>
            </w:pPr>
            <w:r>
              <w:t>Disability</w:t>
            </w:r>
          </w:p>
        </w:tc>
        <w:tc>
          <w:tcPr>
            <w:tcW w:w="2693" w:type="dxa"/>
            <w:shd w:val="clear" w:color="auto" w:fill="DDDDDD"/>
            <w:tcMar>
              <w:top w:w="57" w:type="dxa"/>
              <w:bottom w:w="57" w:type="dxa"/>
            </w:tcMar>
          </w:tcPr>
          <w:p w14:paraId="2C54183C" w14:textId="3D5D5123" w:rsidR="0017691C" w:rsidRPr="0017691C" w:rsidRDefault="000D7459" w:rsidP="009365F3">
            <w:pPr>
              <w:pStyle w:val="vTabletextright"/>
              <w:keepLines/>
            </w:pPr>
            <w:r>
              <w:t>35%</w:t>
            </w:r>
          </w:p>
        </w:tc>
      </w:tr>
      <w:tr w:rsidR="0017691C" w:rsidRPr="00E06DE3" w14:paraId="59DE0318" w14:textId="77777777" w:rsidTr="00AF4709">
        <w:tc>
          <w:tcPr>
            <w:tcW w:w="2122" w:type="dxa"/>
            <w:shd w:val="clear" w:color="auto" w:fill="DDDDDD"/>
            <w:tcMar>
              <w:top w:w="57" w:type="dxa"/>
              <w:bottom w:w="57" w:type="dxa"/>
            </w:tcMar>
          </w:tcPr>
          <w:p w14:paraId="79252FC2" w14:textId="1CE08752" w:rsidR="0017691C" w:rsidRPr="0017691C" w:rsidRDefault="000D7459" w:rsidP="009365F3">
            <w:pPr>
              <w:pStyle w:val="vTabletext"/>
              <w:keepLines/>
            </w:pPr>
            <w:r>
              <w:t>Race</w:t>
            </w:r>
          </w:p>
        </w:tc>
        <w:tc>
          <w:tcPr>
            <w:tcW w:w="2693" w:type="dxa"/>
            <w:shd w:val="clear" w:color="auto" w:fill="DDDDDD"/>
            <w:tcMar>
              <w:top w:w="57" w:type="dxa"/>
              <w:bottom w:w="57" w:type="dxa"/>
            </w:tcMar>
          </w:tcPr>
          <w:p w14:paraId="22A61E1D" w14:textId="50C18E95" w:rsidR="0017691C" w:rsidRPr="0017691C" w:rsidRDefault="000D7459" w:rsidP="009365F3">
            <w:pPr>
              <w:pStyle w:val="vTabletextright"/>
              <w:keepLines/>
            </w:pPr>
            <w:r>
              <w:t>21%</w:t>
            </w:r>
          </w:p>
        </w:tc>
      </w:tr>
      <w:tr w:rsidR="0017691C" w:rsidRPr="00E06DE3" w14:paraId="0905BBE5" w14:textId="77777777" w:rsidTr="00AF4709">
        <w:tc>
          <w:tcPr>
            <w:tcW w:w="2122" w:type="dxa"/>
            <w:shd w:val="clear" w:color="auto" w:fill="DDDDDD"/>
            <w:tcMar>
              <w:top w:w="57" w:type="dxa"/>
              <w:bottom w:w="57" w:type="dxa"/>
            </w:tcMar>
          </w:tcPr>
          <w:p w14:paraId="35299147" w14:textId="35A85F47" w:rsidR="0017691C" w:rsidRPr="00301E66" w:rsidRDefault="000D7459" w:rsidP="008674F4">
            <w:pPr>
              <w:pStyle w:val="vTabletext"/>
            </w:pPr>
            <w:r>
              <w:t>Victimisation</w:t>
            </w:r>
          </w:p>
        </w:tc>
        <w:tc>
          <w:tcPr>
            <w:tcW w:w="2693" w:type="dxa"/>
            <w:shd w:val="clear" w:color="auto" w:fill="DDDDDD"/>
            <w:tcMar>
              <w:top w:w="57" w:type="dxa"/>
              <w:bottom w:w="57" w:type="dxa"/>
            </w:tcMar>
          </w:tcPr>
          <w:p w14:paraId="16B7174E" w14:textId="3E496744" w:rsidR="0017691C" w:rsidRPr="00301E66" w:rsidRDefault="000D7459" w:rsidP="008674F4">
            <w:pPr>
              <w:pStyle w:val="vTabletextright"/>
            </w:pPr>
            <w:r>
              <w:t>9%</w:t>
            </w:r>
          </w:p>
        </w:tc>
      </w:tr>
      <w:tr w:rsidR="0017691C" w:rsidRPr="00E06DE3" w14:paraId="052C3DC2" w14:textId="77777777" w:rsidTr="00AF4709">
        <w:tc>
          <w:tcPr>
            <w:tcW w:w="2122" w:type="dxa"/>
            <w:shd w:val="clear" w:color="auto" w:fill="DDDDDD"/>
            <w:tcMar>
              <w:top w:w="57" w:type="dxa"/>
              <w:bottom w:w="57" w:type="dxa"/>
            </w:tcMar>
          </w:tcPr>
          <w:p w14:paraId="3C05E847" w14:textId="585218E4" w:rsidR="0017691C" w:rsidRPr="00301E66" w:rsidRDefault="000D7459" w:rsidP="008674F4">
            <w:pPr>
              <w:pStyle w:val="vTabletext"/>
            </w:pPr>
            <w:r>
              <w:lastRenderedPageBreak/>
              <w:t>Age</w:t>
            </w:r>
          </w:p>
        </w:tc>
        <w:tc>
          <w:tcPr>
            <w:tcW w:w="2693" w:type="dxa"/>
            <w:shd w:val="clear" w:color="auto" w:fill="DDDDDD"/>
            <w:tcMar>
              <w:top w:w="57" w:type="dxa"/>
              <w:bottom w:w="57" w:type="dxa"/>
            </w:tcMar>
          </w:tcPr>
          <w:p w14:paraId="49ACCC73" w14:textId="3CCCDB10" w:rsidR="0017691C" w:rsidRPr="00301E66" w:rsidRDefault="00AF4709" w:rsidP="008674F4">
            <w:pPr>
              <w:pStyle w:val="vTabletextright"/>
            </w:pPr>
            <w:r>
              <w:t>6%</w:t>
            </w:r>
          </w:p>
        </w:tc>
      </w:tr>
      <w:tr w:rsidR="0017691C" w:rsidRPr="00E06DE3" w14:paraId="5A526488" w14:textId="77777777" w:rsidTr="00AF4709">
        <w:tc>
          <w:tcPr>
            <w:tcW w:w="2122" w:type="dxa"/>
            <w:shd w:val="clear" w:color="auto" w:fill="DDDDDD"/>
            <w:tcMar>
              <w:top w:w="57" w:type="dxa"/>
              <w:bottom w:w="57" w:type="dxa"/>
            </w:tcMar>
          </w:tcPr>
          <w:p w14:paraId="0D49F71F" w14:textId="178F56E8" w:rsidR="0017691C" w:rsidRPr="00301E66" w:rsidRDefault="00AF4709" w:rsidP="008674F4">
            <w:pPr>
              <w:pStyle w:val="vTabletext"/>
            </w:pPr>
            <w:r>
              <w:t>Employment activity</w:t>
            </w:r>
          </w:p>
        </w:tc>
        <w:tc>
          <w:tcPr>
            <w:tcW w:w="2693" w:type="dxa"/>
            <w:shd w:val="clear" w:color="auto" w:fill="DDDDDD"/>
            <w:tcMar>
              <w:top w:w="57" w:type="dxa"/>
              <w:bottom w:w="57" w:type="dxa"/>
            </w:tcMar>
          </w:tcPr>
          <w:p w14:paraId="699A2A37" w14:textId="06A13C8B" w:rsidR="0017691C" w:rsidRPr="00301E66" w:rsidRDefault="00AF4709" w:rsidP="008674F4">
            <w:pPr>
              <w:pStyle w:val="vTabletextright"/>
            </w:pPr>
            <w:r>
              <w:t>6%</w:t>
            </w:r>
          </w:p>
        </w:tc>
      </w:tr>
      <w:tr w:rsidR="0017691C" w:rsidRPr="00E06DE3" w14:paraId="27ABD9B3" w14:textId="77777777" w:rsidTr="00AF4709">
        <w:tc>
          <w:tcPr>
            <w:tcW w:w="2122" w:type="dxa"/>
            <w:shd w:val="clear" w:color="auto" w:fill="DDDDDD"/>
            <w:tcMar>
              <w:top w:w="57" w:type="dxa"/>
              <w:bottom w:w="57" w:type="dxa"/>
            </w:tcMar>
          </w:tcPr>
          <w:p w14:paraId="25E7AC78" w14:textId="4F3213A5" w:rsidR="0017691C" w:rsidRPr="00301E66" w:rsidRDefault="00AF4709" w:rsidP="008674F4">
            <w:pPr>
              <w:pStyle w:val="vTabletext"/>
            </w:pPr>
            <w:r>
              <w:t>Other attributes</w:t>
            </w:r>
          </w:p>
        </w:tc>
        <w:tc>
          <w:tcPr>
            <w:tcW w:w="2693" w:type="dxa"/>
            <w:shd w:val="clear" w:color="auto" w:fill="DDDDDD"/>
            <w:tcMar>
              <w:top w:w="57" w:type="dxa"/>
              <w:bottom w:w="57" w:type="dxa"/>
            </w:tcMar>
          </w:tcPr>
          <w:p w14:paraId="43D0431F" w14:textId="11F2B20B" w:rsidR="0017691C" w:rsidRPr="00301E66" w:rsidRDefault="00AF4709" w:rsidP="008674F4">
            <w:pPr>
              <w:pStyle w:val="vTabletextright"/>
            </w:pPr>
            <w:r>
              <w:t>23%</w:t>
            </w:r>
          </w:p>
        </w:tc>
      </w:tr>
    </w:tbl>
    <w:p w14:paraId="0A463137" w14:textId="113091FF" w:rsidR="00083CC6" w:rsidRPr="00083CC6" w:rsidRDefault="00083CC6" w:rsidP="00083CC6">
      <w:pPr>
        <w:pStyle w:val="vHeading2"/>
      </w:pPr>
      <w:r w:rsidRPr="00083CC6">
        <w:t>Where did First Nations people</w:t>
      </w:r>
      <w:r>
        <w:t xml:space="preserve"> </w:t>
      </w:r>
      <w:r w:rsidRPr="00083CC6">
        <w:t>experience discrimination?</w:t>
      </w:r>
    </w:p>
    <w:p w14:paraId="7A541582" w14:textId="41DAB551" w:rsidR="0017691C" w:rsidRDefault="00083CC6" w:rsidP="00083CC6">
      <w:pPr>
        <w:pStyle w:val="vHeading5"/>
      </w:pPr>
      <w:r w:rsidRPr="00083CC6">
        <w:t>Figure 3. Where First Nations people making complaints are located across the state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256"/>
        <w:gridCol w:w="2693"/>
      </w:tblGrid>
      <w:tr w:rsidR="00083CC6" w:rsidRPr="00E06DE3" w14:paraId="6EBFE7A9" w14:textId="77777777" w:rsidTr="00B27A69">
        <w:tc>
          <w:tcPr>
            <w:tcW w:w="3256" w:type="dxa"/>
            <w:shd w:val="clear" w:color="auto" w:fill="071C53" w:themeFill="text2"/>
            <w:tcMar>
              <w:top w:w="57" w:type="dxa"/>
              <w:bottom w:w="57" w:type="dxa"/>
            </w:tcMar>
          </w:tcPr>
          <w:p w14:paraId="2C3BFC03" w14:textId="25FDE1CF" w:rsidR="00083CC6" w:rsidRPr="00083CC6" w:rsidRDefault="00083CC6" w:rsidP="00083CC6">
            <w:pPr>
              <w:pStyle w:val="vTableheaderleft"/>
            </w:pPr>
            <w:r>
              <w:t>Area</w:t>
            </w:r>
          </w:p>
        </w:tc>
        <w:tc>
          <w:tcPr>
            <w:tcW w:w="2693" w:type="dxa"/>
            <w:shd w:val="clear" w:color="auto" w:fill="071C53" w:themeFill="text2"/>
            <w:tcMar>
              <w:top w:w="57" w:type="dxa"/>
              <w:bottom w:w="57" w:type="dxa"/>
            </w:tcMar>
          </w:tcPr>
          <w:p w14:paraId="143FCD9E" w14:textId="1AD836FB" w:rsidR="00083CC6" w:rsidRPr="00083CC6" w:rsidRDefault="00083CC6" w:rsidP="00083CC6">
            <w:pPr>
              <w:pStyle w:val="vTableheaderright"/>
            </w:pPr>
            <w:r>
              <w:t>Proportion of complaints from First Nations people</w:t>
            </w:r>
          </w:p>
        </w:tc>
      </w:tr>
      <w:tr w:rsidR="00083CC6" w:rsidRPr="00E06DE3" w14:paraId="54A2E206" w14:textId="77777777" w:rsidTr="00B27A69">
        <w:tc>
          <w:tcPr>
            <w:tcW w:w="3256" w:type="dxa"/>
            <w:shd w:val="clear" w:color="auto" w:fill="DDDDDD"/>
            <w:tcMar>
              <w:top w:w="57" w:type="dxa"/>
              <w:bottom w:w="57" w:type="dxa"/>
            </w:tcMar>
          </w:tcPr>
          <w:p w14:paraId="53272040" w14:textId="23DBF2A1" w:rsidR="00083CC6" w:rsidRPr="00083CC6" w:rsidRDefault="00083CC6" w:rsidP="00083CC6">
            <w:pPr>
              <w:pStyle w:val="vTabletext"/>
            </w:pPr>
            <w:r>
              <w:t>Greater Melbourne and Geelong</w:t>
            </w:r>
          </w:p>
        </w:tc>
        <w:tc>
          <w:tcPr>
            <w:tcW w:w="2693" w:type="dxa"/>
            <w:shd w:val="clear" w:color="auto" w:fill="DDDDDD"/>
            <w:tcMar>
              <w:top w:w="57" w:type="dxa"/>
              <w:bottom w:w="57" w:type="dxa"/>
            </w:tcMar>
          </w:tcPr>
          <w:p w14:paraId="1F0D19C8" w14:textId="15EB6164" w:rsidR="00083CC6" w:rsidRPr="00083CC6" w:rsidRDefault="00083CC6" w:rsidP="00083CC6">
            <w:pPr>
              <w:pStyle w:val="vTabletextright"/>
            </w:pPr>
            <w:r>
              <w:t>51.5%</w:t>
            </w:r>
          </w:p>
        </w:tc>
      </w:tr>
      <w:tr w:rsidR="00083CC6" w:rsidRPr="00E06DE3" w14:paraId="13211A48" w14:textId="77777777" w:rsidTr="00B27A69">
        <w:tc>
          <w:tcPr>
            <w:tcW w:w="3256" w:type="dxa"/>
            <w:shd w:val="clear" w:color="auto" w:fill="DDDDDD"/>
            <w:tcMar>
              <w:top w:w="57" w:type="dxa"/>
              <w:bottom w:w="57" w:type="dxa"/>
            </w:tcMar>
          </w:tcPr>
          <w:p w14:paraId="07C5EE41" w14:textId="142D843B" w:rsidR="00083CC6" w:rsidRPr="00083CC6" w:rsidRDefault="008351A3" w:rsidP="00083CC6">
            <w:pPr>
              <w:pStyle w:val="vTabletext"/>
            </w:pPr>
            <w:r>
              <w:t>Regional and rural Victoria</w:t>
            </w:r>
          </w:p>
        </w:tc>
        <w:tc>
          <w:tcPr>
            <w:tcW w:w="2693" w:type="dxa"/>
            <w:shd w:val="clear" w:color="auto" w:fill="DDDDDD"/>
            <w:tcMar>
              <w:top w:w="57" w:type="dxa"/>
              <w:bottom w:w="57" w:type="dxa"/>
            </w:tcMar>
          </w:tcPr>
          <w:p w14:paraId="4F51E092" w14:textId="0D752353" w:rsidR="00083CC6" w:rsidRPr="00083CC6" w:rsidRDefault="008351A3" w:rsidP="00083CC6">
            <w:pPr>
              <w:pStyle w:val="vTabletextright"/>
            </w:pPr>
            <w:r>
              <w:t>44.1%</w:t>
            </w:r>
          </w:p>
        </w:tc>
      </w:tr>
      <w:tr w:rsidR="00083CC6" w:rsidRPr="00E06DE3" w14:paraId="2BE30873" w14:textId="77777777" w:rsidTr="00B27A69">
        <w:tc>
          <w:tcPr>
            <w:tcW w:w="3256" w:type="dxa"/>
            <w:shd w:val="clear" w:color="auto" w:fill="DDDDDD"/>
            <w:tcMar>
              <w:top w:w="57" w:type="dxa"/>
              <w:bottom w:w="57" w:type="dxa"/>
            </w:tcMar>
          </w:tcPr>
          <w:p w14:paraId="77F9FC71" w14:textId="005D99A4" w:rsidR="00083CC6" w:rsidRPr="00301E66" w:rsidRDefault="008351A3" w:rsidP="008674F4">
            <w:pPr>
              <w:pStyle w:val="vTabletext"/>
            </w:pPr>
            <w:r>
              <w:t>Interstate</w:t>
            </w:r>
          </w:p>
        </w:tc>
        <w:tc>
          <w:tcPr>
            <w:tcW w:w="2693" w:type="dxa"/>
            <w:shd w:val="clear" w:color="auto" w:fill="DDDDDD"/>
            <w:tcMar>
              <w:top w:w="57" w:type="dxa"/>
              <w:bottom w:w="57" w:type="dxa"/>
            </w:tcMar>
          </w:tcPr>
          <w:p w14:paraId="4C567569" w14:textId="4C0027E4" w:rsidR="00083CC6" w:rsidRPr="00301E66" w:rsidRDefault="008351A3" w:rsidP="008674F4">
            <w:pPr>
              <w:pStyle w:val="vTabletextright"/>
            </w:pPr>
            <w:r>
              <w:t>4.4%</w:t>
            </w:r>
          </w:p>
        </w:tc>
      </w:tr>
    </w:tbl>
    <w:p w14:paraId="0C661696" w14:textId="527E0505" w:rsidR="00B27A69" w:rsidRPr="00B27A69" w:rsidRDefault="00B27A69" w:rsidP="002A3857">
      <w:pPr>
        <w:pStyle w:val="vBodytext-spacebefore"/>
        <w:keepNext/>
      </w:pPr>
      <w:r w:rsidRPr="00B27A69">
        <w:t>First Nations people made complaints from across the state, with a relatively</w:t>
      </w:r>
      <w:r>
        <w:t xml:space="preserve"> </w:t>
      </w:r>
      <w:r w:rsidRPr="00B27A69">
        <w:t>even split from greater Melbourne and Geelong (51.5%) and regional and rural</w:t>
      </w:r>
      <w:r>
        <w:t xml:space="preserve"> </w:t>
      </w:r>
      <w:r w:rsidRPr="00B27A69">
        <w:t>Victoria (44.1%). A small number of individuals (4.4%) were based outside of the</w:t>
      </w:r>
      <w:r>
        <w:t xml:space="preserve"> </w:t>
      </w:r>
      <w:r w:rsidRPr="00B27A69">
        <w:t>state. These individuals' experiences of discrimination will have occurred within</w:t>
      </w:r>
      <w:r>
        <w:t xml:space="preserve"> </w:t>
      </w:r>
      <w:r w:rsidRPr="00B27A69">
        <w:t>the state of Victoria. This information has been presented at a high level to avoid</w:t>
      </w:r>
      <w:r>
        <w:t xml:space="preserve"> </w:t>
      </w:r>
      <w:r w:rsidRPr="00B27A69">
        <w:t>identifying any individuals.</w:t>
      </w:r>
    </w:p>
    <w:p w14:paraId="04861985" w14:textId="7F0115D2" w:rsidR="00083CC6" w:rsidRDefault="00B27A69" w:rsidP="00AE541E">
      <w:pPr>
        <w:pStyle w:val="vHeading5"/>
        <w:keepNext/>
      </w:pPr>
      <w:r w:rsidRPr="00B27A69">
        <w:t>Figure 4. Most common areas of public life where First Nations people</w:t>
      </w:r>
      <w:r>
        <w:t xml:space="preserve"> </w:t>
      </w:r>
      <w:r w:rsidRPr="00B27A69">
        <w:t>experienced discrimination, 2017–18 to 2022–</w:t>
      </w:r>
      <w:proofErr w:type="gramStart"/>
      <w:r w:rsidRPr="00B27A69">
        <w:t>23</w:t>
      </w:r>
      <w:proofErr w:type="gramEnd"/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38"/>
        <w:gridCol w:w="1203"/>
        <w:gridCol w:w="1204"/>
        <w:gridCol w:w="1204"/>
        <w:gridCol w:w="1203"/>
        <w:gridCol w:w="1204"/>
        <w:gridCol w:w="1204"/>
      </w:tblGrid>
      <w:tr w:rsidR="007A5C0F" w:rsidRPr="00E06DE3" w14:paraId="5CE43247" w14:textId="67FD565F" w:rsidTr="007A5C0F">
        <w:tc>
          <w:tcPr>
            <w:tcW w:w="1838" w:type="dxa"/>
            <w:shd w:val="clear" w:color="auto" w:fill="071C53" w:themeFill="text2"/>
            <w:tcMar>
              <w:top w:w="57" w:type="dxa"/>
              <w:bottom w:w="57" w:type="dxa"/>
            </w:tcMar>
          </w:tcPr>
          <w:p w14:paraId="75E47DF5" w14:textId="61D742F3" w:rsidR="007A5C0F" w:rsidRPr="00B27A69" w:rsidRDefault="007A5C0F" w:rsidP="00AE541E">
            <w:pPr>
              <w:pStyle w:val="vTableheaderleft"/>
              <w:keepNext/>
              <w:keepLines/>
            </w:pPr>
            <w:r>
              <w:t>Area of public life</w:t>
            </w:r>
          </w:p>
        </w:tc>
        <w:tc>
          <w:tcPr>
            <w:tcW w:w="1203" w:type="dxa"/>
            <w:shd w:val="clear" w:color="auto" w:fill="071C53" w:themeFill="text2"/>
            <w:tcMar>
              <w:top w:w="57" w:type="dxa"/>
              <w:bottom w:w="57" w:type="dxa"/>
            </w:tcMar>
          </w:tcPr>
          <w:p w14:paraId="59C104DB" w14:textId="545DB95D" w:rsidR="007A5C0F" w:rsidRPr="00B27A69" w:rsidRDefault="007A5C0F" w:rsidP="00AE541E">
            <w:pPr>
              <w:pStyle w:val="vTableheaderright"/>
              <w:keepNext/>
              <w:keepLines/>
            </w:pPr>
            <w:r>
              <w:t>2018–18</w:t>
            </w:r>
          </w:p>
        </w:tc>
        <w:tc>
          <w:tcPr>
            <w:tcW w:w="1204" w:type="dxa"/>
            <w:shd w:val="clear" w:color="auto" w:fill="071C53" w:themeFill="text2"/>
          </w:tcPr>
          <w:p w14:paraId="1CCB2572" w14:textId="77EA5EB2" w:rsidR="007A5C0F" w:rsidRPr="00B27A69" w:rsidRDefault="007A5C0F" w:rsidP="00AE541E">
            <w:pPr>
              <w:pStyle w:val="vTableheaderright"/>
              <w:keepNext/>
              <w:keepLines/>
            </w:pPr>
            <w:r>
              <w:t>2018–19</w:t>
            </w:r>
          </w:p>
        </w:tc>
        <w:tc>
          <w:tcPr>
            <w:tcW w:w="1204" w:type="dxa"/>
            <w:shd w:val="clear" w:color="auto" w:fill="071C53" w:themeFill="text2"/>
          </w:tcPr>
          <w:p w14:paraId="1261675C" w14:textId="308FCFA0" w:rsidR="007A5C0F" w:rsidRPr="00B27A69" w:rsidRDefault="007A5C0F" w:rsidP="00AE541E">
            <w:pPr>
              <w:pStyle w:val="vTableheaderright"/>
              <w:keepNext/>
              <w:keepLines/>
            </w:pPr>
            <w:r>
              <w:t>2019–20</w:t>
            </w:r>
          </w:p>
        </w:tc>
        <w:tc>
          <w:tcPr>
            <w:tcW w:w="1203" w:type="dxa"/>
            <w:shd w:val="clear" w:color="auto" w:fill="071C53" w:themeFill="text2"/>
          </w:tcPr>
          <w:p w14:paraId="24B477AF" w14:textId="65A21D0F" w:rsidR="007A5C0F" w:rsidRDefault="007A5C0F" w:rsidP="00AE541E">
            <w:pPr>
              <w:pStyle w:val="vTableheaderright"/>
              <w:keepNext/>
              <w:keepLines/>
            </w:pPr>
            <w:r>
              <w:t>2020–21</w:t>
            </w:r>
          </w:p>
        </w:tc>
        <w:tc>
          <w:tcPr>
            <w:tcW w:w="1204" w:type="dxa"/>
            <w:shd w:val="clear" w:color="auto" w:fill="071C53" w:themeFill="text2"/>
          </w:tcPr>
          <w:p w14:paraId="23A2358B" w14:textId="353306F5" w:rsidR="007A5C0F" w:rsidRDefault="007A5C0F" w:rsidP="00AE541E">
            <w:pPr>
              <w:pStyle w:val="vTableheaderright"/>
              <w:keepNext/>
              <w:keepLines/>
            </w:pPr>
            <w:r>
              <w:t>2021–22</w:t>
            </w:r>
          </w:p>
        </w:tc>
        <w:tc>
          <w:tcPr>
            <w:tcW w:w="1204" w:type="dxa"/>
            <w:shd w:val="clear" w:color="auto" w:fill="071C53" w:themeFill="text2"/>
          </w:tcPr>
          <w:p w14:paraId="7CE7788A" w14:textId="4CFC34CB" w:rsidR="007A5C0F" w:rsidRDefault="007A5C0F" w:rsidP="00AE541E">
            <w:pPr>
              <w:pStyle w:val="vTableheaderright"/>
              <w:keepNext/>
              <w:keepLines/>
            </w:pPr>
            <w:r>
              <w:t>2022–23</w:t>
            </w:r>
          </w:p>
        </w:tc>
      </w:tr>
      <w:tr w:rsidR="007A5C0F" w:rsidRPr="00E06DE3" w14:paraId="475A7BB0" w14:textId="77C46329" w:rsidTr="007A5C0F">
        <w:tc>
          <w:tcPr>
            <w:tcW w:w="1838" w:type="dxa"/>
            <w:shd w:val="clear" w:color="auto" w:fill="DDDDDD"/>
            <w:tcMar>
              <w:top w:w="57" w:type="dxa"/>
              <w:bottom w:w="57" w:type="dxa"/>
            </w:tcMar>
          </w:tcPr>
          <w:p w14:paraId="3969BD23" w14:textId="5F775F8F" w:rsidR="007A5C0F" w:rsidRPr="00B27A69" w:rsidRDefault="007A5C0F" w:rsidP="00AE541E">
            <w:pPr>
              <w:pStyle w:val="vTabletext"/>
              <w:keepNext/>
              <w:keepLines/>
            </w:pPr>
            <w:r>
              <w:t>Provision of goods and services</w:t>
            </w:r>
          </w:p>
        </w:tc>
        <w:tc>
          <w:tcPr>
            <w:tcW w:w="1203" w:type="dxa"/>
            <w:shd w:val="clear" w:color="auto" w:fill="DDDDDD"/>
            <w:tcMar>
              <w:top w:w="57" w:type="dxa"/>
              <w:bottom w:w="57" w:type="dxa"/>
            </w:tcMar>
          </w:tcPr>
          <w:p w14:paraId="2889BE69" w14:textId="747CCBA1" w:rsidR="007A5C0F" w:rsidRPr="00B27A69" w:rsidRDefault="003F69CD" w:rsidP="00AE541E">
            <w:pPr>
              <w:pStyle w:val="vTabletextright"/>
              <w:keepNext/>
              <w:keepLines/>
            </w:pPr>
            <w:r>
              <w:t>29%</w:t>
            </w:r>
          </w:p>
        </w:tc>
        <w:tc>
          <w:tcPr>
            <w:tcW w:w="1204" w:type="dxa"/>
            <w:shd w:val="clear" w:color="auto" w:fill="DDDDDD"/>
          </w:tcPr>
          <w:p w14:paraId="707CFF81" w14:textId="08E04F94" w:rsidR="007A5C0F" w:rsidRPr="00B27A69" w:rsidRDefault="003F69CD" w:rsidP="00AE541E">
            <w:pPr>
              <w:pStyle w:val="vTabletextright"/>
              <w:keepNext/>
              <w:keepLines/>
            </w:pPr>
            <w:r>
              <w:t>55%</w:t>
            </w:r>
          </w:p>
        </w:tc>
        <w:tc>
          <w:tcPr>
            <w:tcW w:w="1204" w:type="dxa"/>
            <w:shd w:val="clear" w:color="auto" w:fill="DDDDDD"/>
          </w:tcPr>
          <w:p w14:paraId="48E43999" w14:textId="0348D2C1" w:rsidR="007A5C0F" w:rsidRPr="00B27A69" w:rsidRDefault="003F69CD" w:rsidP="00AE541E">
            <w:pPr>
              <w:pStyle w:val="vTabletextright"/>
              <w:keepNext/>
              <w:keepLines/>
            </w:pPr>
            <w:r>
              <w:t>36%</w:t>
            </w:r>
          </w:p>
        </w:tc>
        <w:tc>
          <w:tcPr>
            <w:tcW w:w="1203" w:type="dxa"/>
            <w:shd w:val="clear" w:color="auto" w:fill="DDDDDD"/>
          </w:tcPr>
          <w:p w14:paraId="31768B73" w14:textId="3023BBEA" w:rsidR="007A5C0F" w:rsidRPr="00B27A69" w:rsidRDefault="003F69CD" w:rsidP="00AE541E">
            <w:pPr>
              <w:pStyle w:val="vTabletextright"/>
              <w:keepNext/>
              <w:keepLines/>
            </w:pPr>
            <w:r>
              <w:t>44%</w:t>
            </w:r>
          </w:p>
        </w:tc>
        <w:tc>
          <w:tcPr>
            <w:tcW w:w="1204" w:type="dxa"/>
            <w:shd w:val="clear" w:color="auto" w:fill="DDDDDD"/>
          </w:tcPr>
          <w:p w14:paraId="1F6B0DA5" w14:textId="1BD9955B" w:rsidR="007A5C0F" w:rsidRPr="00B27A69" w:rsidRDefault="00E438C1" w:rsidP="00AE541E">
            <w:pPr>
              <w:pStyle w:val="vTabletextright"/>
              <w:keepNext/>
              <w:keepLines/>
            </w:pPr>
            <w:r>
              <w:t>28%</w:t>
            </w:r>
          </w:p>
        </w:tc>
        <w:tc>
          <w:tcPr>
            <w:tcW w:w="1204" w:type="dxa"/>
            <w:shd w:val="clear" w:color="auto" w:fill="DDDDDD"/>
          </w:tcPr>
          <w:p w14:paraId="441D234A" w14:textId="5C5E3400" w:rsidR="007A5C0F" w:rsidRPr="00B27A69" w:rsidRDefault="00E438C1" w:rsidP="00AE541E">
            <w:pPr>
              <w:pStyle w:val="vTabletextright"/>
              <w:keepNext/>
              <w:keepLines/>
            </w:pPr>
            <w:r>
              <w:t>44%</w:t>
            </w:r>
          </w:p>
        </w:tc>
      </w:tr>
      <w:tr w:rsidR="007A5C0F" w:rsidRPr="00E06DE3" w14:paraId="58082047" w14:textId="6831CD71" w:rsidTr="007A5C0F">
        <w:tc>
          <w:tcPr>
            <w:tcW w:w="1838" w:type="dxa"/>
            <w:shd w:val="clear" w:color="auto" w:fill="DDDDDD"/>
            <w:tcMar>
              <w:top w:w="57" w:type="dxa"/>
              <w:bottom w:w="57" w:type="dxa"/>
            </w:tcMar>
          </w:tcPr>
          <w:p w14:paraId="7547FBF5" w14:textId="4EC13FD1" w:rsidR="007A5C0F" w:rsidRPr="00B27A69" w:rsidRDefault="007A5C0F" w:rsidP="00AE541E">
            <w:pPr>
              <w:pStyle w:val="vTabletext"/>
              <w:keepNext/>
              <w:keepLines/>
            </w:pPr>
            <w:r>
              <w:t>Employment</w:t>
            </w:r>
          </w:p>
        </w:tc>
        <w:tc>
          <w:tcPr>
            <w:tcW w:w="1203" w:type="dxa"/>
            <w:shd w:val="clear" w:color="auto" w:fill="DDDDDD"/>
            <w:tcMar>
              <w:top w:w="57" w:type="dxa"/>
              <w:bottom w:w="57" w:type="dxa"/>
            </w:tcMar>
          </w:tcPr>
          <w:p w14:paraId="6599CADB" w14:textId="47433282" w:rsidR="007A5C0F" w:rsidRPr="00B27A69" w:rsidRDefault="003F69CD" w:rsidP="00AE541E">
            <w:pPr>
              <w:pStyle w:val="vTabletextright"/>
              <w:keepNext/>
              <w:keepLines/>
            </w:pPr>
            <w:r>
              <w:t>38%</w:t>
            </w:r>
          </w:p>
        </w:tc>
        <w:tc>
          <w:tcPr>
            <w:tcW w:w="1204" w:type="dxa"/>
            <w:shd w:val="clear" w:color="auto" w:fill="DDDDDD"/>
          </w:tcPr>
          <w:p w14:paraId="257994E5" w14:textId="3C6C2E37" w:rsidR="007A5C0F" w:rsidRPr="00B27A69" w:rsidRDefault="003F69CD" w:rsidP="00AE541E">
            <w:pPr>
              <w:pStyle w:val="vTabletextright"/>
              <w:keepNext/>
              <w:keepLines/>
            </w:pPr>
            <w:r>
              <w:t>24%</w:t>
            </w:r>
          </w:p>
        </w:tc>
        <w:tc>
          <w:tcPr>
            <w:tcW w:w="1204" w:type="dxa"/>
            <w:shd w:val="clear" w:color="auto" w:fill="DDDDDD"/>
          </w:tcPr>
          <w:p w14:paraId="04532943" w14:textId="72514676" w:rsidR="007A5C0F" w:rsidRPr="00B27A69" w:rsidRDefault="00E438C1" w:rsidP="00AE541E">
            <w:pPr>
              <w:pStyle w:val="vTabletextright"/>
              <w:keepNext/>
              <w:keepLines/>
            </w:pPr>
            <w:r>
              <w:t>26%</w:t>
            </w:r>
          </w:p>
        </w:tc>
        <w:tc>
          <w:tcPr>
            <w:tcW w:w="1203" w:type="dxa"/>
            <w:shd w:val="clear" w:color="auto" w:fill="DDDDDD"/>
          </w:tcPr>
          <w:p w14:paraId="5C28C01B" w14:textId="316C00A6" w:rsidR="007A5C0F" w:rsidRPr="00B27A69" w:rsidRDefault="00E438C1" w:rsidP="00AE541E">
            <w:pPr>
              <w:pStyle w:val="vTabletextright"/>
              <w:keepNext/>
              <w:keepLines/>
            </w:pPr>
            <w:r>
              <w:t>29%</w:t>
            </w:r>
          </w:p>
        </w:tc>
        <w:tc>
          <w:tcPr>
            <w:tcW w:w="1204" w:type="dxa"/>
            <w:shd w:val="clear" w:color="auto" w:fill="DDDDDD"/>
          </w:tcPr>
          <w:p w14:paraId="0BDC68FD" w14:textId="39FAD1CA" w:rsidR="007A5C0F" w:rsidRPr="00B27A69" w:rsidRDefault="00E438C1" w:rsidP="00AE541E">
            <w:pPr>
              <w:pStyle w:val="vTabletextright"/>
              <w:keepNext/>
              <w:keepLines/>
            </w:pPr>
            <w:r>
              <w:t>41%</w:t>
            </w:r>
          </w:p>
        </w:tc>
        <w:tc>
          <w:tcPr>
            <w:tcW w:w="1204" w:type="dxa"/>
            <w:shd w:val="clear" w:color="auto" w:fill="DDDDDD"/>
          </w:tcPr>
          <w:p w14:paraId="59A361BC" w14:textId="083975F6" w:rsidR="007A5C0F" w:rsidRPr="00B27A69" w:rsidRDefault="00E438C1" w:rsidP="00AE541E">
            <w:pPr>
              <w:pStyle w:val="vTabletextright"/>
              <w:keepNext/>
              <w:keepLines/>
            </w:pPr>
            <w:r>
              <w:t>28%</w:t>
            </w:r>
          </w:p>
        </w:tc>
      </w:tr>
      <w:tr w:rsidR="007A5C0F" w:rsidRPr="00E06DE3" w14:paraId="6AFE21B0" w14:textId="1A74CB62" w:rsidTr="007A5C0F">
        <w:tc>
          <w:tcPr>
            <w:tcW w:w="1838" w:type="dxa"/>
            <w:shd w:val="clear" w:color="auto" w:fill="DDDDDD"/>
            <w:tcMar>
              <w:top w:w="57" w:type="dxa"/>
              <w:bottom w:w="57" w:type="dxa"/>
            </w:tcMar>
          </w:tcPr>
          <w:p w14:paraId="4ACB3323" w14:textId="2DCDCE1E" w:rsidR="007A5C0F" w:rsidRPr="00301E66" w:rsidRDefault="007A5C0F" w:rsidP="00AE541E">
            <w:pPr>
              <w:pStyle w:val="vTabletext"/>
              <w:keepNext/>
              <w:keepLines/>
            </w:pPr>
            <w:r>
              <w:t>Other areas</w:t>
            </w:r>
          </w:p>
        </w:tc>
        <w:tc>
          <w:tcPr>
            <w:tcW w:w="1203" w:type="dxa"/>
            <w:shd w:val="clear" w:color="auto" w:fill="DDDDDD"/>
            <w:tcMar>
              <w:top w:w="57" w:type="dxa"/>
              <w:bottom w:w="57" w:type="dxa"/>
            </w:tcMar>
          </w:tcPr>
          <w:p w14:paraId="70759C67" w14:textId="7AF292AE" w:rsidR="007A5C0F" w:rsidRPr="00301E66" w:rsidRDefault="003F69CD" w:rsidP="00AE541E">
            <w:pPr>
              <w:pStyle w:val="vTabletextright"/>
              <w:keepNext/>
              <w:keepLines/>
            </w:pPr>
            <w:r>
              <w:t>33%</w:t>
            </w:r>
          </w:p>
        </w:tc>
        <w:tc>
          <w:tcPr>
            <w:tcW w:w="1204" w:type="dxa"/>
            <w:shd w:val="clear" w:color="auto" w:fill="DDDDDD"/>
          </w:tcPr>
          <w:p w14:paraId="70AD057B" w14:textId="1A079CFE" w:rsidR="007A5C0F" w:rsidRPr="00301E66" w:rsidRDefault="003F69CD" w:rsidP="00AE541E">
            <w:pPr>
              <w:pStyle w:val="vTabletextright"/>
              <w:keepNext/>
              <w:keepLines/>
            </w:pPr>
            <w:r>
              <w:t>21%</w:t>
            </w:r>
          </w:p>
        </w:tc>
        <w:tc>
          <w:tcPr>
            <w:tcW w:w="1204" w:type="dxa"/>
            <w:shd w:val="clear" w:color="auto" w:fill="DDDDDD"/>
          </w:tcPr>
          <w:p w14:paraId="4A6BE658" w14:textId="2D122F64" w:rsidR="007A5C0F" w:rsidRPr="00301E66" w:rsidRDefault="00E438C1" w:rsidP="00AE541E">
            <w:pPr>
              <w:pStyle w:val="vTabletextright"/>
              <w:keepNext/>
              <w:keepLines/>
            </w:pPr>
            <w:r>
              <w:t>38%</w:t>
            </w:r>
          </w:p>
        </w:tc>
        <w:tc>
          <w:tcPr>
            <w:tcW w:w="1203" w:type="dxa"/>
            <w:shd w:val="clear" w:color="auto" w:fill="DDDDDD"/>
          </w:tcPr>
          <w:p w14:paraId="79E7D2CF" w14:textId="4F7D0353" w:rsidR="007A5C0F" w:rsidRPr="00301E66" w:rsidRDefault="00E438C1" w:rsidP="00AE541E">
            <w:pPr>
              <w:pStyle w:val="vTabletextright"/>
              <w:keepNext/>
              <w:keepLines/>
            </w:pPr>
            <w:r>
              <w:t>27%</w:t>
            </w:r>
          </w:p>
        </w:tc>
        <w:tc>
          <w:tcPr>
            <w:tcW w:w="1204" w:type="dxa"/>
            <w:shd w:val="clear" w:color="auto" w:fill="DDDDDD"/>
          </w:tcPr>
          <w:p w14:paraId="1CB45EB4" w14:textId="1D6A19B0" w:rsidR="007A5C0F" w:rsidRPr="00301E66" w:rsidRDefault="00E438C1" w:rsidP="00AE541E">
            <w:pPr>
              <w:pStyle w:val="vTabletextright"/>
              <w:keepNext/>
              <w:keepLines/>
            </w:pPr>
            <w:r>
              <w:t>31%</w:t>
            </w:r>
          </w:p>
        </w:tc>
        <w:tc>
          <w:tcPr>
            <w:tcW w:w="1204" w:type="dxa"/>
            <w:shd w:val="clear" w:color="auto" w:fill="DDDDDD"/>
          </w:tcPr>
          <w:p w14:paraId="0DAB217B" w14:textId="301D01EF" w:rsidR="007A5C0F" w:rsidRPr="00301E66" w:rsidRDefault="00E438C1" w:rsidP="00AE541E">
            <w:pPr>
              <w:pStyle w:val="vTabletextright"/>
              <w:keepNext/>
              <w:keepLines/>
            </w:pPr>
            <w:r>
              <w:t>28%</w:t>
            </w:r>
          </w:p>
        </w:tc>
      </w:tr>
    </w:tbl>
    <w:p w14:paraId="1F98462E" w14:textId="34C3F6A1" w:rsidR="00B27A69" w:rsidRDefault="00EE6BBC" w:rsidP="00EE6BBC">
      <w:pPr>
        <w:pStyle w:val="vBodytext"/>
      </w:pPr>
      <w:r w:rsidRPr="00EE6BBC">
        <w:t>Since 2017–18, provision of goods and services (39% of complaints) and</w:t>
      </w:r>
      <w:r>
        <w:t xml:space="preserve"> </w:t>
      </w:r>
      <w:r w:rsidRPr="00EE6BBC">
        <w:t>employment (31%) were the most common areas of public life where First</w:t>
      </w:r>
      <w:r>
        <w:t xml:space="preserve"> </w:t>
      </w:r>
      <w:r w:rsidRPr="00EE6BBC">
        <w:t>Nations people experienced discrimination.</w:t>
      </w:r>
    </w:p>
    <w:p w14:paraId="7600895A" w14:textId="32990E3D" w:rsidR="00EE6BBC" w:rsidRPr="00EE6BBC" w:rsidRDefault="00EE6BBC" w:rsidP="00EE6BBC">
      <w:pPr>
        <w:pStyle w:val="vBodytext"/>
      </w:pPr>
      <w:r w:rsidRPr="00EE6BBC">
        <w:t>Focusing on the most common issues raised, around half of the racism and</w:t>
      </w:r>
      <w:r>
        <w:t xml:space="preserve"> </w:t>
      </w:r>
      <w:r w:rsidRPr="00EE6BBC">
        <w:t>disability discrimination complaints we received from First Nations people</w:t>
      </w:r>
      <w:r>
        <w:t xml:space="preserve"> </w:t>
      </w:r>
      <w:r w:rsidRPr="00EE6BBC">
        <w:t>occurred in the provision of goods and services.</w:t>
      </w:r>
    </w:p>
    <w:p w14:paraId="7621A62D" w14:textId="092046ED" w:rsidR="00EE6BBC" w:rsidRDefault="00EE6BBC" w:rsidP="009365F3">
      <w:pPr>
        <w:pStyle w:val="vHeading5"/>
        <w:keepNext/>
      </w:pPr>
      <w:r w:rsidRPr="00EE6BBC">
        <w:lastRenderedPageBreak/>
        <w:t>Figure 5. Proportion of race and disability discrimination complaints</w:t>
      </w:r>
      <w:r>
        <w:t xml:space="preserve"> </w:t>
      </w:r>
      <w:r w:rsidRPr="00EE6BBC">
        <w:t>in provision of goods and services, 2017–18 to 2022–23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48"/>
        <w:gridCol w:w="2000"/>
        <w:gridCol w:w="1984"/>
      </w:tblGrid>
      <w:tr w:rsidR="00C12305" w:rsidRPr="00E06DE3" w14:paraId="2373E0DE" w14:textId="77777777" w:rsidTr="00C12305">
        <w:tc>
          <w:tcPr>
            <w:tcW w:w="2248" w:type="dxa"/>
            <w:shd w:val="clear" w:color="auto" w:fill="071C53" w:themeFill="text2"/>
            <w:tcMar>
              <w:top w:w="57" w:type="dxa"/>
              <w:bottom w:w="57" w:type="dxa"/>
            </w:tcMar>
          </w:tcPr>
          <w:p w14:paraId="6227F3A4" w14:textId="21353CEF" w:rsidR="00C12305" w:rsidRPr="00420A10" w:rsidRDefault="00C12305" w:rsidP="00420A10">
            <w:pPr>
              <w:pStyle w:val="vTableheaderleft"/>
            </w:pPr>
            <w:r>
              <w:t>Issue</w:t>
            </w:r>
          </w:p>
        </w:tc>
        <w:tc>
          <w:tcPr>
            <w:tcW w:w="2000" w:type="dxa"/>
            <w:shd w:val="clear" w:color="auto" w:fill="071C53" w:themeFill="text2"/>
            <w:tcMar>
              <w:top w:w="57" w:type="dxa"/>
              <w:bottom w:w="57" w:type="dxa"/>
            </w:tcMar>
          </w:tcPr>
          <w:p w14:paraId="31BAC414" w14:textId="4AEFBC18" w:rsidR="00C12305" w:rsidRPr="00420A10" w:rsidRDefault="00C12305" w:rsidP="00420A10">
            <w:pPr>
              <w:pStyle w:val="vTableheaderright"/>
            </w:pPr>
            <w:r>
              <w:t>Provision of goods and services</w:t>
            </w:r>
          </w:p>
        </w:tc>
        <w:tc>
          <w:tcPr>
            <w:tcW w:w="1984" w:type="dxa"/>
            <w:shd w:val="clear" w:color="auto" w:fill="071C53" w:themeFill="text2"/>
          </w:tcPr>
          <w:p w14:paraId="65010383" w14:textId="3E26FBE8" w:rsidR="00C12305" w:rsidRPr="00B27A69" w:rsidRDefault="00C12305" w:rsidP="008674F4">
            <w:pPr>
              <w:pStyle w:val="vTableheaderright"/>
            </w:pPr>
            <w:r>
              <w:t>Other areas of public life</w:t>
            </w:r>
          </w:p>
        </w:tc>
      </w:tr>
      <w:tr w:rsidR="00C12305" w:rsidRPr="00E06DE3" w14:paraId="4ECA36E3" w14:textId="77777777" w:rsidTr="00C12305">
        <w:tc>
          <w:tcPr>
            <w:tcW w:w="2248" w:type="dxa"/>
            <w:shd w:val="clear" w:color="auto" w:fill="DDDDDD"/>
            <w:tcMar>
              <w:top w:w="57" w:type="dxa"/>
              <w:bottom w:w="57" w:type="dxa"/>
            </w:tcMar>
          </w:tcPr>
          <w:p w14:paraId="2F867C64" w14:textId="28807BDC" w:rsidR="00C12305" w:rsidRPr="00420A10" w:rsidRDefault="00C12305" w:rsidP="00420A10">
            <w:pPr>
              <w:pStyle w:val="vTabletext"/>
            </w:pPr>
            <w:r>
              <w:t>Race discrimination</w:t>
            </w:r>
          </w:p>
        </w:tc>
        <w:tc>
          <w:tcPr>
            <w:tcW w:w="2000" w:type="dxa"/>
            <w:shd w:val="clear" w:color="auto" w:fill="DDDDDD"/>
            <w:tcMar>
              <w:top w:w="57" w:type="dxa"/>
              <w:bottom w:w="57" w:type="dxa"/>
            </w:tcMar>
          </w:tcPr>
          <w:p w14:paraId="555ED6B4" w14:textId="1045D377" w:rsidR="00C12305" w:rsidRPr="00420A10" w:rsidRDefault="00C12305" w:rsidP="00420A10">
            <w:pPr>
              <w:pStyle w:val="vTabletextright"/>
            </w:pPr>
            <w:r>
              <w:t>51%</w:t>
            </w:r>
          </w:p>
        </w:tc>
        <w:tc>
          <w:tcPr>
            <w:tcW w:w="1984" w:type="dxa"/>
            <w:shd w:val="clear" w:color="auto" w:fill="DDDDDD"/>
          </w:tcPr>
          <w:p w14:paraId="325F9115" w14:textId="7508BC94" w:rsidR="00C12305" w:rsidRPr="00B27A69" w:rsidRDefault="00C12305" w:rsidP="008674F4">
            <w:pPr>
              <w:pStyle w:val="vTabletextright"/>
            </w:pPr>
            <w:r>
              <w:t>49%</w:t>
            </w:r>
          </w:p>
        </w:tc>
      </w:tr>
      <w:tr w:rsidR="00C12305" w:rsidRPr="00E06DE3" w14:paraId="1791A945" w14:textId="77777777" w:rsidTr="00C12305">
        <w:tc>
          <w:tcPr>
            <w:tcW w:w="2248" w:type="dxa"/>
            <w:shd w:val="clear" w:color="auto" w:fill="DDDDDD"/>
            <w:tcMar>
              <w:top w:w="57" w:type="dxa"/>
              <w:bottom w:w="57" w:type="dxa"/>
            </w:tcMar>
          </w:tcPr>
          <w:p w14:paraId="3EA886A5" w14:textId="0171B66D" w:rsidR="00C12305" w:rsidRPr="00420A10" w:rsidRDefault="00C12305" w:rsidP="00420A10">
            <w:pPr>
              <w:pStyle w:val="vTabletext"/>
            </w:pPr>
            <w:r>
              <w:t>Disability discrimination</w:t>
            </w:r>
          </w:p>
        </w:tc>
        <w:tc>
          <w:tcPr>
            <w:tcW w:w="2000" w:type="dxa"/>
            <w:shd w:val="clear" w:color="auto" w:fill="DDDDDD"/>
            <w:tcMar>
              <w:top w:w="57" w:type="dxa"/>
              <w:bottom w:w="57" w:type="dxa"/>
            </w:tcMar>
          </w:tcPr>
          <w:p w14:paraId="62423C29" w14:textId="6F1C8B54" w:rsidR="00C12305" w:rsidRPr="00420A10" w:rsidRDefault="00C12305" w:rsidP="00420A10">
            <w:pPr>
              <w:pStyle w:val="vTabletextright"/>
            </w:pPr>
            <w:r>
              <w:t>48%</w:t>
            </w:r>
          </w:p>
        </w:tc>
        <w:tc>
          <w:tcPr>
            <w:tcW w:w="1984" w:type="dxa"/>
            <w:shd w:val="clear" w:color="auto" w:fill="DDDDDD"/>
          </w:tcPr>
          <w:p w14:paraId="220AD108" w14:textId="1273FB7E" w:rsidR="00C12305" w:rsidRPr="00B27A69" w:rsidRDefault="00C12305" w:rsidP="008674F4">
            <w:pPr>
              <w:pStyle w:val="vTabletextright"/>
            </w:pPr>
            <w:r>
              <w:t>52%</w:t>
            </w:r>
          </w:p>
        </w:tc>
      </w:tr>
    </w:tbl>
    <w:p w14:paraId="35FBD67E" w14:textId="11C3374D" w:rsidR="00534056" w:rsidRDefault="00534056" w:rsidP="00B86F48">
      <w:pPr>
        <w:pStyle w:val="vBodytext-spacebefore"/>
      </w:pPr>
      <w:r w:rsidRPr="00534056">
        <w:t>It is interesting to note that we have received very few complaints from First</w:t>
      </w:r>
      <w:r>
        <w:t xml:space="preserve"> </w:t>
      </w:r>
      <w:r w:rsidRPr="00534056">
        <w:t>Nations people about discrimination in accommodation and sport. We know that</w:t>
      </w:r>
      <w:r>
        <w:t xml:space="preserve"> </w:t>
      </w:r>
      <w:r w:rsidRPr="00534056">
        <w:t>these are areas where First Nations people continue to experience discrimination,</w:t>
      </w:r>
      <w:r>
        <w:t xml:space="preserve"> </w:t>
      </w:r>
      <w:r w:rsidRPr="00534056">
        <w:t>so it will be important for us to raise awareness about people’s rights in these</w:t>
      </w:r>
      <w:r>
        <w:t xml:space="preserve"> </w:t>
      </w:r>
      <w:r w:rsidRPr="00534056">
        <w:t>areas of public life.</w:t>
      </w:r>
    </w:p>
    <w:p w14:paraId="447BF30C" w14:textId="34EE1301" w:rsidR="00420A10" w:rsidRDefault="00534056" w:rsidP="00534056">
      <w:pPr>
        <w:pStyle w:val="vBodytext"/>
      </w:pPr>
      <w:r w:rsidRPr="00534056">
        <w:t>Consistent with our overall complaints data, we have received only a small number</w:t>
      </w:r>
      <w:r>
        <w:t xml:space="preserve"> </w:t>
      </w:r>
      <w:r w:rsidRPr="00534056">
        <w:t>of racial vilification complaints from First Nations complainants – one or two</w:t>
      </w:r>
      <w:r>
        <w:t xml:space="preserve"> </w:t>
      </w:r>
      <w:r w:rsidRPr="00534056">
        <w:t>complaints each year.</w:t>
      </w:r>
    </w:p>
    <w:tbl>
      <w:tblPr>
        <w:tblStyle w:val="VEOHRCsimplegreen"/>
        <w:tblW w:w="0" w:type="auto"/>
        <w:shd w:val="clear" w:color="auto" w:fill="A0EBD7" w:themeFill="accent4" w:themeFillTint="99"/>
        <w:tblLook w:val="04A0" w:firstRow="1" w:lastRow="0" w:firstColumn="1" w:lastColumn="0" w:noHBand="0" w:noVBand="1"/>
      </w:tblPr>
      <w:tblGrid>
        <w:gridCol w:w="9060"/>
      </w:tblGrid>
      <w:tr w:rsidR="006E5F48" w14:paraId="1B81BE8A" w14:textId="77777777" w:rsidTr="00AE541E">
        <w:trPr>
          <w:cantSplit/>
        </w:trPr>
        <w:tc>
          <w:tcPr>
            <w:tcW w:w="9060" w:type="dxa"/>
            <w:shd w:val="clear" w:color="auto" w:fill="A0EBD7" w:themeFill="accent4" w:themeFillTint="99"/>
          </w:tcPr>
          <w:p w14:paraId="0A078BF9" w14:textId="77777777" w:rsidR="006E5F48" w:rsidRPr="006E5F48" w:rsidRDefault="006E5F48" w:rsidP="006E5F48">
            <w:pPr>
              <w:pStyle w:val="vTableboldleft"/>
            </w:pPr>
            <w:r w:rsidRPr="006E5F48">
              <w:t>Common outcomes</w:t>
            </w:r>
          </w:p>
          <w:p w14:paraId="128C2EA3" w14:textId="111B1CB5" w:rsidR="006E5F48" w:rsidRPr="006E5F48" w:rsidRDefault="006E5F48" w:rsidP="006E5F48">
            <w:pPr>
              <w:pStyle w:val="vTabletext"/>
            </w:pPr>
            <w:r w:rsidRPr="006E5F48">
              <w:t>Individuals ask for outcomes that are important to them and their community.</w:t>
            </w:r>
            <w:r>
              <w:t xml:space="preserve"> </w:t>
            </w:r>
            <w:r w:rsidRPr="006E5F48">
              <w:t>Some examples of outcomes are:</w:t>
            </w:r>
          </w:p>
          <w:p w14:paraId="26E5CCA7" w14:textId="14B12DC8" w:rsidR="006E5F48" w:rsidRPr="006E5F48" w:rsidRDefault="006E5F48" w:rsidP="006E5F48">
            <w:pPr>
              <w:pStyle w:val="vTablebullet1"/>
            </w:pPr>
            <w:r w:rsidRPr="006E5F48">
              <w:t>an acknowledgement of their experience</w:t>
            </w:r>
          </w:p>
          <w:p w14:paraId="58E8E74D" w14:textId="6E110ACC" w:rsidR="006E5F48" w:rsidRPr="006E5F48" w:rsidRDefault="006E5F48" w:rsidP="006E5F48">
            <w:pPr>
              <w:pStyle w:val="vTablebullet1"/>
            </w:pPr>
            <w:r w:rsidRPr="006E5F48">
              <w:t xml:space="preserve">an apology made to them or within the </w:t>
            </w:r>
            <w:proofErr w:type="gramStart"/>
            <w:r w:rsidRPr="006E5F48">
              <w:t>community</w:t>
            </w:r>
            <w:proofErr w:type="gramEnd"/>
          </w:p>
          <w:p w14:paraId="79FE5D7F" w14:textId="67E5AC99" w:rsidR="006E5F48" w:rsidRPr="006E5F48" w:rsidRDefault="006E5F48" w:rsidP="006E5F48">
            <w:pPr>
              <w:pStyle w:val="vTablebullet1"/>
            </w:pPr>
            <w:r w:rsidRPr="006E5F48">
              <w:t xml:space="preserve">a promise to change or stop the </w:t>
            </w:r>
            <w:proofErr w:type="gramStart"/>
            <w:r w:rsidRPr="006E5F48">
              <w:t>behaviour</w:t>
            </w:r>
            <w:proofErr w:type="gramEnd"/>
          </w:p>
          <w:p w14:paraId="2E55B9E3" w14:textId="43CA34C9" w:rsidR="006E5F48" w:rsidRPr="006E5F48" w:rsidRDefault="006E5F48" w:rsidP="006E5F48">
            <w:pPr>
              <w:pStyle w:val="vTablebullet1"/>
            </w:pPr>
            <w:r w:rsidRPr="006E5F48">
              <w:t>compensation</w:t>
            </w:r>
          </w:p>
          <w:p w14:paraId="29C910E8" w14:textId="2A1F65D1" w:rsidR="006E5F48" w:rsidRPr="006E5F48" w:rsidRDefault="006E5F48" w:rsidP="006E5F48">
            <w:pPr>
              <w:pStyle w:val="vTablebullet1"/>
            </w:pPr>
            <w:r w:rsidRPr="006E5F48">
              <w:t>being given their job back</w:t>
            </w:r>
          </w:p>
          <w:p w14:paraId="219A6D26" w14:textId="2322A4A3" w:rsidR="006E5F48" w:rsidRPr="006E5F48" w:rsidRDefault="006E5F48" w:rsidP="006E5F48">
            <w:pPr>
              <w:pStyle w:val="vTablebullet1"/>
            </w:pPr>
            <w:r w:rsidRPr="006E5F48">
              <w:t>a statement of service or reference</w:t>
            </w:r>
          </w:p>
          <w:p w14:paraId="3C5A0E9E" w14:textId="0312C554" w:rsidR="006E5F48" w:rsidRPr="006E5F48" w:rsidRDefault="006E5F48" w:rsidP="006E5F48">
            <w:pPr>
              <w:pStyle w:val="vTablebullet1"/>
            </w:pPr>
            <w:r w:rsidRPr="006E5F48">
              <w:t>accessing a service</w:t>
            </w:r>
          </w:p>
          <w:p w14:paraId="65EF85A2" w14:textId="0228DF44" w:rsidR="006E5F48" w:rsidRPr="006E5F48" w:rsidRDefault="006E5F48" w:rsidP="006E5F48">
            <w:pPr>
              <w:pStyle w:val="vTablebullet1"/>
            </w:pPr>
            <w:r w:rsidRPr="006E5F48">
              <w:t>cultural awareness or cultural safety training</w:t>
            </w:r>
          </w:p>
          <w:p w14:paraId="16EBBF36" w14:textId="662E1040" w:rsidR="006E5F48" w:rsidRPr="006E5F48" w:rsidRDefault="006E5F48" w:rsidP="006E5F48">
            <w:pPr>
              <w:pStyle w:val="vTablebullet1"/>
            </w:pPr>
            <w:r w:rsidRPr="006E5F48">
              <w:t>training in equal opportunity laws so they know the behaviour should</w:t>
            </w:r>
            <w:r>
              <w:t xml:space="preserve"> </w:t>
            </w:r>
            <w:r w:rsidRPr="006E5F48">
              <w:t xml:space="preserve">not happen </w:t>
            </w:r>
            <w:proofErr w:type="gramStart"/>
            <w:r w:rsidRPr="006E5F48">
              <w:t>again</w:t>
            </w:r>
            <w:proofErr w:type="gramEnd"/>
          </w:p>
          <w:p w14:paraId="180F3C1C" w14:textId="734E1D25" w:rsidR="006E5F48" w:rsidRPr="006E5F48" w:rsidRDefault="006E5F48" w:rsidP="006E5F48">
            <w:pPr>
              <w:pStyle w:val="vTablebullet1"/>
            </w:pPr>
            <w:r w:rsidRPr="006E5F48">
              <w:t>reviewing and updating equal opportunity and diversity policies.</w:t>
            </w:r>
          </w:p>
        </w:tc>
      </w:tr>
    </w:tbl>
    <w:p w14:paraId="712F7540" w14:textId="147D3914" w:rsidR="00C74292" w:rsidRPr="00C74292" w:rsidRDefault="00C74292" w:rsidP="00B86F48">
      <w:pPr>
        <w:pStyle w:val="vHeading2"/>
        <w:keepNext/>
      </w:pPr>
      <w:r w:rsidRPr="00C74292">
        <w:t>What organisations did First Nations people</w:t>
      </w:r>
      <w:r>
        <w:t xml:space="preserve"> </w:t>
      </w:r>
      <w:r w:rsidRPr="00C74292">
        <w:t>make complaints about?</w:t>
      </w:r>
    </w:p>
    <w:p w14:paraId="7AAF61F1" w14:textId="23BA25AA" w:rsidR="00C74292" w:rsidRPr="00C74292" w:rsidRDefault="00C74292" w:rsidP="00C74292">
      <w:pPr>
        <w:pStyle w:val="vBodytext"/>
      </w:pPr>
      <w:r w:rsidRPr="00C74292">
        <w:t>The complaints we receive highlight some of the common organisations where</w:t>
      </w:r>
      <w:r>
        <w:t xml:space="preserve"> </w:t>
      </w:r>
      <w:r w:rsidRPr="00C74292">
        <w:t>First Nations people experienced discrimination.</w:t>
      </w:r>
    </w:p>
    <w:p w14:paraId="13B2380E" w14:textId="77777777" w:rsidR="009365F3" w:rsidRDefault="009365F3">
      <w:pPr>
        <w:rPr>
          <w:rFonts w:ascii="Arial Nova" w:hAnsi="Arial Nova"/>
          <w:b/>
          <w:bCs/>
        </w:rPr>
      </w:pPr>
      <w:r>
        <w:br w:type="page"/>
      </w:r>
    </w:p>
    <w:p w14:paraId="3DD6D49E" w14:textId="11FF8C33" w:rsidR="006E5F48" w:rsidRDefault="00C74292" w:rsidP="00C74292">
      <w:pPr>
        <w:pStyle w:val="vHeading5"/>
      </w:pPr>
      <w:r w:rsidRPr="00C74292">
        <w:lastRenderedPageBreak/>
        <w:t>Figure 6. Common organisations First Nations people make complaints about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72"/>
        <w:gridCol w:w="2693"/>
      </w:tblGrid>
      <w:tr w:rsidR="00E80A09" w:rsidRPr="00E06DE3" w14:paraId="08B8E760" w14:textId="77777777" w:rsidTr="00E80A09">
        <w:tc>
          <w:tcPr>
            <w:tcW w:w="2972" w:type="dxa"/>
            <w:shd w:val="clear" w:color="auto" w:fill="071C53" w:themeFill="text2"/>
            <w:tcMar>
              <w:top w:w="57" w:type="dxa"/>
              <w:bottom w:w="57" w:type="dxa"/>
            </w:tcMar>
          </w:tcPr>
          <w:p w14:paraId="3E591862" w14:textId="61F980CD" w:rsidR="00E80A09" w:rsidRPr="00C74292" w:rsidRDefault="00E80A09" w:rsidP="00C74292">
            <w:pPr>
              <w:pStyle w:val="vTableheaderleft"/>
            </w:pPr>
            <w:r>
              <w:t>Organisation type</w:t>
            </w:r>
          </w:p>
        </w:tc>
        <w:tc>
          <w:tcPr>
            <w:tcW w:w="2693" w:type="dxa"/>
            <w:shd w:val="clear" w:color="auto" w:fill="071C53" w:themeFill="text2"/>
            <w:tcMar>
              <w:top w:w="57" w:type="dxa"/>
              <w:bottom w:w="57" w:type="dxa"/>
            </w:tcMar>
          </w:tcPr>
          <w:p w14:paraId="7B09446F" w14:textId="5E1AA55D" w:rsidR="00E80A09" w:rsidRPr="00C74292" w:rsidRDefault="00E80A09" w:rsidP="00C74292">
            <w:pPr>
              <w:pStyle w:val="vTableheaderright"/>
            </w:pPr>
            <w:r>
              <w:t>Proportion of complaints from First Nations people</w:t>
            </w:r>
          </w:p>
        </w:tc>
      </w:tr>
      <w:tr w:rsidR="00E80A09" w:rsidRPr="00E06DE3" w14:paraId="091AF133" w14:textId="77777777" w:rsidTr="00E80A09">
        <w:tc>
          <w:tcPr>
            <w:tcW w:w="2972" w:type="dxa"/>
            <w:shd w:val="clear" w:color="auto" w:fill="DDDDDD"/>
            <w:tcMar>
              <w:top w:w="57" w:type="dxa"/>
              <w:bottom w:w="57" w:type="dxa"/>
            </w:tcMar>
          </w:tcPr>
          <w:p w14:paraId="389112A9" w14:textId="0A987372" w:rsidR="00E80A09" w:rsidRPr="00C74292" w:rsidRDefault="00E80A09" w:rsidP="00C74292">
            <w:pPr>
              <w:pStyle w:val="vTabletext"/>
            </w:pPr>
            <w:r>
              <w:t>Retail</w:t>
            </w:r>
          </w:p>
        </w:tc>
        <w:tc>
          <w:tcPr>
            <w:tcW w:w="2693" w:type="dxa"/>
            <w:shd w:val="clear" w:color="auto" w:fill="DDDDDD"/>
            <w:tcMar>
              <w:top w:w="57" w:type="dxa"/>
              <w:bottom w:w="57" w:type="dxa"/>
            </w:tcMar>
          </w:tcPr>
          <w:p w14:paraId="3085AD7F" w14:textId="207CC5CB" w:rsidR="00E80A09" w:rsidRPr="00C74292" w:rsidRDefault="00E80A09" w:rsidP="00C74292">
            <w:pPr>
              <w:pStyle w:val="vTabletextright"/>
            </w:pPr>
            <w:r>
              <w:t>17%</w:t>
            </w:r>
          </w:p>
        </w:tc>
      </w:tr>
      <w:tr w:rsidR="00E80A09" w:rsidRPr="00E06DE3" w14:paraId="0F651907" w14:textId="77777777" w:rsidTr="00E80A09">
        <w:tc>
          <w:tcPr>
            <w:tcW w:w="2972" w:type="dxa"/>
            <w:shd w:val="clear" w:color="auto" w:fill="DDDDDD"/>
            <w:tcMar>
              <w:top w:w="57" w:type="dxa"/>
              <w:bottom w:w="57" w:type="dxa"/>
            </w:tcMar>
          </w:tcPr>
          <w:p w14:paraId="69A3F569" w14:textId="59FF7B7F" w:rsidR="00E80A09" w:rsidRPr="00C74292" w:rsidRDefault="00E80A09" w:rsidP="00C74292">
            <w:pPr>
              <w:pStyle w:val="vTabletext"/>
            </w:pPr>
            <w:r>
              <w:t>Health and medical providers</w:t>
            </w:r>
          </w:p>
        </w:tc>
        <w:tc>
          <w:tcPr>
            <w:tcW w:w="2693" w:type="dxa"/>
            <w:shd w:val="clear" w:color="auto" w:fill="DDDDDD"/>
            <w:tcMar>
              <w:top w:w="57" w:type="dxa"/>
              <w:bottom w:w="57" w:type="dxa"/>
            </w:tcMar>
          </w:tcPr>
          <w:p w14:paraId="520AACB6" w14:textId="7FD80921" w:rsidR="00E80A09" w:rsidRPr="00C74292" w:rsidRDefault="00E80A09" w:rsidP="00C74292">
            <w:pPr>
              <w:pStyle w:val="vTabletextright"/>
            </w:pPr>
            <w:r>
              <w:t>15%</w:t>
            </w:r>
          </w:p>
        </w:tc>
      </w:tr>
      <w:tr w:rsidR="00E80A09" w:rsidRPr="00E06DE3" w14:paraId="5AF7C891" w14:textId="77777777" w:rsidTr="00E80A09">
        <w:tc>
          <w:tcPr>
            <w:tcW w:w="2972" w:type="dxa"/>
            <w:shd w:val="clear" w:color="auto" w:fill="DDDDDD"/>
            <w:tcMar>
              <w:top w:w="57" w:type="dxa"/>
              <w:bottom w:w="57" w:type="dxa"/>
            </w:tcMar>
          </w:tcPr>
          <w:p w14:paraId="2626CEE9" w14:textId="3C77EEE2" w:rsidR="00E80A09" w:rsidRDefault="00E80A09" w:rsidP="00C74292">
            <w:pPr>
              <w:pStyle w:val="vTabletext"/>
            </w:pPr>
            <w:r>
              <w:t>Education</w:t>
            </w:r>
          </w:p>
        </w:tc>
        <w:tc>
          <w:tcPr>
            <w:tcW w:w="2693" w:type="dxa"/>
            <w:shd w:val="clear" w:color="auto" w:fill="DDDDDD"/>
            <w:tcMar>
              <w:top w:w="57" w:type="dxa"/>
              <w:bottom w:w="57" w:type="dxa"/>
            </w:tcMar>
          </w:tcPr>
          <w:p w14:paraId="39DC7EC3" w14:textId="574957FD" w:rsidR="00E80A09" w:rsidRPr="00C74292" w:rsidRDefault="00E80A09" w:rsidP="00C74292">
            <w:pPr>
              <w:pStyle w:val="vTabletextright"/>
            </w:pPr>
            <w:r>
              <w:t>10%</w:t>
            </w:r>
          </w:p>
        </w:tc>
      </w:tr>
      <w:tr w:rsidR="00E80A09" w:rsidRPr="00E06DE3" w14:paraId="6367114D" w14:textId="77777777" w:rsidTr="00E80A09">
        <w:tc>
          <w:tcPr>
            <w:tcW w:w="2972" w:type="dxa"/>
            <w:shd w:val="clear" w:color="auto" w:fill="DDDDDD"/>
            <w:tcMar>
              <w:top w:w="57" w:type="dxa"/>
              <w:bottom w:w="57" w:type="dxa"/>
            </w:tcMar>
          </w:tcPr>
          <w:p w14:paraId="79E5F2C8" w14:textId="747DE15B" w:rsidR="00E80A09" w:rsidRDefault="00E80A09" w:rsidP="00C74292">
            <w:pPr>
              <w:pStyle w:val="vTabletext"/>
            </w:pPr>
            <w:r>
              <w:t>First Nations organisations</w:t>
            </w:r>
          </w:p>
        </w:tc>
        <w:tc>
          <w:tcPr>
            <w:tcW w:w="2693" w:type="dxa"/>
            <w:shd w:val="clear" w:color="auto" w:fill="DDDDDD"/>
            <w:tcMar>
              <w:top w:w="57" w:type="dxa"/>
              <w:bottom w:w="57" w:type="dxa"/>
            </w:tcMar>
          </w:tcPr>
          <w:p w14:paraId="059FED81" w14:textId="20958CCC" w:rsidR="00E80A09" w:rsidRPr="00C74292" w:rsidRDefault="00E80A09" w:rsidP="00C74292">
            <w:pPr>
              <w:pStyle w:val="vTabletextright"/>
            </w:pPr>
            <w:r>
              <w:t>7%</w:t>
            </w:r>
          </w:p>
        </w:tc>
      </w:tr>
      <w:tr w:rsidR="00E80A09" w:rsidRPr="00E06DE3" w14:paraId="4310107B" w14:textId="77777777" w:rsidTr="00E80A09">
        <w:tc>
          <w:tcPr>
            <w:tcW w:w="2972" w:type="dxa"/>
            <w:shd w:val="clear" w:color="auto" w:fill="DDDDDD"/>
            <w:tcMar>
              <w:top w:w="57" w:type="dxa"/>
              <w:bottom w:w="57" w:type="dxa"/>
            </w:tcMar>
          </w:tcPr>
          <w:p w14:paraId="04BFFBFE" w14:textId="1CEA543D" w:rsidR="00E80A09" w:rsidRDefault="00E80A09" w:rsidP="00C74292">
            <w:pPr>
              <w:pStyle w:val="vTabletext"/>
            </w:pPr>
            <w:r>
              <w:t>State government agencies</w:t>
            </w:r>
          </w:p>
        </w:tc>
        <w:tc>
          <w:tcPr>
            <w:tcW w:w="2693" w:type="dxa"/>
            <w:shd w:val="clear" w:color="auto" w:fill="DDDDDD"/>
            <w:tcMar>
              <w:top w:w="57" w:type="dxa"/>
              <w:bottom w:w="57" w:type="dxa"/>
            </w:tcMar>
          </w:tcPr>
          <w:p w14:paraId="5432FC90" w14:textId="107740B8" w:rsidR="00E80A09" w:rsidRPr="00C74292" w:rsidRDefault="00322015" w:rsidP="00C74292">
            <w:pPr>
              <w:pStyle w:val="vTabletextright"/>
            </w:pPr>
            <w:r>
              <w:t>7%</w:t>
            </w:r>
          </w:p>
        </w:tc>
      </w:tr>
      <w:tr w:rsidR="00E80A09" w:rsidRPr="00E06DE3" w14:paraId="0D152B99" w14:textId="77777777" w:rsidTr="00E80A09">
        <w:tc>
          <w:tcPr>
            <w:tcW w:w="2972" w:type="dxa"/>
            <w:shd w:val="clear" w:color="auto" w:fill="DDDDDD"/>
            <w:tcMar>
              <w:top w:w="57" w:type="dxa"/>
              <w:bottom w:w="57" w:type="dxa"/>
            </w:tcMar>
          </w:tcPr>
          <w:p w14:paraId="627E83A6" w14:textId="1FA150E6" w:rsidR="00E80A09" w:rsidRDefault="00E80A09" w:rsidP="00C74292">
            <w:pPr>
              <w:pStyle w:val="vTabletext"/>
            </w:pPr>
            <w:r>
              <w:t>Construction</w:t>
            </w:r>
          </w:p>
        </w:tc>
        <w:tc>
          <w:tcPr>
            <w:tcW w:w="2693" w:type="dxa"/>
            <w:shd w:val="clear" w:color="auto" w:fill="DDDDDD"/>
            <w:tcMar>
              <w:top w:w="57" w:type="dxa"/>
              <w:bottom w:w="57" w:type="dxa"/>
            </w:tcMar>
          </w:tcPr>
          <w:p w14:paraId="2A8D62D4" w14:textId="29E8F602" w:rsidR="00E80A09" w:rsidRPr="00C74292" w:rsidRDefault="00322015" w:rsidP="00C74292">
            <w:pPr>
              <w:pStyle w:val="vTabletextright"/>
            </w:pPr>
            <w:r>
              <w:t>7%</w:t>
            </w:r>
          </w:p>
        </w:tc>
      </w:tr>
      <w:tr w:rsidR="00E80A09" w:rsidRPr="00E06DE3" w14:paraId="45B25896" w14:textId="77777777" w:rsidTr="00E80A09">
        <w:tc>
          <w:tcPr>
            <w:tcW w:w="2972" w:type="dxa"/>
            <w:shd w:val="clear" w:color="auto" w:fill="DDDDDD"/>
            <w:tcMar>
              <w:top w:w="57" w:type="dxa"/>
              <w:bottom w:w="57" w:type="dxa"/>
            </w:tcMar>
          </w:tcPr>
          <w:p w14:paraId="75562CD8" w14:textId="68C4604D" w:rsidR="00E80A09" w:rsidRDefault="00E80A09" w:rsidP="00C74292">
            <w:pPr>
              <w:pStyle w:val="vTabletext"/>
            </w:pPr>
            <w:r>
              <w:t>Real estate</w:t>
            </w:r>
          </w:p>
        </w:tc>
        <w:tc>
          <w:tcPr>
            <w:tcW w:w="2693" w:type="dxa"/>
            <w:shd w:val="clear" w:color="auto" w:fill="DDDDDD"/>
            <w:tcMar>
              <w:top w:w="57" w:type="dxa"/>
              <w:bottom w:w="57" w:type="dxa"/>
            </w:tcMar>
          </w:tcPr>
          <w:p w14:paraId="06033FC7" w14:textId="4EAD8788" w:rsidR="00E80A09" w:rsidRPr="00C74292" w:rsidRDefault="00322015" w:rsidP="00C74292">
            <w:pPr>
              <w:pStyle w:val="vTabletextright"/>
            </w:pPr>
            <w:r>
              <w:t>6%</w:t>
            </w:r>
          </w:p>
        </w:tc>
      </w:tr>
    </w:tbl>
    <w:p w14:paraId="38B84E5B" w14:textId="581C158D" w:rsidR="00C74292" w:rsidRDefault="00291502" w:rsidP="009A6E78">
      <w:pPr>
        <w:pStyle w:val="vBodytext-spacebefore"/>
        <w:keepNext/>
      </w:pPr>
      <w:r w:rsidRPr="00291502">
        <w:t>There are 14 other organisation types that complaints were made about. We have</w:t>
      </w:r>
      <w:r>
        <w:t xml:space="preserve"> </w:t>
      </w:r>
      <w:r w:rsidRPr="00291502">
        <w:t>not identified them above as they have each have low complaints numbers. These</w:t>
      </w:r>
      <w:r>
        <w:t xml:space="preserve"> </w:t>
      </w:r>
      <w:r w:rsidRPr="00291502">
        <w:t>include hotel/motel, community housing and labour hire services.</w:t>
      </w:r>
    </w:p>
    <w:tbl>
      <w:tblPr>
        <w:tblStyle w:val="VEOHRCsimplegreen"/>
        <w:tblW w:w="0" w:type="auto"/>
        <w:shd w:val="clear" w:color="auto" w:fill="A0EBD7" w:themeFill="accent4" w:themeFillTint="99"/>
        <w:tblLook w:val="04A0" w:firstRow="1" w:lastRow="0" w:firstColumn="1" w:lastColumn="0" w:noHBand="0" w:noVBand="1"/>
      </w:tblPr>
      <w:tblGrid>
        <w:gridCol w:w="9060"/>
      </w:tblGrid>
      <w:tr w:rsidR="00291502" w14:paraId="6A04B802" w14:textId="77777777" w:rsidTr="00AE541E">
        <w:trPr>
          <w:cantSplit/>
        </w:trPr>
        <w:tc>
          <w:tcPr>
            <w:tcW w:w="9060" w:type="dxa"/>
            <w:shd w:val="clear" w:color="auto" w:fill="A0EBD7" w:themeFill="accent4" w:themeFillTint="99"/>
          </w:tcPr>
          <w:p w14:paraId="3E57B77F" w14:textId="77777777" w:rsidR="00291502" w:rsidRPr="00291502" w:rsidRDefault="00291502" w:rsidP="00291502">
            <w:pPr>
              <w:pStyle w:val="vTableboldleft"/>
            </w:pPr>
            <w:r w:rsidRPr="00291502">
              <w:t>Making our services more accessible for First Nations people</w:t>
            </w:r>
          </w:p>
          <w:p w14:paraId="28038FF4" w14:textId="1B48D2FB" w:rsidR="00291502" w:rsidRPr="00291502" w:rsidRDefault="00291502" w:rsidP="00291502">
            <w:pPr>
              <w:pStyle w:val="vTabletext"/>
            </w:pPr>
            <w:r w:rsidRPr="00291502">
              <w:t>In recent years, we have working to make our complaints service more accessible</w:t>
            </w:r>
            <w:r>
              <w:t xml:space="preserve"> </w:t>
            </w:r>
            <w:r w:rsidRPr="00291502">
              <w:t>and culturally safe for First Nations complainants – by fast-tracking complaints</w:t>
            </w:r>
            <w:r>
              <w:t xml:space="preserve"> </w:t>
            </w:r>
            <w:r w:rsidRPr="00291502">
              <w:t>from First Nations people and providing additional support to start the process</w:t>
            </w:r>
            <w:r>
              <w:t xml:space="preserve"> </w:t>
            </w:r>
            <w:r w:rsidRPr="00291502">
              <w:t>and provide the required information. Since these improvements, we have seen</w:t>
            </w:r>
            <w:r>
              <w:t xml:space="preserve"> </w:t>
            </w:r>
            <w:r w:rsidRPr="00291502">
              <w:t>a significant increase in the number of complaints we have received from First</w:t>
            </w:r>
            <w:r>
              <w:t xml:space="preserve"> </w:t>
            </w:r>
            <w:r w:rsidRPr="00291502">
              <w:t>Nations people. Streamlining our service in this way has made the process more</w:t>
            </w:r>
            <w:r>
              <w:t xml:space="preserve"> </w:t>
            </w:r>
            <w:r w:rsidRPr="00291502">
              <w:t>flexible and removed some barriers to making a complaint.</w:t>
            </w:r>
          </w:p>
          <w:p w14:paraId="4257F979" w14:textId="77777777" w:rsidR="00291502" w:rsidRDefault="00291502" w:rsidP="00291502">
            <w:pPr>
              <w:pStyle w:val="vTabletext"/>
            </w:pPr>
            <w:r w:rsidRPr="00291502">
              <w:t>We’ve also focused on establishing pathways for warm referrals from relevant</w:t>
            </w:r>
            <w:r>
              <w:t xml:space="preserve"> </w:t>
            </w:r>
            <w:r w:rsidRPr="00291502">
              <w:t>stakeholders including:</w:t>
            </w:r>
          </w:p>
          <w:p w14:paraId="6D3A8A6F" w14:textId="77777777" w:rsidR="00DD661F" w:rsidRPr="00DD661F" w:rsidRDefault="00DD661F" w:rsidP="00DD661F">
            <w:pPr>
              <w:pStyle w:val="vTablebullet1"/>
            </w:pPr>
            <w:r w:rsidRPr="00DD661F">
              <w:t>Aboriginal Housing Victoria</w:t>
            </w:r>
          </w:p>
          <w:p w14:paraId="475F93B1" w14:textId="5BAA4460" w:rsidR="00DD661F" w:rsidRPr="00DD661F" w:rsidRDefault="00DD661F" w:rsidP="00DD661F">
            <w:pPr>
              <w:pStyle w:val="vTablebullet1"/>
            </w:pPr>
            <w:r w:rsidRPr="00DD661F">
              <w:t>Disability Discrimination Legal</w:t>
            </w:r>
            <w:r>
              <w:t xml:space="preserve"> </w:t>
            </w:r>
            <w:r w:rsidRPr="00DD661F">
              <w:t>Service</w:t>
            </w:r>
          </w:p>
          <w:p w14:paraId="38B1B6A8" w14:textId="67069797" w:rsidR="00DD661F" w:rsidRPr="00DD661F" w:rsidRDefault="00DD661F" w:rsidP="00DD661F">
            <w:pPr>
              <w:pStyle w:val="vTablebullet1"/>
            </w:pPr>
            <w:r w:rsidRPr="00DD661F">
              <w:t>Dispute Settlement Centre</w:t>
            </w:r>
          </w:p>
          <w:p w14:paraId="14B91E34" w14:textId="2A940860" w:rsidR="00DD661F" w:rsidRPr="00DD661F" w:rsidRDefault="00DD661F" w:rsidP="00DD661F">
            <w:pPr>
              <w:pStyle w:val="vTablebullet1"/>
            </w:pPr>
            <w:r w:rsidRPr="00DD661F">
              <w:t>E-Safety Commissioner</w:t>
            </w:r>
          </w:p>
          <w:p w14:paraId="1CC87C32" w14:textId="2B433542" w:rsidR="00DD661F" w:rsidRPr="00DD661F" w:rsidRDefault="00DD661F" w:rsidP="00DD661F">
            <w:pPr>
              <w:pStyle w:val="vTablebullet1"/>
            </w:pPr>
            <w:r w:rsidRPr="00DD661F">
              <w:t>Fair Work Ombudsman</w:t>
            </w:r>
          </w:p>
          <w:p w14:paraId="4B2B7DAF" w14:textId="77777777" w:rsidR="00291502" w:rsidRDefault="00DD661F" w:rsidP="00DD661F">
            <w:pPr>
              <w:pStyle w:val="vTablebullet1"/>
            </w:pPr>
            <w:r w:rsidRPr="00DD661F">
              <w:t>Health Complaints Commissioner</w:t>
            </w:r>
          </w:p>
          <w:p w14:paraId="188A7969" w14:textId="77777777" w:rsidR="00DD661F" w:rsidRPr="00DD661F" w:rsidRDefault="00DD661F" w:rsidP="00DD661F">
            <w:pPr>
              <w:pStyle w:val="vTablebullet1"/>
            </w:pPr>
            <w:proofErr w:type="spellStart"/>
            <w:r w:rsidRPr="00DD661F">
              <w:t>JobWatch</w:t>
            </w:r>
            <w:proofErr w:type="spellEnd"/>
          </w:p>
          <w:p w14:paraId="762BC078" w14:textId="3110EAC9" w:rsidR="00DD661F" w:rsidRPr="00DD661F" w:rsidRDefault="00DD661F" w:rsidP="00DD661F">
            <w:pPr>
              <w:pStyle w:val="vTablebullet1"/>
            </w:pPr>
            <w:r>
              <w:t>M</w:t>
            </w:r>
            <w:r w:rsidRPr="00DD661F">
              <w:t>ental Health Complaints</w:t>
            </w:r>
            <w:r>
              <w:t xml:space="preserve"> </w:t>
            </w:r>
            <w:r w:rsidRPr="00DD661F">
              <w:t>Commissioner</w:t>
            </w:r>
          </w:p>
          <w:p w14:paraId="0783C59E" w14:textId="7469F2AB" w:rsidR="00DD661F" w:rsidRPr="00DD661F" w:rsidRDefault="00DD661F" w:rsidP="00DD661F">
            <w:pPr>
              <w:pStyle w:val="vTablebullet1"/>
            </w:pPr>
            <w:r w:rsidRPr="00DD661F">
              <w:t>Victorian Aboriginal Legal Service</w:t>
            </w:r>
          </w:p>
          <w:p w14:paraId="6540E1FD" w14:textId="5E4D7FD5" w:rsidR="00DD661F" w:rsidRPr="00DD661F" w:rsidRDefault="00DD661F" w:rsidP="00DD661F">
            <w:pPr>
              <w:pStyle w:val="vTablebullet1"/>
            </w:pPr>
            <w:r w:rsidRPr="00DD661F">
              <w:t>Victoria Legal Aid</w:t>
            </w:r>
          </w:p>
          <w:p w14:paraId="052A8B78" w14:textId="24578551" w:rsidR="00DD661F" w:rsidRPr="00DD661F" w:rsidRDefault="00DD661F" w:rsidP="00DD661F">
            <w:pPr>
              <w:pStyle w:val="vTablebullet1"/>
            </w:pPr>
            <w:r w:rsidRPr="00DD661F">
              <w:t>Victorian Ombudsman</w:t>
            </w:r>
          </w:p>
          <w:p w14:paraId="5D323413" w14:textId="06965B6D" w:rsidR="00DD661F" w:rsidRPr="00291502" w:rsidRDefault="00DD661F" w:rsidP="00DD661F">
            <w:pPr>
              <w:pStyle w:val="vTablebullet1"/>
            </w:pPr>
            <w:r w:rsidRPr="00DD661F">
              <w:t>WorkSafe Victoria</w:t>
            </w:r>
          </w:p>
        </w:tc>
      </w:tr>
    </w:tbl>
    <w:p w14:paraId="419DFF7A" w14:textId="77777777" w:rsidR="00AE541E" w:rsidRDefault="00AE541E" w:rsidP="00CB0BD6">
      <w:pPr>
        <w:pStyle w:val="vHeading1"/>
      </w:pPr>
    </w:p>
    <w:p w14:paraId="55F26293" w14:textId="655EB4C0" w:rsidR="00CB0BD6" w:rsidRPr="00CB0BD6" w:rsidRDefault="00CB0BD6" w:rsidP="00CB0BD6">
      <w:pPr>
        <w:pStyle w:val="vHeading1"/>
      </w:pPr>
      <w:r w:rsidRPr="00CB0BD6">
        <w:lastRenderedPageBreak/>
        <w:t>Enquiries</w:t>
      </w:r>
    </w:p>
    <w:p w14:paraId="30FBBDBF" w14:textId="37246BA0" w:rsidR="00CB0BD6" w:rsidRPr="00CB0BD6" w:rsidRDefault="00CB0BD6" w:rsidP="00CB0BD6">
      <w:pPr>
        <w:pStyle w:val="vHeading2"/>
      </w:pPr>
      <w:r w:rsidRPr="00CB0BD6">
        <w:t>How many First Nations people made</w:t>
      </w:r>
      <w:r>
        <w:t xml:space="preserve"> </w:t>
      </w:r>
      <w:r w:rsidRPr="00CB0BD6">
        <w:t>enquiries?</w:t>
      </w:r>
    </w:p>
    <w:p w14:paraId="733EA8E5" w14:textId="78AF684B" w:rsidR="00CB0BD6" w:rsidRPr="00CB0BD6" w:rsidRDefault="00CB0BD6" w:rsidP="00CB0BD6">
      <w:pPr>
        <w:pStyle w:val="vBodytext"/>
      </w:pPr>
      <w:r w:rsidRPr="00CB0BD6">
        <w:t>Since 2019–20, we have received 187 enquiries from First Nations people,</w:t>
      </w:r>
      <w:r>
        <w:t xml:space="preserve"> </w:t>
      </w:r>
      <w:r w:rsidRPr="00CB0BD6">
        <w:t>raising 329 issues of discrimination.</w:t>
      </w:r>
    </w:p>
    <w:p w14:paraId="19B7BB23" w14:textId="612DB65D" w:rsidR="00291502" w:rsidRDefault="00CB0BD6" w:rsidP="00CB0BD6">
      <w:pPr>
        <w:pStyle w:val="vHeading5"/>
      </w:pPr>
      <w:r w:rsidRPr="00CB0BD6">
        <w:t>Figure 7. Enquiries from First Nations people and issues raised,</w:t>
      </w:r>
      <w:r>
        <w:t xml:space="preserve"> </w:t>
      </w:r>
      <w:r w:rsidRPr="00CB0BD6">
        <w:t>2019–20 to 2022–</w:t>
      </w:r>
      <w:proofErr w:type="gramStart"/>
      <w:r w:rsidRPr="00CB0BD6">
        <w:t>23</w:t>
      </w:r>
      <w:proofErr w:type="gramEnd"/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13"/>
        <w:gridCol w:w="2126"/>
        <w:gridCol w:w="1134"/>
      </w:tblGrid>
      <w:tr w:rsidR="00CB0BD6" w:rsidRPr="00E06DE3" w14:paraId="1779CDD1" w14:textId="2FBD9F7C" w:rsidTr="002C6D9F">
        <w:tc>
          <w:tcPr>
            <w:tcW w:w="1413" w:type="dxa"/>
            <w:shd w:val="clear" w:color="auto" w:fill="071C53" w:themeFill="text2"/>
            <w:tcMar>
              <w:top w:w="57" w:type="dxa"/>
              <w:bottom w:w="57" w:type="dxa"/>
            </w:tcMar>
          </w:tcPr>
          <w:p w14:paraId="1CAD22CB" w14:textId="19797F5B" w:rsidR="00CB0BD6" w:rsidRPr="00CB0BD6" w:rsidRDefault="00CB0BD6" w:rsidP="00CB0BD6">
            <w:pPr>
              <w:pStyle w:val="vTableheaderleft"/>
            </w:pPr>
            <w:r>
              <w:t>Year</w:t>
            </w:r>
          </w:p>
        </w:tc>
        <w:tc>
          <w:tcPr>
            <w:tcW w:w="2126" w:type="dxa"/>
            <w:shd w:val="clear" w:color="auto" w:fill="071C53" w:themeFill="text2"/>
            <w:tcMar>
              <w:top w:w="57" w:type="dxa"/>
              <w:bottom w:w="57" w:type="dxa"/>
            </w:tcMar>
          </w:tcPr>
          <w:p w14:paraId="391C8DD4" w14:textId="785B1834" w:rsidR="00CB0BD6" w:rsidRPr="00CB0BD6" w:rsidRDefault="00CB0BD6" w:rsidP="00CB0BD6">
            <w:pPr>
              <w:pStyle w:val="vTableheaderright"/>
            </w:pPr>
            <w:r>
              <w:t>First Nations people making an enquiry</w:t>
            </w:r>
          </w:p>
        </w:tc>
        <w:tc>
          <w:tcPr>
            <w:tcW w:w="1134" w:type="dxa"/>
            <w:shd w:val="clear" w:color="auto" w:fill="071C53" w:themeFill="text2"/>
          </w:tcPr>
          <w:p w14:paraId="189C37E2" w14:textId="76E1EEF4" w:rsidR="00CB0BD6" w:rsidRDefault="002C6D9F" w:rsidP="00CB0BD6">
            <w:pPr>
              <w:pStyle w:val="vTableheaderright"/>
            </w:pPr>
            <w:r>
              <w:t>Issues raised</w:t>
            </w:r>
          </w:p>
        </w:tc>
      </w:tr>
      <w:tr w:rsidR="00CB0BD6" w:rsidRPr="00E06DE3" w14:paraId="6FC08FB4" w14:textId="22259D42" w:rsidTr="002C6D9F">
        <w:tc>
          <w:tcPr>
            <w:tcW w:w="1413" w:type="dxa"/>
            <w:shd w:val="clear" w:color="auto" w:fill="DDDDDD"/>
            <w:tcMar>
              <w:top w:w="57" w:type="dxa"/>
              <w:bottom w:w="57" w:type="dxa"/>
            </w:tcMar>
          </w:tcPr>
          <w:p w14:paraId="36D98F90" w14:textId="25CE80A0" w:rsidR="00CB0BD6" w:rsidRPr="00CB0BD6" w:rsidRDefault="002C6D9F" w:rsidP="00CB0BD6">
            <w:pPr>
              <w:pStyle w:val="vTabletext"/>
            </w:pPr>
            <w:r>
              <w:t>2019–20</w:t>
            </w:r>
          </w:p>
        </w:tc>
        <w:tc>
          <w:tcPr>
            <w:tcW w:w="2126" w:type="dxa"/>
            <w:shd w:val="clear" w:color="auto" w:fill="DDDDDD"/>
            <w:tcMar>
              <w:top w:w="57" w:type="dxa"/>
              <w:bottom w:w="57" w:type="dxa"/>
            </w:tcMar>
          </w:tcPr>
          <w:p w14:paraId="53654979" w14:textId="30ECEB6F" w:rsidR="00CB0BD6" w:rsidRPr="00CB0BD6" w:rsidRDefault="002C6D9F" w:rsidP="00CB0BD6">
            <w:pPr>
              <w:pStyle w:val="vTabletextright"/>
            </w:pPr>
            <w:r>
              <w:t>14</w:t>
            </w:r>
          </w:p>
        </w:tc>
        <w:tc>
          <w:tcPr>
            <w:tcW w:w="1134" w:type="dxa"/>
            <w:shd w:val="clear" w:color="auto" w:fill="DDDDDD"/>
          </w:tcPr>
          <w:p w14:paraId="180EAB8B" w14:textId="66BFCD39" w:rsidR="00CB0BD6" w:rsidRDefault="002C6D9F" w:rsidP="00CB0BD6">
            <w:pPr>
              <w:pStyle w:val="vTabletextright"/>
            </w:pPr>
            <w:r>
              <w:t>20</w:t>
            </w:r>
          </w:p>
        </w:tc>
      </w:tr>
      <w:tr w:rsidR="00CB0BD6" w:rsidRPr="00E06DE3" w14:paraId="320857CF" w14:textId="538B5BE0" w:rsidTr="002C6D9F">
        <w:tc>
          <w:tcPr>
            <w:tcW w:w="1413" w:type="dxa"/>
            <w:shd w:val="clear" w:color="auto" w:fill="DDDDDD"/>
            <w:tcMar>
              <w:top w:w="57" w:type="dxa"/>
              <w:bottom w:w="57" w:type="dxa"/>
            </w:tcMar>
          </w:tcPr>
          <w:p w14:paraId="4955EA0C" w14:textId="071D82E5" w:rsidR="00CB0BD6" w:rsidRPr="00CB0BD6" w:rsidRDefault="002C6D9F" w:rsidP="00CB0BD6">
            <w:pPr>
              <w:pStyle w:val="vTabletext"/>
            </w:pPr>
            <w:r>
              <w:t>2020–21</w:t>
            </w:r>
          </w:p>
        </w:tc>
        <w:tc>
          <w:tcPr>
            <w:tcW w:w="2126" w:type="dxa"/>
            <w:shd w:val="clear" w:color="auto" w:fill="DDDDDD"/>
            <w:tcMar>
              <w:top w:w="57" w:type="dxa"/>
              <w:bottom w:w="57" w:type="dxa"/>
            </w:tcMar>
          </w:tcPr>
          <w:p w14:paraId="0000995E" w14:textId="7B89E4E3" w:rsidR="00CB0BD6" w:rsidRPr="00CB0BD6" w:rsidRDefault="002C6D9F" w:rsidP="00CB0BD6">
            <w:pPr>
              <w:pStyle w:val="vTabletextright"/>
            </w:pPr>
            <w:r>
              <w:t>31</w:t>
            </w:r>
          </w:p>
        </w:tc>
        <w:tc>
          <w:tcPr>
            <w:tcW w:w="1134" w:type="dxa"/>
            <w:shd w:val="clear" w:color="auto" w:fill="DDDDDD"/>
          </w:tcPr>
          <w:p w14:paraId="24507C04" w14:textId="5E55F47B" w:rsidR="00CB0BD6" w:rsidRDefault="002C6D9F" w:rsidP="00CB0BD6">
            <w:pPr>
              <w:pStyle w:val="vTabletextright"/>
            </w:pPr>
            <w:r>
              <w:t>48</w:t>
            </w:r>
          </w:p>
        </w:tc>
      </w:tr>
      <w:tr w:rsidR="00CB0BD6" w:rsidRPr="00E06DE3" w14:paraId="2E147A7B" w14:textId="09B71B8B" w:rsidTr="002C6D9F">
        <w:tc>
          <w:tcPr>
            <w:tcW w:w="1413" w:type="dxa"/>
            <w:shd w:val="clear" w:color="auto" w:fill="DDDDDD"/>
            <w:tcMar>
              <w:top w:w="57" w:type="dxa"/>
              <w:bottom w:w="57" w:type="dxa"/>
            </w:tcMar>
          </w:tcPr>
          <w:p w14:paraId="051D5D92" w14:textId="3BFE57C9" w:rsidR="00CB0BD6" w:rsidRDefault="002C6D9F" w:rsidP="008674F4">
            <w:pPr>
              <w:pStyle w:val="vTabletext"/>
            </w:pPr>
            <w:r>
              <w:t>2021–22</w:t>
            </w:r>
          </w:p>
        </w:tc>
        <w:tc>
          <w:tcPr>
            <w:tcW w:w="2126" w:type="dxa"/>
            <w:shd w:val="clear" w:color="auto" w:fill="DDDDDD"/>
            <w:tcMar>
              <w:top w:w="57" w:type="dxa"/>
              <w:bottom w:w="57" w:type="dxa"/>
            </w:tcMar>
          </w:tcPr>
          <w:p w14:paraId="529B623C" w14:textId="756021D0" w:rsidR="00CB0BD6" w:rsidRPr="00C74292" w:rsidRDefault="002C6D9F" w:rsidP="008674F4">
            <w:pPr>
              <w:pStyle w:val="vTabletextright"/>
            </w:pPr>
            <w:r>
              <w:t>54</w:t>
            </w:r>
          </w:p>
        </w:tc>
        <w:tc>
          <w:tcPr>
            <w:tcW w:w="1134" w:type="dxa"/>
            <w:shd w:val="clear" w:color="auto" w:fill="DDDDDD"/>
          </w:tcPr>
          <w:p w14:paraId="50A86775" w14:textId="2C8C8554" w:rsidR="00CB0BD6" w:rsidRDefault="002C6D9F" w:rsidP="008674F4">
            <w:pPr>
              <w:pStyle w:val="vTabletextright"/>
            </w:pPr>
            <w:r>
              <w:t>90</w:t>
            </w:r>
          </w:p>
        </w:tc>
      </w:tr>
      <w:tr w:rsidR="00CB0BD6" w:rsidRPr="00E06DE3" w14:paraId="07E0C3B7" w14:textId="1E396313" w:rsidTr="002C6D9F">
        <w:tc>
          <w:tcPr>
            <w:tcW w:w="1413" w:type="dxa"/>
            <w:shd w:val="clear" w:color="auto" w:fill="DDDDDD"/>
            <w:tcMar>
              <w:top w:w="57" w:type="dxa"/>
              <w:bottom w:w="57" w:type="dxa"/>
            </w:tcMar>
          </w:tcPr>
          <w:p w14:paraId="62AB7CA0" w14:textId="0E64A22F" w:rsidR="00CB0BD6" w:rsidRDefault="002C6D9F" w:rsidP="008674F4">
            <w:pPr>
              <w:pStyle w:val="vTabletext"/>
            </w:pPr>
            <w:r>
              <w:t>2022–23</w:t>
            </w:r>
          </w:p>
        </w:tc>
        <w:tc>
          <w:tcPr>
            <w:tcW w:w="2126" w:type="dxa"/>
            <w:shd w:val="clear" w:color="auto" w:fill="DDDDDD"/>
            <w:tcMar>
              <w:top w:w="57" w:type="dxa"/>
              <w:bottom w:w="57" w:type="dxa"/>
            </w:tcMar>
          </w:tcPr>
          <w:p w14:paraId="67D8EBF3" w14:textId="466F0FF8" w:rsidR="00CB0BD6" w:rsidRPr="00C74292" w:rsidRDefault="002C6D9F" w:rsidP="008674F4">
            <w:pPr>
              <w:pStyle w:val="vTabletextright"/>
            </w:pPr>
            <w:r>
              <w:t>88</w:t>
            </w:r>
          </w:p>
        </w:tc>
        <w:tc>
          <w:tcPr>
            <w:tcW w:w="1134" w:type="dxa"/>
            <w:shd w:val="clear" w:color="auto" w:fill="DDDDDD"/>
          </w:tcPr>
          <w:p w14:paraId="1A9A942A" w14:textId="731BF89B" w:rsidR="00CB0BD6" w:rsidRDefault="002C6D9F" w:rsidP="008674F4">
            <w:pPr>
              <w:pStyle w:val="vTabletextright"/>
            </w:pPr>
            <w:r>
              <w:t>171</w:t>
            </w:r>
          </w:p>
        </w:tc>
      </w:tr>
    </w:tbl>
    <w:p w14:paraId="24651959" w14:textId="77777777" w:rsidR="00CB0BD6" w:rsidRDefault="00CB0BD6" w:rsidP="00CB0BD6">
      <w:pPr>
        <w:pStyle w:val="vHeading5"/>
      </w:pPr>
    </w:p>
    <w:tbl>
      <w:tblPr>
        <w:tblStyle w:val="VEOHRCsimplegreen"/>
        <w:tblW w:w="0" w:type="auto"/>
        <w:shd w:val="clear" w:color="auto" w:fill="F7E2AE" w:themeFill="accent3" w:themeFillTint="66"/>
        <w:tblLook w:val="04A0" w:firstRow="1" w:lastRow="0" w:firstColumn="1" w:lastColumn="0" w:noHBand="0" w:noVBand="1"/>
      </w:tblPr>
      <w:tblGrid>
        <w:gridCol w:w="9060"/>
      </w:tblGrid>
      <w:tr w:rsidR="00A70CAA" w14:paraId="68409561" w14:textId="77777777" w:rsidTr="00347772">
        <w:tc>
          <w:tcPr>
            <w:tcW w:w="9060" w:type="dxa"/>
            <w:shd w:val="clear" w:color="auto" w:fill="F7E2AE" w:themeFill="accent3" w:themeFillTint="66"/>
          </w:tcPr>
          <w:p w14:paraId="21478B59" w14:textId="77777777" w:rsidR="00A70CAA" w:rsidRPr="00A70CAA" w:rsidRDefault="00A70CAA" w:rsidP="00A70CAA">
            <w:pPr>
              <w:pStyle w:val="vTableboldleft"/>
            </w:pPr>
            <w:r w:rsidRPr="00A70CAA">
              <w:t>About our enquiries data</w:t>
            </w:r>
          </w:p>
          <w:p w14:paraId="0AE40280" w14:textId="0ADBB380" w:rsidR="00A70CAA" w:rsidRPr="00A70CAA" w:rsidRDefault="00A70CAA" w:rsidP="00A70CAA">
            <w:pPr>
              <w:pStyle w:val="vTabletext"/>
            </w:pPr>
            <w:r w:rsidRPr="00A70CAA">
              <w:t>When someone makes an enquiry, we record the issue they are enquiring about. Our list</w:t>
            </w:r>
            <w:r>
              <w:t xml:space="preserve"> </w:t>
            </w:r>
            <w:r w:rsidRPr="00A70CAA">
              <w:t xml:space="preserve">includes around 30 issues such as human rights, discrimination, sexual </w:t>
            </w:r>
            <w:proofErr w:type="gramStart"/>
            <w:r w:rsidRPr="00A70CAA">
              <w:t>harassment</w:t>
            </w:r>
            <w:proofErr w:type="gramEnd"/>
            <w:r w:rsidRPr="00A70CAA">
              <w:t xml:space="preserve"> and</w:t>
            </w:r>
            <w:r>
              <w:t xml:space="preserve"> </w:t>
            </w:r>
            <w:r w:rsidRPr="00A70CAA">
              <w:t>victimisation. A single enquiry can raise multiple issues.</w:t>
            </w:r>
          </w:p>
        </w:tc>
      </w:tr>
    </w:tbl>
    <w:p w14:paraId="75D9F8E3" w14:textId="77777777" w:rsidR="0035744D" w:rsidRPr="0035744D" w:rsidRDefault="0035744D" w:rsidP="0035744D">
      <w:pPr>
        <w:pStyle w:val="vHeading4"/>
      </w:pPr>
      <w:r w:rsidRPr="0035744D">
        <w:t xml:space="preserve">Improving the </w:t>
      </w:r>
      <w:proofErr w:type="gramStart"/>
      <w:r w:rsidRPr="0035744D">
        <w:t>data</w:t>
      </w:r>
      <w:proofErr w:type="gramEnd"/>
      <w:r w:rsidRPr="0035744D">
        <w:t xml:space="preserve"> we collect from enquiries</w:t>
      </w:r>
    </w:p>
    <w:p w14:paraId="4B8B1FEC" w14:textId="58C01181" w:rsidR="00A70CAA" w:rsidRDefault="0035744D" w:rsidP="0035744D">
      <w:pPr>
        <w:pStyle w:val="vBodytext"/>
      </w:pPr>
      <w:r w:rsidRPr="0035744D">
        <w:t xml:space="preserve">While we have traditionally minimised the number of </w:t>
      </w:r>
      <w:proofErr w:type="gramStart"/>
      <w:r w:rsidRPr="0035744D">
        <w:t>questions</w:t>
      </w:r>
      <w:proofErr w:type="gramEnd"/>
      <w:r w:rsidRPr="0035744D">
        <w:t xml:space="preserve"> we ask</w:t>
      </w:r>
      <w:r>
        <w:t xml:space="preserve"> </w:t>
      </w:r>
      <w:r w:rsidRPr="0035744D">
        <w:t>people when they make an enquiry, we recognised that this limited the data</w:t>
      </w:r>
      <w:r>
        <w:t xml:space="preserve"> </w:t>
      </w:r>
      <w:r w:rsidRPr="0035744D">
        <w:t>we collected about particular cohorts and our ability to tailor our enquiry</w:t>
      </w:r>
      <w:r>
        <w:t xml:space="preserve"> </w:t>
      </w:r>
      <w:r w:rsidRPr="0035744D">
        <w:t>service to their needs. In late 2020, we began asking enquirers the ‘optional</w:t>
      </w:r>
      <w:r>
        <w:t xml:space="preserve"> </w:t>
      </w:r>
      <w:r w:rsidRPr="0035744D">
        <w:t>to answer’ question of whether they identify as Aboriginal and/or Torres Strait</w:t>
      </w:r>
      <w:r>
        <w:t xml:space="preserve"> </w:t>
      </w:r>
      <w:r w:rsidRPr="0035744D">
        <w:t>Islander. People can opt not to answer and remain anonymous.</w:t>
      </w:r>
    </w:p>
    <w:p w14:paraId="208E1F81" w14:textId="77777777" w:rsidR="009365F3" w:rsidRDefault="009365F3">
      <w:pPr>
        <w:rPr>
          <w:rFonts w:ascii="Arial Nova" w:hAnsi="Arial Nova"/>
          <w:b/>
          <w:bCs/>
          <w:sz w:val="40"/>
          <w:szCs w:val="40"/>
        </w:rPr>
      </w:pPr>
      <w:r>
        <w:br w:type="page"/>
      </w:r>
    </w:p>
    <w:p w14:paraId="5490B62E" w14:textId="2B6D70D3" w:rsidR="00620B13" w:rsidRPr="00620B13" w:rsidRDefault="00620B13" w:rsidP="002A3857">
      <w:pPr>
        <w:pStyle w:val="vHeading2"/>
        <w:keepNext/>
      </w:pPr>
      <w:r w:rsidRPr="00620B13">
        <w:lastRenderedPageBreak/>
        <w:t>What types of discrimination did First Nations</w:t>
      </w:r>
      <w:r>
        <w:t xml:space="preserve"> </w:t>
      </w:r>
      <w:r w:rsidRPr="00620B13">
        <w:t>people enquire about?</w:t>
      </w:r>
    </w:p>
    <w:p w14:paraId="6913D5A3" w14:textId="26D50F2E" w:rsidR="00620B13" w:rsidRPr="00620B13" w:rsidRDefault="00620B13" w:rsidP="002A3857">
      <w:pPr>
        <w:pStyle w:val="vBodytext"/>
        <w:keepNext/>
      </w:pPr>
      <w:r w:rsidRPr="00620B13">
        <w:t>Since 2019–20, disability discrimination and race discrimination have been the</w:t>
      </w:r>
      <w:r w:rsidR="00AE541E">
        <w:t xml:space="preserve"> </w:t>
      </w:r>
      <w:r w:rsidRPr="00620B13">
        <w:t>most common issues raised in enquiries.</w:t>
      </w:r>
    </w:p>
    <w:p w14:paraId="559101F6" w14:textId="38F7C3B4" w:rsidR="00620B13" w:rsidRDefault="00620B13" w:rsidP="00620B13">
      <w:pPr>
        <w:pStyle w:val="vHeading5"/>
      </w:pPr>
      <w:r w:rsidRPr="00620B13">
        <w:t xml:space="preserve">Figure 8. Most common issues raised by First Nations people in </w:t>
      </w:r>
      <w:proofErr w:type="gramStart"/>
      <w:r w:rsidRPr="00620B13">
        <w:t>enquiries</w:t>
      </w:r>
      <w:proofErr w:type="gramEnd"/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47"/>
        <w:gridCol w:w="1628"/>
        <w:gridCol w:w="1628"/>
        <w:gridCol w:w="1628"/>
        <w:gridCol w:w="1629"/>
      </w:tblGrid>
      <w:tr w:rsidR="00772A27" w:rsidRPr="00E06DE3" w14:paraId="6749BABC" w14:textId="77777777" w:rsidTr="00C03EB6">
        <w:tc>
          <w:tcPr>
            <w:tcW w:w="2547" w:type="dxa"/>
            <w:shd w:val="clear" w:color="auto" w:fill="071C53" w:themeFill="text2"/>
            <w:tcMar>
              <w:top w:w="57" w:type="dxa"/>
              <w:bottom w:w="57" w:type="dxa"/>
            </w:tcMar>
          </w:tcPr>
          <w:p w14:paraId="093D4EEB" w14:textId="77777777" w:rsidR="00772A27" w:rsidRDefault="00772A27" w:rsidP="00620B13">
            <w:pPr>
              <w:pStyle w:val="vTableheaderleft"/>
            </w:pPr>
          </w:p>
        </w:tc>
        <w:tc>
          <w:tcPr>
            <w:tcW w:w="6513" w:type="dxa"/>
            <w:gridSpan w:val="4"/>
            <w:shd w:val="clear" w:color="auto" w:fill="071C53" w:themeFill="text2"/>
            <w:tcMar>
              <w:top w:w="57" w:type="dxa"/>
              <w:bottom w:w="57" w:type="dxa"/>
            </w:tcMar>
          </w:tcPr>
          <w:p w14:paraId="4E928D76" w14:textId="5E781838" w:rsidR="00772A27" w:rsidRDefault="00772A27" w:rsidP="00772A27">
            <w:pPr>
              <w:pStyle w:val="vTableheadercentre"/>
            </w:pPr>
            <w:r>
              <w:t>Pro</w:t>
            </w:r>
            <w:r w:rsidRPr="00620B13">
              <w:t xml:space="preserve">portion of </w:t>
            </w:r>
            <w:r>
              <w:t>enquiries</w:t>
            </w:r>
            <w:r w:rsidRPr="00620B13">
              <w:t xml:space="preserve"> from First Nations people</w:t>
            </w:r>
          </w:p>
        </w:tc>
      </w:tr>
      <w:tr w:rsidR="001B6261" w:rsidRPr="00E06DE3" w14:paraId="155EB43E" w14:textId="3281311F" w:rsidTr="00772A27">
        <w:tc>
          <w:tcPr>
            <w:tcW w:w="2547" w:type="dxa"/>
            <w:shd w:val="clear" w:color="auto" w:fill="071C53" w:themeFill="text2"/>
            <w:tcMar>
              <w:top w:w="57" w:type="dxa"/>
              <w:bottom w:w="57" w:type="dxa"/>
            </w:tcMar>
          </w:tcPr>
          <w:p w14:paraId="325C6CF0" w14:textId="74527B89" w:rsidR="001B6261" w:rsidRPr="00620B13" w:rsidRDefault="001B6261" w:rsidP="00620B13">
            <w:pPr>
              <w:pStyle w:val="vTableheaderleft"/>
            </w:pPr>
            <w:r>
              <w:t>Issue raised</w:t>
            </w:r>
          </w:p>
        </w:tc>
        <w:tc>
          <w:tcPr>
            <w:tcW w:w="1628" w:type="dxa"/>
            <w:shd w:val="clear" w:color="auto" w:fill="071C53" w:themeFill="text2"/>
            <w:tcMar>
              <w:top w:w="57" w:type="dxa"/>
              <w:bottom w:w="57" w:type="dxa"/>
            </w:tcMar>
          </w:tcPr>
          <w:p w14:paraId="1ECC0EC1" w14:textId="112181D4" w:rsidR="001B6261" w:rsidRPr="00620B13" w:rsidRDefault="001B6261" w:rsidP="00620B13">
            <w:pPr>
              <w:pStyle w:val="vTableheaderright"/>
            </w:pPr>
            <w:r>
              <w:t>2019–20</w:t>
            </w:r>
          </w:p>
        </w:tc>
        <w:tc>
          <w:tcPr>
            <w:tcW w:w="1628" w:type="dxa"/>
            <w:shd w:val="clear" w:color="auto" w:fill="071C53" w:themeFill="text2"/>
          </w:tcPr>
          <w:p w14:paraId="277C2D7D" w14:textId="15AD9411" w:rsidR="001B6261" w:rsidRDefault="001B6261" w:rsidP="00620B13">
            <w:pPr>
              <w:pStyle w:val="vTableheaderright"/>
            </w:pPr>
            <w:r>
              <w:t>2020–21</w:t>
            </w:r>
          </w:p>
        </w:tc>
        <w:tc>
          <w:tcPr>
            <w:tcW w:w="1628" w:type="dxa"/>
            <w:shd w:val="clear" w:color="auto" w:fill="071C53" w:themeFill="text2"/>
          </w:tcPr>
          <w:p w14:paraId="4D0B44C7" w14:textId="118B49F6" w:rsidR="001B6261" w:rsidRDefault="001B6261" w:rsidP="00620B13">
            <w:pPr>
              <w:pStyle w:val="vTableheaderright"/>
            </w:pPr>
            <w:r>
              <w:t>2021–22</w:t>
            </w:r>
          </w:p>
        </w:tc>
        <w:tc>
          <w:tcPr>
            <w:tcW w:w="1629" w:type="dxa"/>
            <w:shd w:val="clear" w:color="auto" w:fill="071C53" w:themeFill="text2"/>
          </w:tcPr>
          <w:p w14:paraId="2146401D" w14:textId="13E6D303" w:rsidR="001B6261" w:rsidRDefault="001B6261" w:rsidP="00620B13">
            <w:pPr>
              <w:pStyle w:val="vTableheaderright"/>
            </w:pPr>
            <w:r>
              <w:t>2022–23</w:t>
            </w:r>
          </w:p>
        </w:tc>
      </w:tr>
      <w:tr w:rsidR="001B6261" w:rsidRPr="00E06DE3" w14:paraId="42FC1BFA" w14:textId="49BCE7AA" w:rsidTr="00772A27">
        <w:tc>
          <w:tcPr>
            <w:tcW w:w="2547" w:type="dxa"/>
            <w:shd w:val="clear" w:color="auto" w:fill="DDDDDD"/>
            <w:tcMar>
              <w:top w:w="57" w:type="dxa"/>
              <w:bottom w:w="57" w:type="dxa"/>
            </w:tcMar>
          </w:tcPr>
          <w:p w14:paraId="6D3575DA" w14:textId="15B1B726" w:rsidR="001B6261" w:rsidRPr="00620B13" w:rsidRDefault="001B6261" w:rsidP="00620B13">
            <w:pPr>
              <w:pStyle w:val="vTabletext"/>
            </w:pPr>
            <w:r>
              <w:t>Race</w:t>
            </w:r>
            <w:r>
              <w:t xml:space="preserve"> discrimination</w:t>
            </w:r>
          </w:p>
        </w:tc>
        <w:tc>
          <w:tcPr>
            <w:tcW w:w="1628" w:type="dxa"/>
            <w:shd w:val="clear" w:color="auto" w:fill="DDDDDD"/>
            <w:tcMar>
              <w:top w:w="57" w:type="dxa"/>
              <w:bottom w:w="57" w:type="dxa"/>
            </w:tcMar>
          </w:tcPr>
          <w:p w14:paraId="36F72967" w14:textId="5746AAA1" w:rsidR="001B6261" w:rsidRPr="00620B13" w:rsidRDefault="00772A27" w:rsidP="00620B13">
            <w:pPr>
              <w:pStyle w:val="vTabletextright"/>
            </w:pPr>
            <w:r>
              <w:t>10%</w:t>
            </w:r>
          </w:p>
        </w:tc>
        <w:tc>
          <w:tcPr>
            <w:tcW w:w="1628" w:type="dxa"/>
            <w:shd w:val="clear" w:color="auto" w:fill="DDDDDD"/>
          </w:tcPr>
          <w:p w14:paraId="2BA2E830" w14:textId="1D4CC03E" w:rsidR="001B6261" w:rsidRPr="00620B13" w:rsidRDefault="00772A27" w:rsidP="00620B13">
            <w:pPr>
              <w:pStyle w:val="vTabletextright"/>
            </w:pPr>
            <w:r>
              <w:t>25%</w:t>
            </w:r>
          </w:p>
        </w:tc>
        <w:tc>
          <w:tcPr>
            <w:tcW w:w="1628" w:type="dxa"/>
            <w:shd w:val="clear" w:color="auto" w:fill="DDDDDD"/>
          </w:tcPr>
          <w:p w14:paraId="41D9FE20" w14:textId="63BAD6C1" w:rsidR="001B6261" w:rsidRPr="00620B13" w:rsidRDefault="00772A27" w:rsidP="00620B13">
            <w:pPr>
              <w:pStyle w:val="vTabletextright"/>
            </w:pPr>
            <w:r>
              <w:t>18%</w:t>
            </w:r>
          </w:p>
        </w:tc>
        <w:tc>
          <w:tcPr>
            <w:tcW w:w="1629" w:type="dxa"/>
            <w:shd w:val="clear" w:color="auto" w:fill="DDDDDD"/>
          </w:tcPr>
          <w:p w14:paraId="6F104AE2" w14:textId="17233899" w:rsidR="001B6261" w:rsidRPr="00620B13" w:rsidRDefault="00772A27" w:rsidP="00620B13">
            <w:pPr>
              <w:pStyle w:val="vTabletextright"/>
            </w:pPr>
            <w:r>
              <w:t>9%</w:t>
            </w:r>
          </w:p>
        </w:tc>
      </w:tr>
      <w:tr w:rsidR="001B6261" w:rsidRPr="00E06DE3" w14:paraId="3CE7416A" w14:textId="136A1D96" w:rsidTr="00772A27">
        <w:tc>
          <w:tcPr>
            <w:tcW w:w="2547" w:type="dxa"/>
            <w:shd w:val="clear" w:color="auto" w:fill="DDDDDD"/>
            <w:tcMar>
              <w:top w:w="57" w:type="dxa"/>
              <w:bottom w:w="57" w:type="dxa"/>
            </w:tcMar>
          </w:tcPr>
          <w:p w14:paraId="5CCA0B34" w14:textId="3BDEDD70" w:rsidR="001B6261" w:rsidRPr="00620B13" w:rsidRDefault="001B6261" w:rsidP="00620B13">
            <w:pPr>
              <w:pStyle w:val="vTabletext"/>
            </w:pPr>
            <w:r>
              <w:t>Disability</w:t>
            </w:r>
            <w:r>
              <w:t xml:space="preserve"> discrimination</w:t>
            </w:r>
          </w:p>
        </w:tc>
        <w:tc>
          <w:tcPr>
            <w:tcW w:w="1628" w:type="dxa"/>
            <w:shd w:val="clear" w:color="auto" w:fill="DDDDDD"/>
            <w:tcMar>
              <w:top w:w="57" w:type="dxa"/>
              <w:bottom w:w="57" w:type="dxa"/>
            </w:tcMar>
          </w:tcPr>
          <w:p w14:paraId="4E1CAB5F" w14:textId="3D3EF1CA" w:rsidR="001B6261" w:rsidRPr="00620B13" w:rsidRDefault="00772A27" w:rsidP="00620B13">
            <w:pPr>
              <w:pStyle w:val="vTabletextright"/>
            </w:pPr>
            <w:r>
              <w:t>–</w:t>
            </w:r>
          </w:p>
        </w:tc>
        <w:tc>
          <w:tcPr>
            <w:tcW w:w="1628" w:type="dxa"/>
            <w:shd w:val="clear" w:color="auto" w:fill="DDDDDD"/>
          </w:tcPr>
          <w:p w14:paraId="496443C4" w14:textId="766E6D39" w:rsidR="001B6261" w:rsidRPr="00620B13" w:rsidRDefault="00772A27" w:rsidP="00620B13">
            <w:pPr>
              <w:pStyle w:val="vTabletextright"/>
            </w:pPr>
            <w:r>
              <w:t>17%</w:t>
            </w:r>
          </w:p>
        </w:tc>
        <w:tc>
          <w:tcPr>
            <w:tcW w:w="1628" w:type="dxa"/>
            <w:shd w:val="clear" w:color="auto" w:fill="DDDDDD"/>
          </w:tcPr>
          <w:p w14:paraId="533E5C5A" w14:textId="07497B79" w:rsidR="001B6261" w:rsidRPr="00620B13" w:rsidRDefault="00772A27" w:rsidP="00620B13">
            <w:pPr>
              <w:pStyle w:val="vTabletextright"/>
            </w:pPr>
            <w:r>
              <w:t>10%</w:t>
            </w:r>
          </w:p>
        </w:tc>
        <w:tc>
          <w:tcPr>
            <w:tcW w:w="1629" w:type="dxa"/>
            <w:shd w:val="clear" w:color="auto" w:fill="DDDDDD"/>
          </w:tcPr>
          <w:p w14:paraId="68FDC4E7" w14:textId="476C5C9E" w:rsidR="001B6261" w:rsidRPr="00620B13" w:rsidRDefault="00772A27" w:rsidP="00620B13">
            <w:pPr>
              <w:pStyle w:val="vTabletextright"/>
            </w:pPr>
            <w:r>
              <w:t>9%</w:t>
            </w:r>
          </w:p>
        </w:tc>
      </w:tr>
      <w:tr w:rsidR="001B6261" w:rsidRPr="00E06DE3" w14:paraId="6C8C0700" w14:textId="6DEDD428" w:rsidTr="00772A27">
        <w:tc>
          <w:tcPr>
            <w:tcW w:w="2547" w:type="dxa"/>
            <w:shd w:val="clear" w:color="auto" w:fill="DDDDDD"/>
            <w:tcMar>
              <w:top w:w="57" w:type="dxa"/>
              <w:bottom w:w="57" w:type="dxa"/>
            </w:tcMar>
          </w:tcPr>
          <w:p w14:paraId="0EC55A8D" w14:textId="15A5523B" w:rsidR="001B6261" w:rsidRPr="00301E66" w:rsidRDefault="001B6261" w:rsidP="008674F4">
            <w:pPr>
              <w:pStyle w:val="vTabletext"/>
            </w:pPr>
            <w:r>
              <w:t>Other issues</w:t>
            </w:r>
          </w:p>
        </w:tc>
        <w:tc>
          <w:tcPr>
            <w:tcW w:w="1628" w:type="dxa"/>
            <w:shd w:val="clear" w:color="auto" w:fill="DDDDDD"/>
            <w:tcMar>
              <w:top w:w="57" w:type="dxa"/>
              <w:bottom w:w="57" w:type="dxa"/>
            </w:tcMar>
          </w:tcPr>
          <w:p w14:paraId="442F7AEF" w14:textId="10651ECB" w:rsidR="001B6261" w:rsidRPr="00301E66" w:rsidRDefault="00772A27" w:rsidP="008674F4">
            <w:pPr>
              <w:pStyle w:val="vTabletextright"/>
            </w:pPr>
            <w:r>
              <w:t>90%</w:t>
            </w:r>
          </w:p>
        </w:tc>
        <w:tc>
          <w:tcPr>
            <w:tcW w:w="1628" w:type="dxa"/>
            <w:shd w:val="clear" w:color="auto" w:fill="DDDDDD"/>
          </w:tcPr>
          <w:p w14:paraId="5CDDE161" w14:textId="3B36BCBF" w:rsidR="001B6261" w:rsidRPr="00301E66" w:rsidRDefault="00772A27" w:rsidP="008674F4">
            <w:pPr>
              <w:pStyle w:val="vTabletextright"/>
            </w:pPr>
            <w:r>
              <w:t>58%</w:t>
            </w:r>
          </w:p>
        </w:tc>
        <w:tc>
          <w:tcPr>
            <w:tcW w:w="1628" w:type="dxa"/>
            <w:shd w:val="clear" w:color="auto" w:fill="DDDDDD"/>
          </w:tcPr>
          <w:p w14:paraId="67D8EA3F" w14:textId="3D7F91E8" w:rsidR="001B6261" w:rsidRPr="00301E66" w:rsidRDefault="00772A27" w:rsidP="008674F4">
            <w:pPr>
              <w:pStyle w:val="vTabletextright"/>
            </w:pPr>
            <w:r>
              <w:t>72%</w:t>
            </w:r>
          </w:p>
        </w:tc>
        <w:tc>
          <w:tcPr>
            <w:tcW w:w="1629" w:type="dxa"/>
            <w:shd w:val="clear" w:color="auto" w:fill="DDDDDD"/>
          </w:tcPr>
          <w:p w14:paraId="57F0F1CC" w14:textId="2AD198A9" w:rsidR="001B6261" w:rsidRPr="00301E66" w:rsidRDefault="00772A27" w:rsidP="008674F4">
            <w:pPr>
              <w:pStyle w:val="vTabletextright"/>
            </w:pPr>
            <w:r>
              <w:t>82%</w:t>
            </w:r>
          </w:p>
        </w:tc>
      </w:tr>
    </w:tbl>
    <w:p w14:paraId="4DC626DF" w14:textId="3FAEFB05" w:rsidR="00FC5817" w:rsidRPr="00FC5817" w:rsidRDefault="00FC5817" w:rsidP="00FC5817">
      <w:pPr>
        <w:pStyle w:val="vBodytext"/>
      </w:pPr>
      <w:r w:rsidRPr="00FC5817">
        <w:t>Where First Nations people had enquiries outside our jurisdiction (not related</w:t>
      </w:r>
      <w:r>
        <w:t xml:space="preserve"> </w:t>
      </w:r>
      <w:r w:rsidRPr="00FC5817">
        <w:t>to the laws we can provide information on or related to a national organisation)</w:t>
      </w:r>
      <w:r>
        <w:t xml:space="preserve"> </w:t>
      </w:r>
      <w:r w:rsidRPr="00FC5817">
        <w:t>we referred them to relevant organisations, such as the Australian Human Rights</w:t>
      </w:r>
      <w:r>
        <w:t xml:space="preserve"> </w:t>
      </w:r>
      <w:r w:rsidRPr="00FC5817">
        <w:t>Commission.</w:t>
      </w:r>
    </w:p>
    <w:p w14:paraId="0DDB6530" w14:textId="11C6F3D3" w:rsidR="00FC5817" w:rsidRPr="00FC5817" w:rsidRDefault="00FC5817" w:rsidP="00FC5817">
      <w:pPr>
        <w:pStyle w:val="vBodytext"/>
      </w:pPr>
      <w:r w:rsidRPr="00FC5817">
        <w:t>Other issues include over 30 issues. We have not identified them in this table as</w:t>
      </w:r>
      <w:r>
        <w:t xml:space="preserve"> </w:t>
      </w:r>
      <w:r w:rsidRPr="00FC5817">
        <w:t>they have each have low enquiry numbers. These include issues such as:</w:t>
      </w:r>
    </w:p>
    <w:p w14:paraId="34C5AC9E" w14:textId="02908F90" w:rsidR="00FC5817" w:rsidRPr="00FC5817" w:rsidRDefault="00FC5817" w:rsidP="00FC5817">
      <w:pPr>
        <w:pStyle w:val="vBodybullet1"/>
      </w:pPr>
      <w:r w:rsidRPr="00FC5817">
        <w:t>victimisation</w:t>
      </w:r>
    </w:p>
    <w:p w14:paraId="1E7BFC7F" w14:textId="7C449D28" w:rsidR="00FC5817" w:rsidRPr="00FC5817" w:rsidRDefault="00FC5817" w:rsidP="00FC5817">
      <w:pPr>
        <w:pStyle w:val="vBodybullet1"/>
      </w:pPr>
      <w:r w:rsidRPr="00FC5817">
        <w:t>employment activity</w:t>
      </w:r>
    </w:p>
    <w:p w14:paraId="15925879" w14:textId="1DDC5C72" w:rsidR="00FC5817" w:rsidRPr="00FC5817" w:rsidRDefault="00FC5817" w:rsidP="00FC5817">
      <w:pPr>
        <w:pStyle w:val="vBodybullet1"/>
      </w:pPr>
      <w:r w:rsidRPr="00FC5817">
        <w:t>parental/carer status</w:t>
      </w:r>
    </w:p>
    <w:p w14:paraId="2A58E69C" w14:textId="28448D9F" w:rsidR="00FC5817" w:rsidRPr="00FC5817" w:rsidRDefault="00FC5817" w:rsidP="00FC5817">
      <w:pPr>
        <w:pStyle w:val="vBodybullet1"/>
      </w:pPr>
      <w:r w:rsidRPr="00FC5817">
        <w:t>the Charter of Human Rights and Responsibilities</w:t>
      </w:r>
    </w:p>
    <w:p w14:paraId="759A2478" w14:textId="3DABA51F" w:rsidR="00800320" w:rsidRDefault="00FC5817" w:rsidP="00FC5817">
      <w:pPr>
        <w:pStyle w:val="vBodybullet1"/>
      </w:pPr>
      <w:r w:rsidRPr="00FC5817">
        <w:t>state government.</w:t>
      </w:r>
    </w:p>
    <w:p w14:paraId="7CEA58A5" w14:textId="77777777" w:rsidR="00800320" w:rsidRDefault="00800320">
      <w:pPr>
        <w:rPr>
          <w:rFonts w:ascii="Arial Nova Light" w:hAnsi="Arial Nova Light"/>
        </w:rPr>
      </w:pPr>
      <w:r>
        <w:br w:type="page"/>
      </w:r>
    </w:p>
    <w:p w14:paraId="1E1BF4B6" w14:textId="77777777" w:rsidR="00900D61" w:rsidRDefault="00900D61" w:rsidP="00900D61">
      <w:pPr>
        <w:pStyle w:val="Heading4"/>
        <w:spacing w:before="10000"/>
      </w:pPr>
    </w:p>
    <w:p w14:paraId="3187BF76" w14:textId="77777777" w:rsidR="00900D61" w:rsidRPr="005F295B" w:rsidRDefault="00900D61" w:rsidP="00900D61">
      <w:pPr>
        <w:pStyle w:val="Heading4"/>
        <w:spacing w:before="10000"/>
      </w:pPr>
      <w:r w:rsidRPr="005F295B">
        <w:t xml:space="preserve">Contact </w:t>
      </w:r>
      <w:proofErr w:type="gramStart"/>
      <w:r w:rsidRPr="005F295B">
        <w:t>us</w:t>
      </w:r>
      <w:proofErr w:type="gramEnd"/>
    </w:p>
    <w:p w14:paraId="3451B579" w14:textId="35769405" w:rsidR="00620B13" w:rsidRPr="00312CC4" w:rsidRDefault="00900D61" w:rsidP="00900D61">
      <w:pPr>
        <w:pStyle w:val="Bodytextnormal"/>
      </w:pPr>
      <w:r w:rsidRPr="005F295B">
        <w:t>Enquiry Line</w:t>
      </w:r>
      <w:r w:rsidRPr="005F295B">
        <w:tab/>
      </w:r>
      <w:r w:rsidRPr="005F295B">
        <w:tab/>
        <w:t>1300 292 153</w:t>
      </w:r>
      <w:r>
        <w:br/>
      </w:r>
      <w:r w:rsidRPr="005F295B">
        <w:t xml:space="preserve">Fax </w:t>
      </w:r>
      <w:r w:rsidRPr="005F295B">
        <w:tab/>
      </w:r>
      <w:r w:rsidRPr="005F295B">
        <w:tab/>
      </w:r>
      <w:r w:rsidRPr="005F295B">
        <w:tab/>
        <w:t>1300 891 858</w:t>
      </w:r>
      <w:r>
        <w:br/>
      </w:r>
      <w:r w:rsidRPr="005F295B">
        <w:t xml:space="preserve">NRS Voice Relay </w:t>
      </w:r>
      <w:r w:rsidRPr="005F295B">
        <w:tab/>
        <w:t>1300 555 727 then quote 1300 292 153</w:t>
      </w:r>
      <w:r>
        <w:br/>
      </w:r>
      <w:r w:rsidRPr="005F295B">
        <w:t xml:space="preserve">Interpreters </w:t>
      </w:r>
      <w:r w:rsidRPr="005F295B">
        <w:tab/>
      </w:r>
      <w:r w:rsidRPr="005F295B">
        <w:tab/>
        <w:t>1300 152 494</w:t>
      </w:r>
      <w:r>
        <w:br/>
      </w:r>
      <w:r w:rsidRPr="005F295B">
        <w:t xml:space="preserve">Email </w:t>
      </w:r>
      <w:r w:rsidRPr="005F295B">
        <w:tab/>
      </w:r>
      <w:r w:rsidRPr="005F295B">
        <w:tab/>
      </w:r>
      <w:r w:rsidRPr="005F295B">
        <w:tab/>
      </w:r>
      <w:hyperlink r:id="rId13" w:history="1">
        <w:r w:rsidRPr="003A1580">
          <w:t>enquiries@veohrc.vic.gov.au</w:t>
        </w:r>
      </w:hyperlink>
      <w:r>
        <w:br/>
      </w:r>
      <w:r w:rsidRPr="005F295B">
        <w:t xml:space="preserve">Follow us on Twitter </w:t>
      </w:r>
      <w:r w:rsidRPr="005F295B">
        <w:tab/>
        <w:t xml:space="preserve">twitter.com/VEOHRC </w:t>
      </w:r>
      <w:r>
        <w:br/>
      </w:r>
      <w:r w:rsidRPr="005F295B">
        <w:t>Find us on Facebook</w:t>
      </w:r>
      <w:r w:rsidRPr="005F295B">
        <w:tab/>
        <w:t xml:space="preserve">facebook.com/VEOHRC </w:t>
      </w:r>
      <w:r>
        <w:rPr>
          <w:noProof/>
          <w:color w:val="A80000"/>
        </w:rPr>
        <w:drawing>
          <wp:anchor distT="0" distB="0" distL="114300" distR="114300" simplePos="0" relativeHeight="251659264" behindDoc="1" locked="0" layoutInCell="1" allowOverlap="1" wp14:anchorId="196377CD" wp14:editId="17F7AB3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8000" cy="10717200"/>
            <wp:effectExtent l="0" t="0" r="4445" b="825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000" cy="1071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20B13" w:rsidRPr="00312CC4" w:rsidSect="00A64FD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2268" w:right="1418" w:bottom="1418" w:left="1418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2">
      <wne:acd wne:acdName="acd0"/>
    </wne:keymap>
    <wne:keymap wne:kcmPrimary="0249">
      <wne:acd wne:acdName="acd1"/>
    </wne:keymap>
  </wne:keymaps>
  <wne:toolbars>
    <wne:acdManifest>
      <wne:acdEntry wne:acdName="acd0"/>
      <wne:acdEntry wne:acdName="acd1"/>
    </wne:acdManifest>
  </wne:toolbars>
  <wne:acds>
    <wne:acd wne:argValue="AgB2ACAAQwBoAGEAcgBhAGMAdABlAHIAIABiAG8AbABkAA==" wne:acdName="acd0" wne:fciIndexBasedOn="0065"/>
    <wne:acd wne:argValue="AgB2ACAAQwBoAGEAcgBhAGMAdABlAHIAIABpAHQAYQBsAGkAYwBzAA==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C00E" w14:textId="77777777" w:rsidR="00417EA6" w:rsidRDefault="00417EA6" w:rsidP="00E91CEE">
      <w:pPr>
        <w:spacing w:after="0" w:line="240" w:lineRule="auto"/>
      </w:pPr>
      <w:r>
        <w:separator/>
      </w:r>
    </w:p>
  </w:endnote>
  <w:endnote w:type="continuationSeparator" w:id="0">
    <w:p w14:paraId="4DD5ED08" w14:textId="77777777" w:rsidR="00417EA6" w:rsidRDefault="00417EA6" w:rsidP="00E91CEE">
      <w:pPr>
        <w:spacing w:after="0" w:line="240" w:lineRule="auto"/>
      </w:pPr>
      <w:r>
        <w:continuationSeparator/>
      </w:r>
    </w:p>
  </w:endnote>
  <w:endnote w:type="continuationNotice" w:id="1">
    <w:p w14:paraId="685A3B42" w14:textId="77777777" w:rsidR="00417EA6" w:rsidRDefault="00417E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9D26" w14:textId="7E306D6C" w:rsidR="003F481E" w:rsidRDefault="00716DE8" w:rsidP="00716DE8">
    <w:pPr>
      <w:pStyle w:val="Footerdetails"/>
      <w:tabs>
        <w:tab w:val="right" w:pos="9070"/>
      </w:tabs>
    </w:pPr>
    <w:r w:rsidRPr="00EB4CBE">
      <w:rPr>
        <w:rStyle w:val="PageNumber"/>
      </w:rPr>
      <w:fldChar w:fldCharType="begin"/>
    </w:r>
    <w:r w:rsidRPr="00EB4CBE">
      <w:rPr>
        <w:rStyle w:val="PageNumber"/>
      </w:rPr>
      <w:instrText xml:space="preserve"> PAGE   \* MERGEFORMAT </w:instrText>
    </w:r>
    <w:r w:rsidRPr="00EB4CBE">
      <w:rPr>
        <w:rStyle w:val="PageNumber"/>
      </w:rPr>
      <w:fldChar w:fldCharType="separate"/>
    </w:r>
    <w:r>
      <w:rPr>
        <w:rStyle w:val="PageNumber"/>
      </w:rPr>
      <w:t>44</w:t>
    </w:r>
    <w:r w:rsidRPr="00EB4CBE">
      <w:rPr>
        <w:rStyle w:val="PageNumber"/>
      </w:rPr>
      <w:fldChar w:fldCharType="end"/>
    </w:r>
    <w:r w:rsidRPr="00EB4CBE">
      <w:tab/>
    </w:r>
    <w:r>
      <w:t>Victorian Equal Opportunity and Human Rights Commission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E305" w14:textId="4D5A3B7C" w:rsidR="000C5A27" w:rsidRPr="00D4503F" w:rsidRDefault="00D4503F" w:rsidP="00D4503F">
    <w:pPr>
      <w:pStyle w:val="Footerdetails"/>
      <w:tabs>
        <w:tab w:val="right" w:pos="9070"/>
      </w:tabs>
    </w:pPr>
    <w:r>
      <w:tab/>
    </w:r>
    <w:r w:rsidRPr="00EB4CBE">
      <w:rPr>
        <w:rStyle w:val="PageNumber"/>
      </w:rPr>
      <w:fldChar w:fldCharType="begin"/>
    </w:r>
    <w:r w:rsidRPr="00EB4CBE">
      <w:rPr>
        <w:rStyle w:val="PageNumber"/>
      </w:rPr>
      <w:instrText xml:space="preserve"> PAGE   \* MERGEFORMAT </w:instrText>
    </w:r>
    <w:r w:rsidRPr="00EB4CBE">
      <w:rPr>
        <w:rStyle w:val="PageNumber"/>
      </w:rPr>
      <w:fldChar w:fldCharType="separate"/>
    </w:r>
    <w:r>
      <w:rPr>
        <w:rStyle w:val="PageNumber"/>
      </w:rPr>
      <w:t>43</w:t>
    </w:r>
    <w:r w:rsidRPr="00EB4CBE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A3800" w14:textId="77777777" w:rsidR="00417EA6" w:rsidRDefault="00417EA6" w:rsidP="00E91CEE">
      <w:pPr>
        <w:spacing w:after="0" w:line="240" w:lineRule="auto"/>
      </w:pPr>
      <w:r>
        <w:separator/>
      </w:r>
    </w:p>
  </w:footnote>
  <w:footnote w:type="continuationSeparator" w:id="0">
    <w:p w14:paraId="63AB7B81" w14:textId="77777777" w:rsidR="00417EA6" w:rsidRDefault="00417EA6" w:rsidP="00E91CEE">
      <w:pPr>
        <w:spacing w:after="0" w:line="240" w:lineRule="auto"/>
      </w:pPr>
      <w:r>
        <w:continuationSeparator/>
      </w:r>
    </w:p>
  </w:footnote>
  <w:footnote w:type="continuationNotice" w:id="1">
    <w:p w14:paraId="5FF94A37" w14:textId="77777777" w:rsidR="00417EA6" w:rsidRDefault="00417E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EAD4" w14:textId="77777777" w:rsidR="003F481E" w:rsidRDefault="003F481E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7FDE" w14:textId="7B8E05E4" w:rsidR="003F481E" w:rsidRPr="00716DE8" w:rsidRDefault="00716DE8" w:rsidP="00716DE8">
    <w:pPr>
      <w:pStyle w:val="vFooter"/>
      <w:tabs>
        <w:tab w:val="right" w:pos="9070"/>
      </w:tabs>
      <w:rPr>
        <w:rStyle w:val="vCharacteritalics"/>
        <w:color w:val="071C53" w:themeColor="accent1"/>
      </w:rPr>
    </w:pPr>
    <w:r w:rsidRPr="00716DE8">
      <w:rPr>
        <w:rStyle w:val="vCharacteritalics"/>
        <w:color w:val="071C53" w:themeColor="accent1"/>
      </w:rPr>
      <w:tab/>
      <w:t xml:space="preserve">Understanding the discrimination experienced by First Nations </w:t>
    </w:r>
    <w:proofErr w:type="gramStart"/>
    <w:r w:rsidRPr="00716DE8">
      <w:rPr>
        <w:rStyle w:val="vCharacteritalics"/>
        <w:color w:val="071C53" w:themeColor="accent1"/>
      </w:rPr>
      <w:t>people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A5B1D" w14:textId="370D7F52" w:rsidR="006B2E3F" w:rsidRDefault="003F481E">
    <w:r w:rsidRPr="003F481E">
      <w:drawing>
        <wp:anchor distT="0" distB="0" distL="114300" distR="114300" simplePos="0" relativeHeight="251659264" behindDoc="1" locked="0" layoutInCell="1" allowOverlap="1" wp14:anchorId="1BDA31A7" wp14:editId="32B6CE9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000" cy="10717200"/>
          <wp:effectExtent l="0" t="0" r="4445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07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21E2C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91E84"/>
    <w:multiLevelType w:val="hybridMultilevel"/>
    <w:tmpl w:val="BB3C933E"/>
    <w:lvl w:ilvl="0" w:tplc="3B103E8E">
      <w:start w:val="1"/>
      <w:numFmt w:val="bullet"/>
      <w:pStyle w:val="vBodybullet2"/>
      <w:lvlText w:val="–"/>
      <w:lvlJc w:val="left"/>
      <w:pPr>
        <w:tabs>
          <w:tab w:val="num" w:pos="907"/>
        </w:tabs>
        <w:ind w:left="907" w:hanging="453"/>
      </w:pPr>
      <w:rPr>
        <w:rFonts w:ascii="Arial Nova Light" w:hAnsi="Arial Nova Light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24906D6B"/>
    <w:multiLevelType w:val="hybridMultilevel"/>
    <w:tmpl w:val="A00A0F18"/>
    <w:lvl w:ilvl="0" w:tplc="4B66F67C">
      <w:start w:val="1"/>
      <w:numFmt w:val="lowerLetter"/>
      <w:pStyle w:val="vTablenumberedlist2"/>
      <w:lvlText w:val="(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116562A"/>
    <w:multiLevelType w:val="multilevel"/>
    <w:tmpl w:val="74D697EA"/>
    <w:lvl w:ilvl="0">
      <w:start w:val="1"/>
      <w:numFmt w:val="upperLetter"/>
      <w:suff w:val="space"/>
      <w:lvlText w:val="Appendix %1"/>
      <w:lvlJc w:val="left"/>
      <w:pPr>
        <w:ind w:left="0" w:firstLine="0"/>
      </w:pPr>
      <w:rPr>
        <w:rFonts w:ascii="Calibri" w:hAnsi="Calibri" w:hint="default"/>
        <w:b w:val="0"/>
        <w:i w:val="0"/>
        <w:color w:val="F49600"/>
        <w:sz w:val="60"/>
      </w:rPr>
    </w:lvl>
    <w:lvl w:ilvl="1">
      <w:start w:val="1"/>
      <w:numFmt w:val="decimal"/>
      <w:suff w:val="space"/>
      <w:lvlText w:val="Figure %1%2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C610AC5"/>
    <w:multiLevelType w:val="hybridMultilevel"/>
    <w:tmpl w:val="9EF46E16"/>
    <w:lvl w:ilvl="0" w:tplc="1F488F8C">
      <w:start w:val="1"/>
      <w:numFmt w:val="bullet"/>
      <w:pStyle w:val="vTablebullet2"/>
      <w:lvlText w:val="–"/>
      <w:lvlJc w:val="left"/>
      <w:pPr>
        <w:tabs>
          <w:tab w:val="num" w:pos="680"/>
        </w:tabs>
        <w:ind w:left="680" w:hanging="340"/>
      </w:pPr>
      <w:rPr>
        <w:rFonts w:ascii="Arial Nova Light" w:hAnsi="Arial Nova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7258F"/>
    <w:multiLevelType w:val="hybridMultilevel"/>
    <w:tmpl w:val="C0E81856"/>
    <w:lvl w:ilvl="0" w:tplc="C8109A9C">
      <w:start w:val="1"/>
      <w:numFmt w:val="lowerRoman"/>
      <w:pStyle w:val="vBodynumberedlist3"/>
      <w:lvlText w:val="%1."/>
      <w:lvlJc w:val="left"/>
      <w:pPr>
        <w:ind w:left="12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" w15:restartNumberingAfterBreak="0">
    <w:nsid w:val="4F8F7382"/>
    <w:multiLevelType w:val="multilevel"/>
    <w:tmpl w:val="AE743BD4"/>
    <w:lvl w:ilvl="0">
      <w:start w:val="1"/>
      <w:numFmt w:val="decimal"/>
      <w:pStyle w:val="vHeading1numbered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vHeading2numbered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vHeading3numbered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upperLetter"/>
      <w:lvlRestart w:val="1"/>
      <w:pStyle w:val="vHeading1appendix"/>
      <w:suff w:val="space"/>
      <w:lvlText w:val="Appendix 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0853330"/>
    <w:multiLevelType w:val="hybridMultilevel"/>
    <w:tmpl w:val="E2F46B90"/>
    <w:lvl w:ilvl="0" w:tplc="88BC11E4">
      <w:start w:val="1"/>
      <w:numFmt w:val="decimal"/>
      <w:pStyle w:val="vBodynumberedlist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725AB"/>
    <w:multiLevelType w:val="hybridMultilevel"/>
    <w:tmpl w:val="5C8A96DE"/>
    <w:lvl w:ilvl="0" w:tplc="515C947A">
      <w:start w:val="1"/>
      <w:numFmt w:val="bullet"/>
      <w:pStyle w:val="vTablebullet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C7FDA"/>
    <w:multiLevelType w:val="hybridMultilevel"/>
    <w:tmpl w:val="FAA07D36"/>
    <w:lvl w:ilvl="0" w:tplc="22D246C4">
      <w:start w:val="1"/>
      <w:numFmt w:val="bullet"/>
      <w:pStyle w:val="vBodybullet1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8026C3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24798"/>
    <w:multiLevelType w:val="hybridMultilevel"/>
    <w:tmpl w:val="F7924BE8"/>
    <w:lvl w:ilvl="0" w:tplc="8BEC4430">
      <w:start w:val="1"/>
      <w:numFmt w:val="decimal"/>
      <w:pStyle w:val="vTablenumberedlist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72CAC"/>
    <w:multiLevelType w:val="multilevel"/>
    <w:tmpl w:val="F4449A2C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5C43FD4"/>
    <w:multiLevelType w:val="hybridMultilevel"/>
    <w:tmpl w:val="A4E2D9DE"/>
    <w:lvl w:ilvl="0" w:tplc="C846B1C8">
      <w:start w:val="1"/>
      <w:numFmt w:val="bullet"/>
      <w:pStyle w:val="Tablebulletpoi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3691E"/>
    <w:multiLevelType w:val="hybridMultilevel"/>
    <w:tmpl w:val="5C4E7C16"/>
    <w:lvl w:ilvl="0" w:tplc="96F000CE">
      <w:start w:val="1"/>
      <w:numFmt w:val="lowerLetter"/>
      <w:pStyle w:val="vBodynumberedlist2"/>
      <w:lvlText w:val="(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ind w:left="6934" w:hanging="180"/>
      </w:pPr>
    </w:lvl>
  </w:abstractNum>
  <w:num w:numId="1" w16cid:durableId="1039624484">
    <w:abstractNumId w:val="9"/>
  </w:num>
  <w:num w:numId="2" w16cid:durableId="964503005">
    <w:abstractNumId w:val="9"/>
    <w:lvlOverride w:ilvl="0">
      <w:startOverride w:val="1"/>
    </w:lvlOverride>
  </w:num>
  <w:num w:numId="3" w16cid:durableId="1899052949">
    <w:abstractNumId w:val="1"/>
  </w:num>
  <w:num w:numId="4" w16cid:durableId="1365911364">
    <w:abstractNumId w:val="1"/>
    <w:lvlOverride w:ilvl="0">
      <w:startOverride w:val="1"/>
    </w:lvlOverride>
  </w:num>
  <w:num w:numId="5" w16cid:durableId="1693458926">
    <w:abstractNumId w:val="7"/>
  </w:num>
  <w:num w:numId="6" w16cid:durableId="1831755611">
    <w:abstractNumId w:val="13"/>
  </w:num>
  <w:num w:numId="7" w16cid:durableId="638653749">
    <w:abstractNumId w:val="5"/>
  </w:num>
  <w:num w:numId="8" w16cid:durableId="603076927">
    <w:abstractNumId w:val="11"/>
  </w:num>
  <w:num w:numId="9" w16cid:durableId="7508510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2397831">
    <w:abstractNumId w:val="6"/>
  </w:num>
  <w:num w:numId="11" w16cid:durableId="1611818486">
    <w:abstractNumId w:val="8"/>
  </w:num>
  <w:num w:numId="12" w16cid:durableId="324667520">
    <w:abstractNumId w:val="4"/>
  </w:num>
  <w:num w:numId="13" w16cid:durableId="1318879096">
    <w:abstractNumId w:val="8"/>
    <w:lvlOverride w:ilvl="0">
      <w:startOverride w:val="1"/>
    </w:lvlOverride>
  </w:num>
  <w:num w:numId="14" w16cid:durableId="1433549935">
    <w:abstractNumId w:val="4"/>
    <w:lvlOverride w:ilvl="0">
      <w:startOverride w:val="1"/>
    </w:lvlOverride>
  </w:num>
  <w:num w:numId="15" w16cid:durableId="2080666587">
    <w:abstractNumId w:val="10"/>
  </w:num>
  <w:num w:numId="16" w16cid:durableId="223178076">
    <w:abstractNumId w:val="2"/>
  </w:num>
  <w:num w:numId="17" w16cid:durableId="1961299458">
    <w:abstractNumId w:val="0"/>
  </w:num>
  <w:num w:numId="18" w16cid:durableId="406146982">
    <w:abstractNumId w:val="3"/>
  </w:num>
  <w:num w:numId="19" w16cid:durableId="1391727774">
    <w:abstractNumId w:val="13"/>
    <w:lvlOverride w:ilvl="0">
      <w:startOverride w:val="1"/>
    </w:lvlOverride>
  </w:num>
  <w:num w:numId="20" w16cid:durableId="12068690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ocumentProtection w:formatting="1" w:enforcement="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66"/>
    <w:rsid w:val="00000253"/>
    <w:rsid w:val="00000DB9"/>
    <w:rsid w:val="0000163F"/>
    <w:rsid w:val="00003598"/>
    <w:rsid w:val="000102B2"/>
    <w:rsid w:val="00020CEF"/>
    <w:rsid w:val="00023600"/>
    <w:rsid w:val="00025BE4"/>
    <w:rsid w:val="00026A8E"/>
    <w:rsid w:val="00032941"/>
    <w:rsid w:val="0004494E"/>
    <w:rsid w:val="000504A3"/>
    <w:rsid w:val="00056259"/>
    <w:rsid w:val="000604C6"/>
    <w:rsid w:val="00063112"/>
    <w:rsid w:val="0008061F"/>
    <w:rsid w:val="00081F4E"/>
    <w:rsid w:val="00083CC6"/>
    <w:rsid w:val="000934CB"/>
    <w:rsid w:val="000A0D94"/>
    <w:rsid w:val="000A204B"/>
    <w:rsid w:val="000A4415"/>
    <w:rsid w:val="000A4946"/>
    <w:rsid w:val="000C5A27"/>
    <w:rsid w:val="000D2E0E"/>
    <w:rsid w:val="000D7459"/>
    <w:rsid w:val="000E323A"/>
    <w:rsid w:val="000E5D65"/>
    <w:rsid w:val="000E78F3"/>
    <w:rsid w:val="000E7E03"/>
    <w:rsid w:val="000F3C89"/>
    <w:rsid w:val="000F6F2F"/>
    <w:rsid w:val="00100A7F"/>
    <w:rsid w:val="00102FE8"/>
    <w:rsid w:val="001044F3"/>
    <w:rsid w:val="00110F5D"/>
    <w:rsid w:val="00113955"/>
    <w:rsid w:val="001141EA"/>
    <w:rsid w:val="00114887"/>
    <w:rsid w:val="00124923"/>
    <w:rsid w:val="00124EA9"/>
    <w:rsid w:val="00132D9B"/>
    <w:rsid w:val="00134F19"/>
    <w:rsid w:val="00141AAE"/>
    <w:rsid w:val="00144B23"/>
    <w:rsid w:val="00162786"/>
    <w:rsid w:val="001708A1"/>
    <w:rsid w:val="001763C5"/>
    <w:rsid w:val="0017691C"/>
    <w:rsid w:val="001769DD"/>
    <w:rsid w:val="00180270"/>
    <w:rsid w:val="001840D9"/>
    <w:rsid w:val="00187035"/>
    <w:rsid w:val="00192A50"/>
    <w:rsid w:val="00192A69"/>
    <w:rsid w:val="00197229"/>
    <w:rsid w:val="00197FB2"/>
    <w:rsid w:val="001A3B2C"/>
    <w:rsid w:val="001B506C"/>
    <w:rsid w:val="001B6261"/>
    <w:rsid w:val="001C2AE1"/>
    <w:rsid w:val="001D018C"/>
    <w:rsid w:val="001D3FCB"/>
    <w:rsid w:val="001D5196"/>
    <w:rsid w:val="001E33F0"/>
    <w:rsid w:val="001E4276"/>
    <w:rsid w:val="00200904"/>
    <w:rsid w:val="00217589"/>
    <w:rsid w:val="00227148"/>
    <w:rsid w:val="00244F64"/>
    <w:rsid w:val="002464D8"/>
    <w:rsid w:val="002472F1"/>
    <w:rsid w:val="00257374"/>
    <w:rsid w:val="00266585"/>
    <w:rsid w:val="00272885"/>
    <w:rsid w:val="00273638"/>
    <w:rsid w:val="002760B4"/>
    <w:rsid w:val="00276BB3"/>
    <w:rsid w:val="00280CBA"/>
    <w:rsid w:val="00287F51"/>
    <w:rsid w:val="00291502"/>
    <w:rsid w:val="00292499"/>
    <w:rsid w:val="00295FE7"/>
    <w:rsid w:val="002A2D64"/>
    <w:rsid w:val="002A3857"/>
    <w:rsid w:val="002A3DE4"/>
    <w:rsid w:val="002A4D05"/>
    <w:rsid w:val="002A7FCD"/>
    <w:rsid w:val="002B54B3"/>
    <w:rsid w:val="002B6191"/>
    <w:rsid w:val="002C6D9F"/>
    <w:rsid w:val="002D4A72"/>
    <w:rsid w:val="002D50F4"/>
    <w:rsid w:val="002D61C7"/>
    <w:rsid w:val="00301E66"/>
    <w:rsid w:val="00312CC4"/>
    <w:rsid w:val="00322015"/>
    <w:rsid w:val="00323557"/>
    <w:rsid w:val="003244A8"/>
    <w:rsid w:val="003254BC"/>
    <w:rsid w:val="003270B2"/>
    <w:rsid w:val="00331F24"/>
    <w:rsid w:val="003327A0"/>
    <w:rsid w:val="00333645"/>
    <w:rsid w:val="00356DD2"/>
    <w:rsid w:val="00357079"/>
    <w:rsid w:val="0035744D"/>
    <w:rsid w:val="00363085"/>
    <w:rsid w:val="00367D8C"/>
    <w:rsid w:val="00372C88"/>
    <w:rsid w:val="00372D70"/>
    <w:rsid w:val="00393C17"/>
    <w:rsid w:val="00394F76"/>
    <w:rsid w:val="003A1C2E"/>
    <w:rsid w:val="003A499A"/>
    <w:rsid w:val="003B35F5"/>
    <w:rsid w:val="003C2787"/>
    <w:rsid w:val="003C4193"/>
    <w:rsid w:val="003D77D1"/>
    <w:rsid w:val="003E712A"/>
    <w:rsid w:val="003F1528"/>
    <w:rsid w:val="003F481E"/>
    <w:rsid w:val="003F5521"/>
    <w:rsid w:val="003F684C"/>
    <w:rsid w:val="003F69CD"/>
    <w:rsid w:val="00403AF6"/>
    <w:rsid w:val="00403BA8"/>
    <w:rsid w:val="00406891"/>
    <w:rsid w:val="00415CBB"/>
    <w:rsid w:val="00417EA6"/>
    <w:rsid w:val="00420A10"/>
    <w:rsid w:val="00421166"/>
    <w:rsid w:val="00422370"/>
    <w:rsid w:val="0044021E"/>
    <w:rsid w:val="004405C8"/>
    <w:rsid w:val="004410E0"/>
    <w:rsid w:val="004416B8"/>
    <w:rsid w:val="0044253D"/>
    <w:rsid w:val="0045492E"/>
    <w:rsid w:val="00455976"/>
    <w:rsid w:val="00464842"/>
    <w:rsid w:val="00467568"/>
    <w:rsid w:val="004775D7"/>
    <w:rsid w:val="0048089F"/>
    <w:rsid w:val="00482DEA"/>
    <w:rsid w:val="0049490B"/>
    <w:rsid w:val="004969B2"/>
    <w:rsid w:val="004A374E"/>
    <w:rsid w:val="004B3848"/>
    <w:rsid w:val="004B3B6D"/>
    <w:rsid w:val="004C2ABD"/>
    <w:rsid w:val="004D22CD"/>
    <w:rsid w:val="004E207C"/>
    <w:rsid w:val="004F0A15"/>
    <w:rsid w:val="004F16E8"/>
    <w:rsid w:val="004F74A6"/>
    <w:rsid w:val="00510B5C"/>
    <w:rsid w:val="00515D28"/>
    <w:rsid w:val="005225A4"/>
    <w:rsid w:val="00524965"/>
    <w:rsid w:val="00534041"/>
    <w:rsid w:val="00534056"/>
    <w:rsid w:val="00536BF7"/>
    <w:rsid w:val="00536F6F"/>
    <w:rsid w:val="00537586"/>
    <w:rsid w:val="005425C4"/>
    <w:rsid w:val="0055027E"/>
    <w:rsid w:val="00551274"/>
    <w:rsid w:val="00554E3C"/>
    <w:rsid w:val="0055589A"/>
    <w:rsid w:val="00566AE8"/>
    <w:rsid w:val="005670FA"/>
    <w:rsid w:val="00575797"/>
    <w:rsid w:val="00594CAA"/>
    <w:rsid w:val="00597862"/>
    <w:rsid w:val="005A0A2A"/>
    <w:rsid w:val="005A3921"/>
    <w:rsid w:val="005A4D4D"/>
    <w:rsid w:val="005C29FE"/>
    <w:rsid w:val="005C7D0D"/>
    <w:rsid w:val="005D07DC"/>
    <w:rsid w:val="005D1B3D"/>
    <w:rsid w:val="005D43F2"/>
    <w:rsid w:val="005E29BC"/>
    <w:rsid w:val="005E51E4"/>
    <w:rsid w:val="005F2712"/>
    <w:rsid w:val="005F277A"/>
    <w:rsid w:val="005F6D9C"/>
    <w:rsid w:val="0060171C"/>
    <w:rsid w:val="00607FC5"/>
    <w:rsid w:val="00611798"/>
    <w:rsid w:val="00620B13"/>
    <w:rsid w:val="0062306E"/>
    <w:rsid w:val="00641796"/>
    <w:rsid w:val="006531C1"/>
    <w:rsid w:val="00653594"/>
    <w:rsid w:val="006537A6"/>
    <w:rsid w:val="00653DF4"/>
    <w:rsid w:val="00657D3F"/>
    <w:rsid w:val="00671EEF"/>
    <w:rsid w:val="0067509E"/>
    <w:rsid w:val="006870E6"/>
    <w:rsid w:val="00690DE2"/>
    <w:rsid w:val="006A67A4"/>
    <w:rsid w:val="006B2E3F"/>
    <w:rsid w:val="006B6557"/>
    <w:rsid w:val="006C17C8"/>
    <w:rsid w:val="006C472E"/>
    <w:rsid w:val="006D0D3F"/>
    <w:rsid w:val="006D1E95"/>
    <w:rsid w:val="006D3CF8"/>
    <w:rsid w:val="006E4CF3"/>
    <w:rsid w:val="006E5F48"/>
    <w:rsid w:val="006E6601"/>
    <w:rsid w:val="006E7BFF"/>
    <w:rsid w:val="00702B4D"/>
    <w:rsid w:val="007060FD"/>
    <w:rsid w:val="00716DE8"/>
    <w:rsid w:val="00723F7B"/>
    <w:rsid w:val="00730AD3"/>
    <w:rsid w:val="00733FF6"/>
    <w:rsid w:val="007421FE"/>
    <w:rsid w:val="00743CB4"/>
    <w:rsid w:val="00770EFA"/>
    <w:rsid w:val="00772A27"/>
    <w:rsid w:val="00775DF6"/>
    <w:rsid w:val="00776155"/>
    <w:rsid w:val="00776F78"/>
    <w:rsid w:val="0078648A"/>
    <w:rsid w:val="00794D18"/>
    <w:rsid w:val="0079608E"/>
    <w:rsid w:val="00796E70"/>
    <w:rsid w:val="00797449"/>
    <w:rsid w:val="007A1297"/>
    <w:rsid w:val="007A5C0F"/>
    <w:rsid w:val="007B3446"/>
    <w:rsid w:val="007B4992"/>
    <w:rsid w:val="007C230F"/>
    <w:rsid w:val="007C5D0E"/>
    <w:rsid w:val="007C75E4"/>
    <w:rsid w:val="007D6458"/>
    <w:rsid w:val="007D7F53"/>
    <w:rsid w:val="007E18B9"/>
    <w:rsid w:val="007E23A5"/>
    <w:rsid w:val="007E538F"/>
    <w:rsid w:val="007F6622"/>
    <w:rsid w:val="007F7ABD"/>
    <w:rsid w:val="008001F0"/>
    <w:rsid w:val="00800320"/>
    <w:rsid w:val="00802794"/>
    <w:rsid w:val="00803782"/>
    <w:rsid w:val="00805D90"/>
    <w:rsid w:val="0081445E"/>
    <w:rsid w:val="008272D0"/>
    <w:rsid w:val="00830A09"/>
    <w:rsid w:val="008351A3"/>
    <w:rsid w:val="00836D25"/>
    <w:rsid w:val="00837B40"/>
    <w:rsid w:val="00841404"/>
    <w:rsid w:val="00843FE2"/>
    <w:rsid w:val="00846CAE"/>
    <w:rsid w:val="00866A81"/>
    <w:rsid w:val="00876970"/>
    <w:rsid w:val="00881B0B"/>
    <w:rsid w:val="00883DAD"/>
    <w:rsid w:val="00887337"/>
    <w:rsid w:val="00887B1A"/>
    <w:rsid w:val="008A7128"/>
    <w:rsid w:val="008B11FD"/>
    <w:rsid w:val="008B2545"/>
    <w:rsid w:val="008C122E"/>
    <w:rsid w:val="008C173F"/>
    <w:rsid w:val="008C2489"/>
    <w:rsid w:val="008C637D"/>
    <w:rsid w:val="008D0B54"/>
    <w:rsid w:val="008D22B7"/>
    <w:rsid w:val="008E06FC"/>
    <w:rsid w:val="008E5410"/>
    <w:rsid w:val="00900D61"/>
    <w:rsid w:val="00905B36"/>
    <w:rsid w:val="00916740"/>
    <w:rsid w:val="00923A22"/>
    <w:rsid w:val="009365F3"/>
    <w:rsid w:val="00937C71"/>
    <w:rsid w:val="009443E7"/>
    <w:rsid w:val="0094527D"/>
    <w:rsid w:val="0095405F"/>
    <w:rsid w:val="00955585"/>
    <w:rsid w:val="00955CD9"/>
    <w:rsid w:val="00956D9D"/>
    <w:rsid w:val="00960352"/>
    <w:rsid w:val="00980BEA"/>
    <w:rsid w:val="00981CF7"/>
    <w:rsid w:val="00985961"/>
    <w:rsid w:val="0098645E"/>
    <w:rsid w:val="00987658"/>
    <w:rsid w:val="009933DA"/>
    <w:rsid w:val="009A3026"/>
    <w:rsid w:val="009A6E78"/>
    <w:rsid w:val="009B2539"/>
    <w:rsid w:val="009C10F7"/>
    <w:rsid w:val="009C30B1"/>
    <w:rsid w:val="009D5E0A"/>
    <w:rsid w:val="009D5EA5"/>
    <w:rsid w:val="009E097C"/>
    <w:rsid w:val="009F01EE"/>
    <w:rsid w:val="009F2041"/>
    <w:rsid w:val="009F319C"/>
    <w:rsid w:val="009F382D"/>
    <w:rsid w:val="009F4A87"/>
    <w:rsid w:val="00A01041"/>
    <w:rsid w:val="00A13291"/>
    <w:rsid w:val="00A17733"/>
    <w:rsid w:val="00A27BBB"/>
    <w:rsid w:val="00A27EDA"/>
    <w:rsid w:val="00A37B51"/>
    <w:rsid w:val="00A42CCF"/>
    <w:rsid w:val="00A47EFB"/>
    <w:rsid w:val="00A50151"/>
    <w:rsid w:val="00A5216A"/>
    <w:rsid w:val="00A55003"/>
    <w:rsid w:val="00A56CD0"/>
    <w:rsid w:val="00A64FD0"/>
    <w:rsid w:val="00A6686B"/>
    <w:rsid w:val="00A66A34"/>
    <w:rsid w:val="00A70CAA"/>
    <w:rsid w:val="00A7173F"/>
    <w:rsid w:val="00A74EF0"/>
    <w:rsid w:val="00A86639"/>
    <w:rsid w:val="00A92CB7"/>
    <w:rsid w:val="00A95263"/>
    <w:rsid w:val="00AB598C"/>
    <w:rsid w:val="00AB7F07"/>
    <w:rsid w:val="00AD2709"/>
    <w:rsid w:val="00AD273A"/>
    <w:rsid w:val="00AD4A82"/>
    <w:rsid w:val="00AE2DB8"/>
    <w:rsid w:val="00AE541E"/>
    <w:rsid w:val="00AF04FB"/>
    <w:rsid w:val="00AF4709"/>
    <w:rsid w:val="00B02075"/>
    <w:rsid w:val="00B022BB"/>
    <w:rsid w:val="00B049FF"/>
    <w:rsid w:val="00B24714"/>
    <w:rsid w:val="00B24768"/>
    <w:rsid w:val="00B27A69"/>
    <w:rsid w:val="00B32B91"/>
    <w:rsid w:val="00B40C12"/>
    <w:rsid w:val="00B45C18"/>
    <w:rsid w:val="00B46944"/>
    <w:rsid w:val="00B51BAC"/>
    <w:rsid w:val="00B5590A"/>
    <w:rsid w:val="00B56853"/>
    <w:rsid w:val="00B56CB1"/>
    <w:rsid w:val="00B646CB"/>
    <w:rsid w:val="00B6494A"/>
    <w:rsid w:val="00B84881"/>
    <w:rsid w:val="00B86F48"/>
    <w:rsid w:val="00B91DCF"/>
    <w:rsid w:val="00BA0B90"/>
    <w:rsid w:val="00BA27CC"/>
    <w:rsid w:val="00BB4641"/>
    <w:rsid w:val="00BB73FC"/>
    <w:rsid w:val="00BC297E"/>
    <w:rsid w:val="00BD5570"/>
    <w:rsid w:val="00BE52D3"/>
    <w:rsid w:val="00C04D02"/>
    <w:rsid w:val="00C12305"/>
    <w:rsid w:val="00C23AAB"/>
    <w:rsid w:val="00C31244"/>
    <w:rsid w:val="00C362CD"/>
    <w:rsid w:val="00C455E7"/>
    <w:rsid w:val="00C507D6"/>
    <w:rsid w:val="00C51821"/>
    <w:rsid w:val="00C52593"/>
    <w:rsid w:val="00C557C6"/>
    <w:rsid w:val="00C57822"/>
    <w:rsid w:val="00C63DE7"/>
    <w:rsid w:val="00C73876"/>
    <w:rsid w:val="00C74292"/>
    <w:rsid w:val="00C762D4"/>
    <w:rsid w:val="00C90DDF"/>
    <w:rsid w:val="00C92F74"/>
    <w:rsid w:val="00C9308E"/>
    <w:rsid w:val="00CA17B9"/>
    <w:rsid w:val="00CA1FB5"/>
    <w:rsid w:val="00CA76A4"/>
    <w:rsid w:val="00CB0BD6"/>
    <w:rsid w:val="00CB4FC8"/>
    <w:rsid w:val="00CC2B80"/>
    <w:rsid w:val="00CC545D"/>
    <w:rsid w:val="00CE0D7B"/>
    <w:rsid w:val="00CE4792"/>
    <w:rsid w:val="00CE7EDD"/>
    <w:rsid w:val="00CF49AD"/>
    <w:rsid w:val="00CF6FF2"/>
    <w:rsid w:val="00D0256B"/>
    <w:rsid w:val="00D04CD1"/>
    <w:rsid w:val="00D05406"/>
    <w:rsid w:val="00D05DA3"/>
    <w:rsid w:val="00D07AA9"/>
    <w:rsid w:val="00D1632B"/>
    <w:rsid w:val="00D2361B"/>
    <w:rsid w:val="00D25090"/>
    <w:rsid w:val="00D2519E"/>
    <w:rsid w:val="00D274D5"/>
    <w:rsid w:val="00D44FA6"/>
    <w:rsid w:val="00D4503F"/>
    <w:rsid w:val="00D478E6"/>
    <w:rsid w:val="00D605D5"/>
    <w:rsid w:val="00D67E75"/>
    <w:rsid w:val="00D943DB"/>
    <w:rsid w:val="00DA419A"/>
    <w:rsid w:val="00DB13B6"/>
    <w:rsid w:val="00DC3656"/>
    <w:rsid w:val="00DD5ECD"/>
    <w:rsid w:val="00DD661F"/>
    <w:rsid w:val="00E009A5"/>
    <w:rsid w:val="00E05615"/>
    <w:rsid w:val="00E06DE3"/>
    <w:rsid w:val="00E110DE"/>
    <w:rsid w:val="00E211B5"/>
    <w:rsid w:val="00E21630"/>
    <w:rsid w:val="00E304DC"/>
    <w:rsid w:val="00E306C7"/>
    <w:rsid w:val="00E36562"/>
    <w:rsid w:val="00E438C1"/>
    <w:rsid w:val="00E53A4E"/>
    <w:rsid w:val="00E6560B"/>
    <w:rsid w:val="00E70856"/>
    <w:rsid w:val="00E710D9"/>
    <w:rsid w:val="00E74898"/>
    <w:rsid w:val="00E74B5E"/>
    <w:rsid w:val="00E80A09"/>
    <w:rsid w:val="00E85A79"/>
    <w:rsid w:val="00E879EF"/>
    <w:rsid w:val="00E9152D"/>
    <w:rsid w:val="00E91CEE"/>
    <w:rsid w:val="00EA1197"/>
    <w:rsid w:val="00EA5997"/>
    <w:rsid w:val="00EB5488"/>
    <w:rsid w:val="00ED25D6"/>
    <w:rsid w:val="00EE6BBC"/>
    <w:rsid w:val="00EF1EC6"/>
    <w:rsid w:val="00EF45E3"/>
    <w:rsid w:val="00F05A98"/>
    <w:rsid w:val="00F17465"/>
    <w:rsid w:val="00F21032"/>
    <w:rsid w:val="00F32F15"/>
    <w:rsid w:val="00F40337"/>
    <w:rsid w:val="00F40B54"/>
    <w:rsid w:val="00F450DB"/>
    <w:rsid w:val="00F51703"/>
    <w:rsid w:val="00F618F8"/>
    <w:rsid w:val="00F62320"/>
    <w:rsid w:val="00F646D0"/>
    <w:rsid w:val="00F66C93"/>
    <w:rsid w:val="00F73F43"/>
    <w:rsid w:val="00F83C09"/>
    <w:rsid w:val="00F841FD"/>
    <w:rsid w:val="00FB57A5"/>
    <w:rsid w:val="00FC433B"/>
    <w:rsid w:val="00FC4619"/>
    <w:rsid w:val="00FC5817"/>
    <w:rsid w:val="00FC7A92"/>
    <w:rsid w:val="00FD01ED"/>
    <w:rsid w:val="00FD7981"/>
    <w:rsid w:val="00FE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5E643"/>
  <w15:chartTrackingRefBased/>
  <w15:docId w15:val="{DEE42119-36F8-4B7E-BFFE-A8D07128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66"/>
    <w:lsdException w:name="toc 2" w:locked="0" w:uiPriority="66"/>
    <w:lsdException w:name="toc 3" w:locked="0" w:uiPriority="66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locked="0" w:uiPriority="69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locked="0" w:uiPriority="69"/>
    <w:lsdException w:name="annotation reference" w:semiHidden="1"/>
    <w:lsdException w:name="line number" w:semiHidden="1"/>
    <w:lsdException w:name="page number" w:semiHidden="1"/>
    <w:lsdException w:name="endnote reference" w:locked="0" w:uiPriority="69"/>
    <w:lsdException w:name="endnote text" w:locked="0" w:uiPriority="69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79"/>
    <w:qFormat/>
    <w:rsid w:val="00A6686B"/>
  </w:style>
  <w:style w:type="paragraph" w:styleId="Heading4">
    <w:name w:val="heading 4"/>
    <w:next w:val="Bodytextnormal"/>
    <w:link w:val="Heading4Char"/>
    <w:uiPriority w:val="9"/>
    <w:qFormat/>
    <w:locked/>
    <w:rsid w:val="00900D61"/>
    <w:pPr>
      <w:keepNext/>
      <w:keepLines/>
      <w:spacing w:before="60" w:after="120" w:line="240" w:lineRule="auto"/>
      <w:outlineLvl w:val="3"/>
    </w:pPr>
    <w:rPr>
      <w:rFonts w:ascii="Arial Nova" w:eastAsiaTheme="majorEastAsia" w:hAnsi="Arial Nova" w:cstheme="majorBidi"/>
      <w:b/>
      <w:iCs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Bodytext">
    <w:name w:val="v Body text"/>
    <w:qFormat/>
    <w:rsid w:val="00421166"/>
    <w:pPr>
      <w:spacing w:line="264" w:lineRule="auto"/>
    </w:pPr>
    <w:rPr>
      <w:rFonts w:ascii="Arial Nova Light" w:hAnsi="Arial Nova Light"/>
    </w:rPr>
  </w:style>
  <w:style w:type="paragraph" w:customStyle="1" w:styleId="vBodybullet1">
    <w:name w:val="v Body bullet 1"/>
    <w:basedOn w:val="vBodytext"/>
    <w:uiPriority w:val="1"/>
    <w:qFormat/>
    <w:rsid w:val="00421166"/>
    <w:pPr>
      <w:numPr>
        <w:numId w:val="1"/>
      </w:numPr>
    </w:pPr>
  </w:style>
  <w:style w:type="paragraph" w:customStyle="1" w:styleId="vBodybullet2">
    <w:name w:val="v Body bullet 2"/>
    <w:basedOn w:val="vBodybullet1"/>
    <w:uiPriority w:val="2"/>
    <w:qFormat/>
    <w:rsid w:val="001769DD"/>
    <w:pPr>
      <w:numPr>
        <w:numId w:val="3"/>
      </w:numPr>
    </w:pPr>
  </w:style>
  <w:style w:type="paragraph" w:customStyle="1" w:styleId="vBodynumberedlist1">
    <w:name w:val="v Body numbered list 1"/>
    <w:basedOn w:val="vBodybullet1"/>
    <w:uiPriority w:val="3"/>
    <w:qFormat/>
    <w:rsid w:val="001769DD"/>
    <w:pPr>
      <w:numPr>
        <w:numId w:val="5"/>
      </w:numPr>
      <w:ind w:left="454" w:hanging="454"/>
    </w:pPr>
  </w:style>
  <w:style w:type="paragraph" w:customStyle="1" w:styleId="vBodynumberedlist2">
    <w:name w:val="v Body numbered list 2"/>
    <w:basedOn w:val="vBodybullet2"/>
    <w:uiPriority w:val="4"/>
    <w:qFormat/>
    <w:rsid w:val="001769DD"/>
    <w:pPr>
      <w:numPr>
        <w:numId w:val="6"/>
      </w:numPr>
    </w:pPr>
  </w:style>
  <w:style w:type="paragraph" w:customStyle="1" w:styleId="vBodynumberedlist3">
    <w:name w:val="v Body numbered list 3"/>
    <w:basedOn w:val="vBodynumberedlist2"/>
    <w:uiPriority w:val="5"/>
    <w:qFormat/>
    <w:rsid w:val="001769DD"/>
    <w:pPr>
      <w:numPr>
        <w:numId w:val="7"/>
      </w:numPr>
    </w:pPr>
  </w:style>
  <w:style w:type="paragraph" w:customStyle="1" w:styleId="vBodyintroduction">
    <w:name w:val="v Body introduction"/>
    <w:basedOn w:val="vBodytext"/>
    <w:uiPriority w:val="6"/>
    <w:qFormat/>
    <w:rsid w:val="00E91CEE"/>
    <w:pPr>
      <w:spacing w:before="240" w:after="360"/>
    </w:pPr>
    <w:rPr>
      <w:sz w:val="28"/>
    </w:rPr>
  </w:style>
  <w:style w:type="paragraph" w:customStyle="1" w:styleId="vBodyindent1">
    <w:name w:val="v Body indent 1"/>
    <w:basedOn w:val="vBodytext"/>
    <w:uiPriority w:val="8"/>
    <w:qFormat/>
    <w:rsid w:val="00100A7F"/>
    <w:pPr>
      <w:ind w:left="454"/>
    </w:pPr>
  </w:style>
  <w:style w:type="paragraph" w:customStyle="1" w:styleId="vBodyindent2">
    <w:name w:val="v Body indent 2"/>
    <w:basedOn w:val="vBodytext"/>
    <w:uiPriority w:val="9"/>
    <w:qFormat/>
    <w:rsid w:val="00100A7F"/>
    <w:pPr>
      <w:ind w:left="907"/>
    </w:pPr>
  </w:style>
  <w:style w:type="paragraph" w:customStyle="1" w:styleId="vBodyblock1">
    <w:name w:val="v Body block 1"/>
    <w:basedOn w:val="vBodytext"/>
    <w:uiPriority w:val="7"/>
    <w:qFormat/>
    <w:rsid w:val="00003598"/>
    <w:pPr>
      <w:pBdr>
        <w:left w:val="single" w:sz="48" w:space="16" w:color="62DEBD" w:themeColor="accent4"/>
      </w:pBdr>
      <w:spacing w:before="240" w:after="360"/>
      <w:ind w:left="454"/>
    </w:pPr>
    <w:rPr>
      <w:rFonts w:ascii="Arial Nova" w:hAnsi="Arial Nova"/>
    </w:rPr>
  </w:style>
  <w:style w:type="character" w:customStyle="1" w:styleId="vCharacterbold">
    <w:name w:val="v Character bold"/>
    <w:basedOn w:val="DefaultParagraphFont"/>
    <w:uiPriority w:val="10"/>
    <w:qFormat/>
    <w:rsid w:val="00003598"/>
    <w:rPr>
      <w:rFonts w:ascii="Arial Nova" w:hAnsi="Arial Nova"/>
      <w:b/>
    </w:rPr>
  </w:style>
  <w:style w:type="character" w:customStyle="1" w:styleId="vCharacteritalics">
    <w:name w:val="v Character italics"/>
    <w:basedOn w:val="DefaultParagraphFont"/>
    <w:uiPriority w:val="11"/>
    <w:qFormat/>
    <w:rsid w:val="00003598"/>
    <w:rPr>
      <w:i/>
    </w:rPr>
  </w:style>
  <w:style w:type="character" w:customStyle="1" w:styleId="vCharactersuperscript">
    <w:name w:val="v Character superscript"/>
    <w:basedOn w:val="DefaultParagraphFont"/>
    <w:uiPriority w:val="12"/>
    <w:qFormat/>
    <w:rsid w:val="00003598"/>
    <w:rPr>
      <w:vertAlign w:val="superscript"/>
    </w:rPr>
  </w:style>
  <w:style w:type="character" w:customStyle="1" w:styleId="vCharactersubscript">
    <w:name w:val="v Character subscript"/>
    <w:basedOn w:val="DefaultParagraphFont"/>
    <w:uiPriority w:val="13"/>
    <w:qFormat/>
    <w:rsid w:val="00003598"/>
    <w:rPr>
      <w:vertAlign w:val="subscript"/>
    </w:rPr>
  </w:style>
  <w:style w:type="character" w:customStyle="1" w:styleId="vCharacterhighlightgreen">
    <w:name w:val="v Character highlight green"/>
    <w:basedOn w:val="DefaultParagraphFont"/>
    <w:uiPriority w:val="14"/>
    <w:qFormat/>
    <w:rsid w:val="00003598"/>
    <w:rPr>
      <w:bdr w:val="none" w:sz="0" w:space="0" w:color="auto"/>
      <w:shd w:val="clear" w:color="auto" w:fill="62DEBD" w:themeFill="accent4"/>
    </w:rPr>
  </w:style>
  <w:style w:type="character" w:customStyle="1" w:styleId="vCharacterhighlightyellow">
    <w:name w:val="v Character highlight yellow"/>
    <w:basedOn w:val="DefaultParagraphFont"/>
    <w:uiPriority w:val="15"/>
    <w:qFormat/>
    <w:rsid w:val="00003598"/>
    <w:rPr>
      <w:bdr w:val="none" w:sz="0" w:space="0" w:color="auto"/>
      <w:shd w:val="clear" w:color="auto" w:fill="EDB936" w:themeFill="accent3"/>
    </w:rPr>
  </w:style>
  <w:style w:type="paragraph" w:customStyle="1" w:styleId="vHeading6">
    <w:name w:val="v Heading 6"/>
    <w:basedOn w:val="vBodytext"/>
    <w:uiPriority w:val="28"/>
    <w:qFormat/>
    <w:rsid w:val="005E51E4"/>
    <w:rPr>
      <w:rFonts w:ascii="Arial Nova" w:hAnsi="Arial Nova"/>
      <w:i/>
      <w:iCs/>
    </w:rPr>
  </w:style>
  <w:style w:type="paragraph" w:customStyle="1" w:styleId="vHeading5">
    <w:name w:val="v Heading 5"/>
    <w:basedOn w:val="vBodytext"/>
    <w:uiPriority w:val="27"/>
    <w:qFormat/>
    <w:rsid w:val="00020CEF"/>
    <w:pPr>
      <w:spacing w:before="160"/>
    </w:pPr>
    <w:rPr>
      <w:rFonts w:ascii="Arial Nova" w:hAnsi="Arial Nova"/>
      <w:b/>
      <w:bCs/>
    </w:rPr>
  </w:style>
  <w:style w:type="paragraph" w:customStyle="1" w:styleId="vHeading4">
    <w:name w:val="v Heading 4"/>
    <w:basedOn w:val="vBodytext"/>
    <w:uiPriority w:val="26"/>
    <w:qFormat/>
    <w:rsid w:val="00020CEF"/>
    <w:pPr>
      <w:spacing w:before="240"/>
    </w:pPr>
    <w:rPr>
      <w:rFonts w:ascii="Arial Nova" w:hAnsi="Arial Nova"/>
      <w:b/>
      <w:bCs/>
      <w:sz w:val="28"/>
      <w:szCs w:val="28"/>
    </w:rPr>
  </w:style>
  <w:style w:type="paragraph" w:customStyle="1" w:styleId="vHeading3">
    <w:name w:val="v Heading 3"/>
    <w:basedOn w:val="vBodytext"/>
    <w:uiPriority w:val="24"/>
    <w:qFormat/>
    <w:rsid w:val="00020CEF"/>
    <w:pPr>
      <w:spacing w:before="240"/>
    </w:pPr>
    <w:rPr>
      <w:rFonts w:ascii="Arial Nova" w:hAnsi="Arial Nova"/>
      <w:b/>
      <w:bCs/>
      <w:sz w:val="34"/>
      <w:szCs w:val="34"/>
    </w:rPr>
  </w:style>
  <w:style w:type="paragraph" w:customStyle="1" w:styleId="vHeading2">
    <w:name w:val="v Heading 2"/>
    <w:basedOn w:val="vBodytext"/>
    <w:uiPriority w:val="22"/>
    <w:qFormat/>
    <w:rsid w:val="00020CEF"/>
    <w:pPr>
      <w:spacing w:before="360" w:after="240"/>
    </w:pPr>
    <w:rPr>
      <w:rFonts w:ascii="Arial Nova" w:hAnsi="Arial Nova"/>
      <w:b/>
      <w:bCs/>
      <w:sz w:val="40"/>
      <w:szCs w:val="40"/>
    </w:rPr>
  </w:style>
  <w:style w:type="paragraph" w:customStyle="1" w:styleId="vHeading1">
    <w:name w:val="v Heading 1"/>
    <w:basedOn w:val="vBodytext"/>
    <w:uiPriority w:val="19"/>
    <w:qFormat/>
    <w:rsid w:val="00020CEF"/>
    <w:pPr>
      <w:spacing w:before="480" w:after="360"/>
    </w:pPr>
    <w:rPr>
      <w:rFonts w:ascii="Arial Nova" w:hAnsi="Arial Nova"/>
      <w:b/>
      <w:bCs/>
      <w:sz w:val="52"/>
      <w:szCs w:val="52"/>
    </w:rPr>
  </w:style>
  <w:style w:type="paragraph" w:customStyle="1" w:styleId="vHeading1numbered">
    <w:name w:val="v Heading 1 numbered"/>
    <w:basedOn w:val="vHeading1"/>
    <w:uiPriority w:val="20"/>
    <w:qFormat/>
    <w:rsid w:val="00020CEF"/>
    <w:pPr>
      <w:numPr>
        <w:numId w:val="10"/>
      </w:numPr>
    </w:pPr>
  </w:style>
  <w:style w:type="paragraph" w:customStyle="1" w:styleId="vHeading2numbered">
    <w:name w:val="v Heading 2 numbered"/>
    <w:basedOn w:val="vHeading2"/>
    <w:uiPriority w:val="23"/>
    <w:qFormat/>
    <w:rsid w:val="00020CEF"/>
    <w:pPr>
      <w:numPr>
        <w:ilvl w:val="1"/>
        <w:numId w:val="10"/>
      </w:numPr>
    </w:pPr>
  </w:style>
  <w:style w:type="paragraph" w:customStyle="1" w:styleId="vHeading3numbered">
    <w:name w:val="v Heading 3 numbered"/>
    <w:basedOn w:val="vHeading3"/>
    <w:uiPriority w:val="25"/>
    <w:qFormat/>
    <w:rsid w:val="00020CEF"/>
    <w:pPr>
      <w:numPr>
        <w:ilvl w:val="2"/>
        <w:numId w:val="10"/>
      </w:numPr>
    </w:pPr>
  </w:style>
  <w:style w:type="paragraph" w:customStyle="1" w:styleId="vHeading1appendix">
    <w:name w:val="v Heading 1 appendix"/>
    <w:basedOn w:val="vHeading1"/>
    <w:uiPriority w:val="21"/>
    <w:qFormat/>
    <w:rsid w:val="00653594"/>
    <w:pPr>
      <w:numPr>
        <w:ilvl w:val="3"/>
        <w:numId w:val="10"/>
      </w:numPr>
    </w:pPr>
  </w:style>
  <w:style w:type="paragraph" w:customStyle="1" w:styleId="vCovertitle">
    <w:name w:val="v Cover title"/>
    <w:uiPriority w:val="29"/>
    <w:qFormat/>
    <w:rsid w:val="008C122E"/>
    <w:pPr>
      <w:spacing w:after="600" w:line="264" w:lineRule="auto"/>
    </w:pPr>
    <w:rPr>
      <w:rFonts w:ascii="Arial Nova" w:hAnsi="Arial Nova"/>
      <w:b/>
      <w:sz w:val="80"/>
    </w:rPr>
  </w:style>
  <w:style w:type="paragraph" w:customStyle="1" w:styleId="vCoversubtitle">
    <w:name w:val="v Cover subtitle"/>
    <w:basedOn w:val="vCovertitle"/>
    <w:uiPriority w:val="29"/>
    <w:qFormat/>
    <w:rsid w:val="008C122E"/>
    <w:rPr>
      <w:sz w:val="36"/>
    </w:rPr>
  </w:style>
  <w:style w:type="paragraph" w:customStyle="1" w:styleId="vContentstitle">
    <w:name w:val="v Contents title"/>
    <w:uiPriority w:val="31"/>
    <w:qFormat/>
    <w:rsid w:val="00653DF4"/>
    <w:pPr>
      <w:spacing w:before="480" w:after="360" w:line="264" w:lineRule="auto"/>
    </w:pPr>
    <w:rPr>
      <w:rFonts w:ascii="Arial Nova" w:hAnsi="Arial Nova"/>
      <w:b/>
      <w:sz w:val="52"/>
    </w:rPr>
  </w:style>
  <w:style w:type="paragraph" w:customStyle="1" w:styleId="vFiguretitle">
    <w:name w:val="v Figure title"/>
    <w:basedOn w:val="vBodytext"/>
    <w:uiPriority w:val="32"/>
    <w:qFormat/>
    <w:rsid w:val="0044253D"/>
    <w:pPr>
      <w:spacing w:before="360"/>
    </w:pPr>
    <w:rPr>
      <w:rFonts w:ascii="Arial Nova" w:hAnsi="Arial Nova"/>
      <w:b/>
    </w:rPr>
  </w:style>
  <w:style w:type="paragraph" w:styleId="EndnoteText">
    <w:name w:val="endnote text"/>
    <w:basedOn w:val="Normal"/>
    <w:link w:val="EndnoteTextChar"/>
    <w:uiPriority w:val="69"/>
    <w:rsid w:val="003F5521"/>
    <w:pPr>
      <w:spacing w:after="0" w:line="240" w:lineRule="auto"/>
    </w:pPr>
    <w:rPr>
      <w:rFonts w:ascii="Arial Nova Light" w:hAnsi="Arial Nova Light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69"/>
    <w:rsid w:val="003F5521"/>
    <w:rPr>
      <w:rFonts w:ascii="Arial Nova Light" w:hAnsi="Arial Nova Light"/>
      <w:sz w:val="20"/>
      <w:szCs w:val="20"/>
    </w:rPr>
  </w:style>
  <w:style w:type="paragraph" w:styleId="FootnoteText">
    <w:name w:val="footnote text"/>
    <w:basedOn w:val="Normal"/>
    <w:link w:val="FootnoteTextChar"/>
    <w:uiPriority w:val="69"/>
    <w:rsid w:val="003F5521"/>
    <w:pPr>
      <w:spacing w:after="0" w:line="240" w:lineRule="auto"/>
    </w:pPr>
    <w:rPr>
      <w:rFonts w:ascii="Arial Nova Light" w:hAnsi="Arial Nova Ligh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69"/>
    <w:rsid w:val="003F5521"/>
    <w:rPr>
      <w:rFonts w:ascii="Arial Nova Light" w:hAnsi="Arial Nova Light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locked/>
    <w:rsid w:val="00D67E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7E75"/>
  </w:style>
  <w:style w:type="paragraph" w:styleId="Footer">
    <w:name w:val="footer"/>
    <w:basedOn w:val="Normal"/>
    <w:link w:val="FooterChar"/>
    <w:uiPriority w:val="99"/>
    <w:semiHidden/>
    <w:locked/>
    <w:rsid w:val="00D67E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7E75"/>
  </w:style>
  <w:style w:type="table" w:styleId="TableGrid">
    <w:name w:val="Table Grid"/>
    <w:basedOn w:val="TableNormal"/>
    <w:uiPriority w:val="39"/>
    <w:locked/>
    <w:rsid w:val="00B51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Tableheaderleft">
    <w:name w:val="v Table header left"/>
    <w:basedOn w:val="vBodytext"/>
    <w:uiPriority w:val="46"/>
    <w:qFormat/>
    <w:rsid w:val="00E06DE3"/>
    <w:pPr>
      <w:spacing w:after="60"/>
    </w:pPr>
    <w:rPr>
      <w:rFonts w:ascii="Arial Nova" w:hAnsi="Arial Nova"/>
      <w:b/>
      <w:bCs/>
      <w:sz w:val="20"/>
      <w:szCs w:val="20"/>
    </w:rPr>
  </w:style>
  <w:style w:type="paragraph" w:customStyle="1" w:styleId="vTableheadercentre">
    <w:name w:val="v Table header centre"/>
    <w:basedOn w:val="vBodytext"/>
    <w:uiPriority w:val="47"/>
    <w:qFormat/>
    <w:rsid w:val="00E06DE3"/>
    <w:pPr>
      <w:spacing w:after="60"/>
      <w:jc w:val="center"/>
    </w:pPr>
    <w:rPr>
      <w:rFonts w:ascii="Arial Nova" w:hAnsi="Arial Nova"/>
      <w:b/>
      <w:bCs/>
      <w:sz w:val="20"/>
      <w:szCs w:val="20"/>
    </w:rPr>
  </w:style>
  <w:style w:type="paragraph" w:customStyle="1" w:styleId="vTableheaderright">
    <w:name w:val="v Table header right"/>
    <w:basedOn w:val="vBodytext"/>
    <w:uiPriority w:val="48"/>
    <w:qFormat/>
    <w:rsid w:val="00E06DE3"/>
    <w:pPr>
      <w:spacing w:after="60"/>
      <w:jc w:val="right"/>
    </w:pPr>
    <w:rPr>
      <w:rFonts w:ascii="Arial Nova" w:hAnsi="Arial Nova"/>
      <w:b/>
      <w:bCs/>
      <w:sz w:val="20"/>
      <w:szCs w:val="20"/>
    </w:rPr>
  </w:style>
  <w:style w:type="paragraph" w:customStyle="1" w:styleId="vTabletext">
    <w:name w:val="v Table text"/>
    <w:basedOn w:val="vBodytext"/>
    <w:uiPriority w:val="39"/>
    <w:qFormat/>
    <w:rsid w:val="00B646CB"/>
    <w:pPr>
      <w:spacing w:after="60"/>
    </w:pPr>
    <w:rPr>
      <w:sz w:val="20"/>
      <w:szCs w:val="20"/>
    </w:rPr>
  </w:style>
  <w:style w:type="paragraph" w:customStyle="1" w:styleId="vTablebullet1">
    <w:name w:val="v Table bullet 1"/>
    <w:basedOn w:val="vTabletext"/>
    <w:uiPriority w:val="40"/>
    <w:qFormat/>
    <w:rsid w:val="00B646CB"/>
    <w:pPr>
      <w:numPr>
        <w:numId w:val="11"/>
      </w:numPr>
    </w:pPr>
  </w:style>
  <w:style w:type="paragraph" w:customStyle="1" w:styleId="vTablebullet2">
    <w:name w:val="v Table bullet 2"/>
    <w:basedOn w:val="vTablebullet1"/>
    <w:uiPriority w:val="41"/>
    <w:qFormat/>
    <w:rsid w:val="00B646CB"/>
    <w:pPr>
      <w:numPr>
        <w:numId w:val="12"/>
      </w:numPr>
    </w:pPr>
  </w:style>
  <w:style w:type="paragraph" w:customStyle="1" w:styleId="vTablenumberedlist">
    <w:name w:val="v Table numbered list"/>
    <w:basedOn w:val="vTablebullet1"/>
    <w:uiPriority w:val="42"/>
    <w:qFormat/>
    <w:rsid w:val="00B646CB"/>
    <w:pPr>
      <w:numPr>
        <w:numId w:val="15"/>
      </w:numPr>
    </w:pPr>
  </w:style>
  <w:style w:type="paragraph" w:customStyle="1" w:styleId="vTablenumberedlist2">
    <w:name w:val="v Table numbered list 2"/>
    <w:basedOn w:val="vTablenumberedlist"/>
    <w:uiPriority w:val="43"/>
    <w:qFormat/>
    <w:rsid w:val="00B646CB"/>
    <w:pPr>
      <w:numPr>
        <w:numId w:val="16"/>
      </w:numPr>
    </w:pPr>
  </w:style>
  <w:style w:type="paragraph" w:customStyle="1" w:styleId="vTableboldleft">
    <w:name w:val="v Table bold left"/>
    <w:basedOn w:val="vTabletext"/>
    <w:uiPriority w:val="49"/>
    <w:qFormat/>
    <w:rsid w:val="006A67A4"/>
    <w:rPr>
      <w:rFonts w:ascii="Arial Nova" w:hAnsi="Arial Nova"/>
      <w:b/>
      <w:bCs/>
    </w:rPr>
  </w:style>
  <w:style w:type="paragraph" w:customStyle="1" w:styleId="vTableboldcentre">
    <w:name w:val="v Table bold centre"/>
    <w:basedOn w:val="vTableboldleft"/>
    <w:uiPriority w:val="50"/>
    <w:qFormat/>
    <w:rsid w:val="002D50F4"/>
    <w:pPr>
      <w:jc w:val="center"/>
    </w:pPr>
  </w:style>
  <w:style w:type="paragraph" w:customStyle="1" w:styleId="vTableboldright">
    <w:name w:val="v Table bold right"/>
    <w:basedOn w:val="vTableboldleft"/>
    <w:uiPriority w:val="50"/>
    <w:qFormat/>
    <w:rsid w:val="002D50F4"/>
    <w:pPr>
      <w:jc w:val="right"/>
    </w:pPr>
  </w:style>
  <w:style w:type="paragraph" w:customStyle="1" w:styleId="vTabletextright">
    <w:name w:val="v Table text right"/>
    <w:basedOn w:val="vTabletext"/>
    <w:uiPriority w:val="45"/>
    <w:qFormat/>
    <w:rsid w:val="002D50F4"/>
    <w:pPr>
      <w:jc w:val="right"/>
    </w:pPr>
  </w:style>
  <w:style w:type="paragraph" w:customStyle="1" w:styleId="vTabletextcentre">
    <w:name w:val="v Table text centre"/>
    <w:basedOn w:val="vTabletext"/>
    <w:uiPriority w:val="44"/>
    <w:qFormat/>
    <w:rsid w:val="002D50F4"/>
    <w:pPr>
      <w:jc w:val="center"/>
    </w:pPr>
  </w:style>
  <w:style w:type="paragraph" w:styleId="ListBullet">
    <w:name w:val="List Bullet"/>
    <w:basedOn w:val="Normal"/>
    <w:uiPriority w:val="99"/>
    <w:semiHidden/>
    <w:locked/>
    <w:rsid w:val="000C5A27"/>
    <w:pPr>
      <w:numPr>
        <w:numId w:val="17"/>
      </w:numPr>
      <w:spacing w:after="60" w:line="280" w:lineRule="atLeast"/>
      <w:contextualSpacing/>
    </w:pPr>
    <w:rPr>
      <w:rFonts w:ascii="Arial" w:hAnsi="Arial"/>
      <w:szCs w:val="24"/>
    </w:rPr>
  </w:style>
  <w:style w:type="paragraph" w:customStyle="1" w:styleId="vFooter">
    <w:name w:val="v Footer"/>
    <w:basedOn w:val="vBodytext"/>
    <w:uiPriority w:val="59"/>
    <w:qFormat/>
    <w:rsid w:val="00776F78"/>
    <w:pPr>
      <w:spacing w:after="0"/>
    </w:pPr>
    <w:rPr>
      <w:rFonts w:ascii="Arial Nova" w:hAnsi="Arial Nova"/>
      <w:sz w:val="20"/>
    </w:rPr>
  </w:style>
  <w:style w:type="table" w:customStyle="1" w:styleId="VEOHRCsimplegreen">
    <w:name w:val="VEOHRC simple green"/>
    <w:basedOn w:val="TableNormal"/>
    <w:uiPriority w:val="99"/>
    <w:rsid w:val="00266585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62DEBD" w:themeFill="accent4"/>
      <w:tcMar>
        <w:top w:w="57" w:type="dxa"/>
        <w:bottom w:w="57" w:type="dxa"/>
      </w:tcMar>
    </w:tcPr>
  </w:style>
  <w:style w:type="table" w:customStyle="1" w:styleId="VEOHRCsimpleyellow">
    <w:name w:val="VEOHRC simple yellow"/>
    <w:basedOn w:val="TableNormal"/>
    <w:uiPriority w:val="99"/>
    <w:rsid w:val="00266585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B936" w:themeFill="accent3"/>
      <w:tcMar>
        <w:top w:w="57" w:type="dxa"/>
        <w:bottom w:w="57" w:type="dxa"/>
      </w:tcMar>
    </w:tcPr>
  </w:style>
  <w:style w:type="character" w:styleId="Hyperlink">
    <w:name w:val="Hyperlink"/>
    <w:basedOn w:val="DefaultParagraphFont"/>
    <w:uiPriority w:val="99"/>
    <w:rsid w:val="00A6686B"/>
    <w:rPr>
      <w:color w:val="auto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6D3CF8"/>
    <w:rPr>
      <w:color w:val="000000" w:themeColor="followedHyperlink"/>
      <w:u w:val="single"/>
    </w:rPr>
  </w:style>
  <w:style w:type="character" w:styleId="EndnoteReference">
    <w:name w:val="endnote reference"/>
    <w:basedOn w:val="DefaultParagraphFont"/>
    <w:uiPriority w:val="69"/>
    <w:rsid w:val="00AB598C"/>
    <w:rPr>
      <w:vertAlign w:val="superscript"/>
    </w:rPr>
  </w:style>
  <w:style w:type="paragraph" w:styleId="TOC1">
    <w:name w:val="toc 1"/>
    <w:basedOn w:val="Normal"/>
    <w:next w:val="Normal"/>
    <w:autoRedefine/>
    <w:uiPriority w:val="66"/>
    <w:rsid w:val="00802794"/>
    <w:pPr>
      <w:spacing w:after="100"/>
    </w:pPr>
  </w:style>
  <w:style w:type="paragraph" w:customStyle="1" w:styleId="vTablenotetext">
    <w:name w:val="v Table note text"/>
    <w:basedOn w:val="vTabletext"/>
    <w:uiPriority w:val="79"/>
    <w:qFormat/>
    <w:rsid w:val="00B24768"/>
    <w:pPr>
      <w:spacing w:after="120"/>
    </w:pPr>
    <w:rPr>
      <w:i/>
      <w:lang w:eastAsia="en-AU"/>
    </w:rPr>
  </w:style>
  <w:style w:type="character" w:styleId="UnresolvedMention">
    <w:name w:val="Unresolved Mention"/>
    <w:basedOn w:val="DefaultParagraphFont"/>
    <w:uiPriority w:val="99"/>
    <w:semiHidden/>
    <w:locked/>
    <w:rsid w:val="00D2361B"/>
    <w:rPr>
      <w:color w:val="605E5C"/>
      <w:shd w:val="clear" w:color="auto" w:fill="E1DFDD"/>
    </w:rPr>
  </w:style>
  <w:style w:type="paragraph" w:customStyle="1" w:styleId="vContentwarning">
    <w:name w:val="v Content warning"/>
    <w:basedOn w:val="vBodytext"/>
    <w:uiPriority w:val="79"/>
    <w:qFormat/>
    <w:rsid w:val="00B56853"/>
    <w:pPr>
      <w:spacing w:before="240" w:after="240"/>
    </w:pPr>
    <w:rPr>
      <w:rFonts w:ascii="Arial Nova" w:hAnsi="Arial Nova"/>
      <w:i/>
      <w:color w:val="B22304" w:themeColor="accent2"/>
    </w:rPr>
  </w:style>
  <w:style w:type="paragraph" w:customStyle="1" w:styleId="vBodytext-spacebefore">
    <w:name w:val="v Body text - space before"/>
    <w:basedOn w:val="vBodytext"/>
    <w:uiPriority w:val="79"/>
    <w:qFormat/>
    <w:rsid w:val="00A01041"/>
    <w:pPr>
      <w:spacing w:before="160"/>
    </w:pPr>
  </w:style>
  <w:style w:type="character" w:customStyle="1" w:styleId="Heading4Char">
    <w:name w:val="Heading 4 Char"/>
    <w:basedOn w:val="DefaultParagraphFont"/>
    <w:link w:val="Heading4"/>
    <w:uiPriority w:val="9"/>
    <w:rsid w:val="00900D61"/>
    <w:rPr>
      <w:rFonts w:ascii="Arial Nova" w:eastAsiaTheme="majorEastAsia" w:hAnsi="Arial Nova" w:cstheme="majorBidi"/>
      <w:b/>
      <w:iCs/>
      <w:color w:val="000000" w:themeColor="text1"/>
      <w:sz w:val="26"/>
    </w:rPr>
  </w:style>
  <w:style w:type="paragraph" w:customStyle="1" w:styleId="Bodytextnormal">
    <w:name w:val="Body text normal"/>
    <w:qFormat/>
    <w:rsid w:val="00900D61"/>
    <w:pPr>
      <w:keepLines/>
      <w:spacing w:before="80" w:after="80" w:line="264" w:lineRule="auto"/>
    </w:pPr>
    <w:rPr>
      <w:rFonts w:ascii="Arial Nova Light" w:hAnsi="Arial Nova Light"/>
      <w:kern w:val="14"/>
    </w:rPr>
  </w:style>
  <w:style w:type="paragraph" w:customStyle="1" w:styleId="Tablebulletpoint1">
    <w:name w:val="Table bullet point 1"/>
    <w:basedOn w:val="Normal"/>
    <w:uiPriority w:val="33"/>
    <w:qFormat/>
    <w:rsid w:val="00900D61"/>
    <w:pPr>
      <w:numPr>
        <w:numId w:val="20"/>
      </w:numPr>
      <w:spacing w:before="40" w:after="40" w:line="240" w:lineRule="auto"/>
      <w:ind w:left="340" w:hanging="340"/>
    </w:pPr>
    <w:rPr>
      <w:rFonts w:ascii="Arial Nova Light" w:hAnsi="Arial Nova Light"/>
      <w:kern w:val="14"/>
      <w:sz w:val="20"/>
    </w:rPr>
  </w:style>
  <w:style w:type="paragraph" w:customStyle="1" w:styleId="Footerdetails">
    <w:name w:val="Footer details"/>
    <w:basedOn w:val="Bodytextnormal"/>
    <w:next w:val="Normal"/>
    <w:uiPriority w:val="54"/>
    <w:qFormat/>
    <w:rsid w:val="00D4503F"/>
    <w:rPr>
      <w:sz w:val="18"/>
    </w:rPr>
  </w:style>
  <w:style w:type="character" w:customStyle="1" w:styleId="PageNumber">
    <w:name w:val="PageNumber"/>
    <w:uiPriority w:val="54"/>
    <w:qFormat/>
    <w:rsid w:val="00D4503F"/>
    <w:rPr>
      <w:rFonts w:ascii="Arial Nova" w:hAnsi="Arial Nova"/>
      <w:b/>
      <w:color w:val="071C53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veohrc.vic.gov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humanrights.vic.gov.au/legal-and-policy/research-reviews-and-investigations/mental-health-discrimination-in-the-travel-industry/monitoring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s://www.humanrights.vic.gov.au/complaint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EOHRC">
      <a:dk1>
        <a:sysClr val="windowText" lastClr="000000"/>
      </a:dk1>
      <a:lt1>
        <a:sysClr val="window" lastClr="FFFFFF"/>
      </a:lt1>
      <a:dk2>
        <a:srgbClr val="071C53"/>
      </a:dk2>
      <a:lt2>
        <a:srgbClr val="DDDDDD"/>
      </a:lt2>
      <a:accent1>
        <a:srgbClr val="071C53"/>
      </a:accent1>
      <a:accent2>
        <a:srgbClr val="B22304"/>
      </a:accent2>
      <a:accent3>
        <a:srgbClr val="EDB936"/>
      </a:accent3>
      <a:accent4>
        <a:srgbClr val="62DEBD"/>
      </a:accent4>
      <a:accent5>
        <a:srgbClr val="000000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E6A7335512A4D917BBD57E7CBBC63" ma:contentTypeVersion="2" ma:contentTypeDescription="Create a new document." ma:contentTypeScope="" ma:versionID="fe922742879e035ba1e072ef23e2e0e5">
  <xsd:schema xmlns:xsd="http://www.w3.org/2001/XMLSchema" xmlns:xs="http://www.w3.org/2001/XMLSchema" xmlns:p="http://schemas.microsoft.com/office/2006/metadata/properties" xmlns:ns2="3064daab-285f-489b-92f3-c9bf826e1074" targetNamespace="http://schemas.microsoft.com/office/2006/metadata/properties" ma:root="true" ma:fieldsID="aae086765ba78526439162fe12ac1965" ns2:_="">
    <xsd:import namespace="3064daab-285f-489b-92f3-c9bf826e1074"/>
    <xsd:element name="properties">
      <xsd:complexType>
        <xsd:sequence>
          <xsd:element name="documentManagement">
            <xsd:complexType>
              <xsd:all>
                <xsd:element ref="ns2:RDAFunctionNo" minOccurs="0"/>
                <xsd:element ref="ns2:Section" minOccurs="0"/>
                <xsd:element ref="ns2:RDADescription" minOccurs="0"/>
                <xsd:element ref="ns2:Agency" minOccurs="0"/>
                <xsd:element ref="ns2:RDARecommendedRetention" minOccurs="0"/>
                <xsd:element ref="ns2:RDA" minOccurs="0"/>
                <xsd:element ref="ns2:RDAClass" minOccurs="0"/>
                <xsd:element ref="ns2:BusinessUnit" minOccurs="0"/>
                <xsd:element ref="ns2:RDAFun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4daab-285f-489b-92f3-c9bf826e1074" elementFormDefault="qualified">
    <xsd:import namespace="http://schemas.microsoft.com/office/2006/documentManagement/types"/>
    <xsd:import namespace="http://schemas.microsoft.com/office/infopath/2007/PartnerControls"/>
    <xsd:element name="RDAFunctionNo" ma:index="8" nillable="true" ma:displayName="RDA Function No" ma:default="2.14.2" ma:internalName="RDAFunctionNo">
      <xsd:simpleType>
        <xsd:restriction base="dms:Text">
          <xsd:maxLength value="255"/>
        </xsd:restriction>
      </xsd:simpleType>
    </xsd:element>
    <xsd:element name="Section" ma:index="9" nillable="true" ma:displayName="Section" ma:internalName="Section">
      <xsd:simpleType>
        <xsd:restriction base="dms:Text"/>
      </xsd:simpleType>
    </xsd:element>
    <xsd:element name="RDADescription" ma:index="10" nillable="true" ma:displayName="RDA Description" ma:default="Records documenting the planning and final products of major marketing campaigns relating to an agency's activities. Includes activities such as re-branding after agency mergers or restructuring or major awareness campaigns. [For records associated with o" ma:internalName="RDADescription">
      <xsd:simpleType>
        <xsd:restriction base="dms:Text">
          <xsd:maxLength value="255"/>
        </xsd:restriction>
      </xsd:simpleType>
    </xsd:element>
    <xsd:element name="Agency" ma:index="11" nillable="true" ma:displayName="Agency" ma:default="VEOHRC" ma:internalName="Agency">
      <xsd:simpleType>
        <xsd:restriction base="dms:Text">
          <xsd:maxLength value="255"/>
        </xsd:restriction>
      </xsd:simpleType>
    </xsd:element>
    <xsd:element name="RDARecommendedRetention" ma:index="12" nillable="true" ma:displayName="RDA Recommended Retention" ma:default="Retain as State archives" ma:internalName="RDARecommendedRetention">
      <xsd:simpleType>
        <xsd:restriction base="dms:Text">
          <xsd:maxLength value="255"/>
        </xsd:restriction>
      </xsd:simpleType>
    </xsd:element>
    <xsd:element name="RDA" ma:index="13" nillable="true" ma:displayName="RDA" ma:default="PROS 07/01" ma:format="Dropdown" ma:internalName="RDA">
      <xsd:simpleType>
        <xsd:restriction base="dms:Choice">
          <xsd:enumeration value="PROS 07/01"/>
          <xsd:enumeration value="PROS 16/02"/>
          <xsd:enumeration value="PROS 21/04"/>
        </xsd:restriction>
      </xsd:simpleType>
    </xsd:element>
    <xsd:element name="RDAClass" ma:index="14" nillable="true" ma:displayName="RDA Class" ma:default="Marketing" ma:internalName="RDAClass">
      <xsd:simpleType>
        <xsd:restriction base="dms:Text">
          <xsd:maxLength value="255"/>
        </xsd:restriction>
      </xsd:simpleType>
    </xsd:element>
    <xsd:element name="BusinessUnit" ma:index="15" nillable="true" ma:displayName="Business Unit" ma:default="Strategic Communications" ma:format="Dropdown" ma:internalName="BusinessUnit">
      <xsd:simpleType>
        <xsd:restriction base="dms:Choice">
          <xsd:enumeration value="Board Members and Commissioners Office"/>
          <xsd:enumeration value="Strategic Communications"/>
          <xsd:enumeration value="Education and Consulting"/>
          <xsd:enumeration value="Corporate Services"/>
          <xsd:enumeration value="Legal"/>
          <xsd:enumeration value="Dispute Resolution"/>
          <xsd:enumeration value="Policy and Research"/>
        </xsd:restriction>
      </xsd:simpleType>
    </xsd:element>
    <xsd:element name="RDAFunction" ma:index="16" nillable="true" ma:displayName="RDA Function" ma:default="COMMUNITY RELATIONS" ma:internalName="RDAFunc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AClass xmlns="3064daab-285f-489b-92f3-c9bf826e1074">Annual reporting</RDAClass>
    <RDAFunction xmlns="3064daab-285f-489b-92f3-c9bf826e1074">REPORTING</RDAFunction>
    <RDAFunctionNo xmlns="3064daab-285f-489b-92f3-c9bf826e1074">16.2.1</RDAFunctionNo>
    <RDARecommendedRetention xmlns="3064daab-285f-489b-92f3-c9bf826e1074">Retain as State archives</RDARecommendedRetention>
    <Agency xmlns="3064daab-285f-489b-92f3-c9bf826e1074">VEOHRC</Agency>
    <BusinessUnit xmlns="3064daab-285f-489b-92f3-c9bf826e1074">Strategic Communications</BusinessUnit>
    <Section xmlns="3064daab-285f-489b-92f3-c9bf826e1074" xsi:nil="true"/>
    <RDADescription xmlns="3064daab-285f-489b-92f3-c9bf826e1074">Annual reports.</RDADescription>
    <RDA xmlns="3064daab-285f-489b-92f3-c9bf826e1074">PROS 07/01</RDA>
  </documentManagement>
</p:properties>
</file>

<file path=customXml/itemProps1.xml><?xml version="1.0" encoding="utf-8"?>
<ds:datastoreItem xmlns:ds="http://schemas.openxmlformats.org/officeDocument/2006/customXml" ds:itemID="{4829E6EB-1679-4D78-9F0A-E4C5A7C22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4daab-285f-489b-92f3-c9bf826e1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D5334-012F-4788-B94A-DBF3F2DDCD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A306AF-835C-467D-9A7D-18A6815A78C4}">
  <ds:schemaRefs>
    <ds:schemaRef ds:uri="http://schemas.microsoft.com/office/2006/metadata/properties"/>
    <ds:schemaRef ds:uri="http://schemas.microsoft.com/office/infopath/2007/PartnerControls"/>
    <ds:schemaRef ds:uri="88281825-e759-4227-aa02-7b63cd2c390b"/>
    <ds:schemaRef ds:uri="3064daab-285f-489b-92f3-c9bf826e1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10</Pages>
  <Words>1930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 Davies (DJCS)</dc:creator>
  <cp:keywords/>
  <dc:description/>
  <cp:lastModifiedBy>Peter D Davies (DJCS)</cp:lastModifiedBy>
  <cp:revision>60</cp:revision>
  <cp:lastPrinted>2023-07-31T00:25:00Z</cp:lastPrinted>
  <dcterms:created xsi:type="dcterms:W3CDTF">2023-12-03T06:02:00Z</dcterms:created>
  <dcterms:modified xsi:type="dcterms:W3CDTF">2023-12-03T07:37:00Z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0x010100DD8E6A7335512A4D917BBD57E7CBBC63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_docset_NoMedatataSyncRequired">
    <vt:lpwstr>False</vt:lpwstr>
  </property>
  <property fmtid="{D5CDD505-2E9C-101B-9397-08002B2CF9AE}" pid="7" name="MSIP_Label_40d8a7f5-fcaf-4d65-a47d-7b48b6f4c7a6_Enabled">
    <vt:lpwstr>True</vt:lpwstr>
  </property>
  <property fmtid="{D5CDD505-2E9C-101B-9397-08002B2CF9AE}" pid="8" name="MSIP_Label_40d8a7f5-fcaf-4d65-a47d-7b48b6f4c7a6_SiteId">
    <vt:lpwstr>722ea0be-3e1c-4b11-ad6f-9401d6856e24</vt:lpwstr>
  </property>
  <property fmtid="{D5CDD505-2E9C-101B-9397-08002B2CF9AE}" pid="9" name="MSIP_Label_40d8a7f5-fcaf-4d65-a47d-7b48b6f4c7a6_SetDate">
    <vt:lpwstr>2023-12-01T07:17:40Z</vt:lpwstr>
  </property>
  <property fmtid="{D5CDD505-2E9C-101B-9397-08002B2CF9AE}" pid="10" name="MSIP_Label_40d8a7f5-fcaf-4d65-a47d-7b48b6f4c7a6_Name">
    <vt:lpwstr>OFFICIAL (DJCS)</vt:lpwstr>
  </property>
  <property fmtid="{D5CDD505-2E9C-101B-9397-08002B2CF9AE}" pid="11" name="MSIP_Label_40d8a7f5-fcaf-4d65-a47d-7b48b6f4c7a6_ActionId">
    <vt:lpwstr>e6e99959-3b3d-4e17-a6b4-1c2bedd78aeb</vt:lpwstr>
  </property>
  <property fmtid="{D5CDD505-2E9C-101B-9397-08002B2CF9AE}" pid="12" name="MSIP_Label_40d8a7f5-fcaf-4d65-a47d-7b48b6f4c7a6_Removed">
    <vt:lpwstr>False</vt:lpwstr>
  </property>
  <property fmtid="{D5CDD505-2E9C-101B-9397-08002B2CF9AE}" pid="13" name="MSIP_Label_40d8a7f5-fcaf-4d65-a47d-7b48b6f4c7a6_Extended_MSFT_Method">
    <vt:lpwstr>Standard</vt:lpwstr>
  </property>
  <property fmtid="{D5CDD505-2E9C-101B-9397-08002B2CF9AE}" pid="14" name="Sensitivity">
    <vt:lpwstr>OFFICIAL (DJCS)</vt:lpwstr>
  </property>
</Properties>
</file>