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36A43" w14:textId="77777777" w:rsidR="00EE1943" w:rsidRDefault="00EE1943" w:rsidP="00EE1943">
      <w:pPr>
        <w:autoSpaceDE w:val="0"/>
        <w:autoSpaceDN w:val="0"/>
        <w:adjustRightInd w:val="0"/>
        <w:rPr>
          <w:rFonts w:ascii="Arial" w:hAnsi="Arial" w:cs="Arial"/>
          <w:sz w:val="48"/>
          <w:szCs w:val="48"/>
          <w:lang w:eastAsia="en-AU"/>
        </w:rPr>
      </w:pPr>
      <w:r>
        <w:rPr>
          <w:rFonts w:ascii="Arial" w:hAnsi="Arial" w:cs="Arial"/>
          <w:sz w:val="48"/>
          <w:szCs w:val="48"/>
          <w:lang w:eastAsia="en-AU"/>
        </w:rPr>
        <w:t>The Equal Opportunity Act 2010</w:t>
      </w:r>
      <w:r w:rsidR="00EE08D7">
        <w:rPr>
          <w:rFonts w:ascii="Arial" w:hAnsi="Arial" w:cs="Arial"/>
          <w:sz w:val="48"/>
          <w:szCs w:val="48"/>
          <w:lang w:eastAsia="en-AU"/>
        </w:rPr>
        <w:t xml:space="preserve"> </w:t>
      </w:r>
      <w:r>
        <w:rPr>
          <w:rFonts w:ascii="Arial" w:hAnsi="Arial" w:cs="Arial"/>
          <w:sz w:val="48"/>
          <w:szCs w:val="48"/>
          <w:lang w:eastAsia="en-AU"/>
        </w:rPr>
        <w:t>intervention and amicus curiae functions</w:t>
      </w:r>
    </w:p>
    <w:p w14:paraId="44008AE5" w14:textId="77777777" w:rsidR="00EE08D7" w:rsidRDefault="00EE08D7" w:rsidP="00EE1943">
      <w:pPr>
        <w:autoSpaceDE w:val="0"/>
        <w:autoSpaceDN w:val="0"/>
        <w:adjustRightInd w:val="0"/>
        <w:rPr>
          <w:rFonts w:ascii="Arial" w:hAnsi="Arial" w:cs="Arial"/>
          <w:szCs w:val="24"/>
          <w:lang w:eastAsia="en-AU"/>
        </w:rPr>
      </w:pPr>
    </w:p>
    <w:p w14:paraId="63DD4516" w14:textId="77777777" w:rsidR="00EE1943" w:rsidRDefault="00EE1943" w:rsidP="00EE1943">
      <w:pPr>
        <w:autoSpaceDE w:val="0"/>
        <w:autoSpaceDN w:val="0"/>
        <w:adjustRightInd w:val="0"/>
        <w:rPr>
          <w:rFonts w:ascii="Arial" w:hAnsi="Arial" w:cs="Arial"/>
          <w:szCs w:val="24"/>
          <w:lang w:eastAsia="en-AU"/>
        </w:rPr>
      </w:pPr>
      <w:r>
        <w:rPr>
          <w:rFonts w:ascii="Arial" w:hAnsi="Arial" w:cs="Arial"/>
          <w:szCs w:val="24"/>
          <w:lang w:eastAsia="en-AU"/>
        </w:rPr>
        <w:t>This document explains how the Victorian Equal Opportunity and Human Rights</w:t>
      </w:r>
    </w:p>
    <w:p w14:paraId="3AB04B4A" w14:textId="77777777" w:rsidR="00EE1943" w:rsidRDefault="00EE1943" w:rsidP="00EE1943">
      <w:pPr>
        <w:autoSpaceDE w:val="0"/>
        <w:autoSpaceDN w:val="0"/>
        <w:adjustRightInd w:val="0"/>
        <w:rPr>
          <w:rFonts w:ascii="Arial" w:hAnsi="Arial" w:cs="Arial"/>
          <w:szCs w:val="24"/>
          <w:lang w:eastAsia="en-AU"/>
        </w:rPr>
      </w:pPr>
      <w:r>
        <w:rPr>
          <w:rFonts w:ascii="Arial" w:hAnsi="Arial" w:cs="Arial"/>
          <w:szCs w:val="24"/>
          <w:lang w:eastAsia="en-AU"/>
        </w:rPr>
        <w:t xml:space="preserve">Commission will exercise its functions under the </w:t>
      </w:r>
      <w:r>
        <w:rPr>
          <w:rFonts w:ascii="Arial" w:hAnsi="Arial" w:cs="Arial"/>
          <w:i/>
          <w:iCs/>
          <w:szCs w:val="24"/>
          <w:lang w:eastAsia="en-AU"/>
        </w:rPr>
        <w:t xml:space="preserve">Equal Opportunity Act 2010 </w:t>
      </w:r>
      <w:r>
        <w:rPr>
          <w:rFonts w:ascii="Arial" w:hAnsi="Arial" w:cs="Arial"/>
          <w:szCs w:val="24"/>
          <w:lang w:eastAsia="en-AU"/>
        </w:rPr>
        <w:t>to</w:t>
      </w:r>
      <w:r w:rsidR="00EE08D7">
        <w:rPr>
          <w:rFonts w:ascii="Arial" w:hAnsi="Arial" w:cs="Arial"/>
          <w:szCs w:val="24"/>
          <w:lang w:eastAsia="en-AU"/>
        </w:rPr>
        <w:t xml:space="preserve"> </w:t>
      </w:r>
      <w:r>
        <w:rPr>
          <w:rFonts w:ascii="Arial" w:hAnsi="Arial" w:cs="Arial"/>
          <w:szCs w:val="24"/>
          <w:lang w:eastAsia="en-AU"/>
        </w:rPr>
        <w:t>intervene or assist as amicus curiae in matters before courts and tribunals.</w:t>
      </w:r>
    </w:p>
    <w:p w14:paraId="184517BF" w14:textId="77777777" w:rsidR="00EE08D7" w:rsidRDefault="00EE08D7" w:rsidP="00EE1943">
      <w:pPr>
        <w:autoSpaceDE w:val="0"/>
        <w:autoSpaceDN w:val="0"/>
        <w:adjustRightInd w:val="0"/>
        <w:rPr>
          <w:rFonts w:ascii="Arial" w:hAnsi="Arial" w:cs="Arial"/>
          <w:szCs w:val="24"/>
          <w:lang w:eastAsia="en-AU"/>
        </w:rPr>
      </w:pPr>
    </w:p>
    <w:p w14:paraId="2DACC744" w14:textId="77777777" w:rsidR="00EE1943" w:rsidRPr="00EE08D7" w:rsidRDefault="00EE1943" w:rsidP="00EE1943">
      <w:pPr>
        <w:pStyle w:val="VEOHRCHeading1"/>
        <w:spacing w:before="0" w:after="240"/>
        <w:rPr>
          <w:rFonts w:ascii="Times New Roman" w:hAnsi="Times New Roman"/>
        </w:rPr>
      </w:pPr>
      <w:r w:rsidRPr="00EE08D7">
        <w:rPr>
          <w:rFonts w:ascii="Times New Roman" w:hAnsi="Times New Roman"/>
        </w:rPr>
        <w:t>A. Background</w:t>
      </w:r>
    </w:p>
    <w:p w14:paraId="58653D1D" w14:textId="77777777" w:rsidR="00EE1943" w:rsidRPr="00EE08D7" w:rsidRDefault="00EE1943" w:rsidP="00EE1943">
      <w:pPr>
        <w:autoSpaceDE w:val="0"/>
        <w:autoSpaceDN w:val="0"/>
        <w:adjustRightInd w:val="0"/>
        <w:rPr>
          <w:b/>
          <w:bCs/>
          <w:sz w:val="32"/>
          <w:szCs w:val="32"/>
          <w:lang w:eastAsia="en-AU"/>
        </w:rPr>
      </w:pPr>
      <w:r w:rsidRPr="00EE08D7">
        <w:rPr>
          <w:b/>
          <w:bCs/>
          <w:sz w:val="32"/>
          <w:szCs w:val="32"/>
          <w:lang w:eastAsia="en-AU"/>
        </w:rPr>
        <w:t>The role of the Commission</w:t>
      </w:r>
    </w:p>
    <w:p w14:paraId="3EE67154" w14:textId="77777777" w:rsidR="00EE1943" w:rsidRDefault="00EE1943" w:rsidP="00EE1943">
      <w:pPr>
        <w:autoSpaceDE w:val="0"/>
        <w:autoSpaceDN w:val="0"/>
        <w:adjustRightInd w:val="0"/>
        <w:rPr>
          <w:rFonts w:ascii="Arial" w:hAnsi="Arial" w:cs="Arial"/>
          <w:szCs w:val="24"/>
          <w:lang w:eastAsia="en-AU"/>
        </w:rPr>
      </w:pPr>
    </w:p>
    <w:p w14:paraId="29967DA8" w14:textId="4CD132BE" w:rsidR="00EE1943" w:rsidRPr="00EE08D7" w:rsidRDefault="00EE1943" w:rsidP="00EE1943">
      <w:pPr>
        <w:autoSpaceDE w:val="0"/>
        <w:autoSpaceDN w:val="0"/>
        <w:adjustRightInd w:val="0"/>
        <w:rPr>
          <w:rFonts w:ascii="Arial" w:hAnsi="Arial" w:cs="Arial"/>
          <w:szCs w:val="24"/>
          <w:lang w:eastAsia="en-AU"/>
        </w:rPr>
      </w:pPr>
      <w:r w:rsidRPr="00EE08D7">
        <w:rPr>
          <w:rFonts w:ascii="Arial" w:hAnsi="Arial" w:cs="Arial"/>
          <w:szCs w:val="24"/>
          <w:lang w:eastAsia="en-AU"/>
        </w:rPr>
        <w:t xml:space="preserve">The Victorian Equal Opportunity and Human Rights Commission (the </w:t>
      </w:r>
      <w:r w:rsidRPr="00663960">
        <w:rPr>
          <w:rFonts w:ascii="Arial" w:hAnsi="Arial" w:cs="Arial"/>
          <w:b/>
          <w:bCs/>
          <w:szCs w:val="24"/>
          <w:lang w:eastAsia="en-AU"/>
        </w:rPr>
        <w:t>Commission</w:t>
      </w:r>
      <w:r w:rsidRPr="00EE08D7">
        <w:rPr>
          <w:rFonts w:ascii="Arial" w:hAnsi="Arial" w:cs="Arial"/>
          <w:szCs w:val="24"/>
          <w:lang w:eastAsia="en-AU"/>
        </w:rPr>
        <w:t xml:space="preserve">) has </w:t>
      </w:r>
      <w:r w:rsidR="00663960" w:rsidRPr="00EE08D7">
        <w:rPr>
          <w:rFonts w:ascii="Arial" w:hAnsi="Arial" w:cs="Arial"/>
          <w:szCs w:val="24"/>
          <w:lang w:eastAsia="en-AU"/>
        </w:rPr>
        <w:t>several</w:t>
      </w:r>
      <w:r w:rsidRPr="00EE08D7">
        <w:rPr>
          <w:rFonts w:ascii="Arial" w:hAnsi="Arial" w:cs="Arial"/>
          <w:szCs w:val="24"/>
          <w:lang w:eastAsia="en-AU"/>
        </w:rPr>
        <w:t xml:space="preserve"> functions under the </w:t>
      </w:r>
      <w:r w:rsidRPr="00EE08D7">
        <w:rPr>
          <w:rFonts w:ascii="Arial" w:hAnsi="Arial" w:cs="Arial"/>
          <w:i/>
          <w:iCs/>
          <w:szCs w:val="24"/>
          <w:lang w:eastAsia="en-AU"/>
        </w:rPr>
        <w:t>Equal Opportunity Act 2010</w:t>
      </w:r>
      <w:r w:rsidR="00663960">
        <w:rPr>
          <w:rFonts w:ascii="Arial" w:hAnsi="Arial" w:cs="Arial"/>
          <w:i/>
          <w:iCs/>
          <w:szCs w:val="24"/>
          <w:lang w:eastAsia="en-AU"/>
        </w:rPr>
        <w:t xml:space="preserve"> </w:t>
      </w:r>
      <w:r w:rsidR="00663960">
        <w:rPr>
          <w:rFonts w:ascii="Arial" w:hAnsi="Arial" w:cs="Arial"/>
          <w:szCs w:val="24"/>
          <w:lang w:eastAsia="en-AU"/>
        </w:rPr>
        <w:t xml:space="preserve">(the </w:t>
      </w:r>
      <w:r w:rsidR="00663960">
        <w:rPr>
          <w:rFonts w:ascii="Arial" w:hAnsi="Arial" w:cs="Arial"/>
          <w:b/>
          <w:bCs/>
          <w:szCs w:val="24"/>
          <w:lang w:eastAsia="en-AU"/>
        </w:rPr>
        <w:t>Equal Opportunity Act</w:t>
      </w:r>
      <w:r w:rsidR="00663960">
        <w:rPr>
          <w:rFonts w:ascii="Arial" w:hAnsi="Arial" w:cs="Arial"/>
          <w:szCs w:val="24"/>
          <w:lang w:eastAsia="en-AU"/>
        </w:rPr>
        <w:t>)</w:t>
      </w:r>
      <w:r w:rsidRPr="00EE08D7">
        <w:rPr>
          <w:rFonts w:ascii="Arial" w:hAnsi="Arial" w:cs="Arial"/>
          <w:szCs w:val="24"/>
          <w:lang w:eastAsia="en-AU"/>
        </w:rPr>
        <w:t>. Under sections 159 and 160 of the Equal Opportunity Act, the Commission may intervene in cases or appear as amicus curiae, to assist a court or tribunal considering equal opportunity issues. The Commission has a discretion about when it gets involved in a matter and can only exercise these functions when the relevant court or tribunal agrees.</w:t>
      </w:r>
    </w:p>
    <w:p w14:paraId="0D5F5D37" w14:textId="77777777" w:rsidR="00EE1943" w:rsidRPr="00EE08D7" w:rsidRDefault="00EE1943" w:rsidP="00EE1943">
      <w:pPr>
        <w:autoSpaceDE w:val="0"/>
        <w:autoSpaceDN w:val="0"/>
        <w:adjustRightInd w:val="0"/>
        <w:rPr>
          <w:rFonts w:ascii="Arial" w:hAnsi="Arial" w:cs="Arial"/>
          <w:szCs w:val="24"/>
          <w:lang w:eastAsia="en-AU"/>
        </w:rPr>
      </w:pPr>
    </w:p>
    <w:p w14:paraId="1E87CFE3" w14:textId="77777777" w:rsidR="00EE1943" w:rsidRPr="00EE08D7" w:rsidRDefault="00EE1943" w:rsidP="00EE1943">
      <w:pPr>
        <w:autoSpaceDE w:val="0"/>
        <w:autoSpaceDN w:val="0"/>
        <w:adjustRightInd w:val="0"/>
        <w:rPr>
          <w:rFonts w:ascii="Arial" w:hAnsi="Arial" w:cs="Arial"/>
          <w:szCs w:val="24"/>
          <w:lang w:eastAsia="en-AU"/>
        </w:rPr>
      </w:pPr>
      <w:r w:rsidRPr="00EE08D7">
        <w:rPr>
          <w:rFonts w:ascii="Arial" w:hAnsi="Arial" w:cs="Arial"/>
          <w:szCs w:val="24"/>
          <w:lang w:eastAsia="en-AU"/>
        </w:rPr>
        <w:t>The key difference in the two roles is that an intervener can be made a party to the court or tribunal proceedings. An amicus curiae, or friend of the court, is someone who volunteers or is invited by the court to give advice or make submissions to the court on some matter before it. An amicus curiae has no rights in the case and cannot file proceedings, motions or appeals.</w:t>
      </w:r>
    </w:p>
    <w:p w14:paraId="5B3F0730" w14:textId="77777777" w:rsidR="00EE1943" w:rsidRPr="00EE08D7" w:rsidRDefault="00EE1943" w:rsidP="00EE1943">
      <w:pPr>
        <w:autoSpaceDE w:val="0"/>
        <w:autoSpaceDN w:val="0"/>
        <w:adjustRightInd w:val="0"/>
        <w:rPr>
          <w:rFonts w:ascii="Arial" w:hAnsi="Arial" w:cs="Arial"/>
          <w:szCs w:val="24"/>
          <w:lang w:eastAsia="en-AU"/>
        </w:rPr>
      </w:pPr>
    </w:p>
    <w:p w14:paraId="1C03A078" w14:textId="77777777" w:rsidR="00EE1943" w:rsidRPr="00EE08D7" w:rsidRDefault="00EE1943" w:rsidP="00EE1943">
      <w:pPr>
        <w:autoSpaceDE w:val="0"/>
        <w:autoSpaceDN w:val="0"/>
        <w:adjustRightInd w:val="0"/>
        <w:rPr>
          <w:rFonts w:ascii="Arial" w:hAnsi="Arial" w:cs="Arial"/>
          <w:szCs w:val="24"/>
          <w:lang w:eastAsia="en-AU"/>
        </w:rPr>
      </w:pPr>
      <w:r w:rsidRPr="00EE08D7">
        <w:rPr>
          <w:rFonts w:ascii="Arial" w:hAnsi="Arial" w:cs="Arial"/>
          <w:szCs w:val="24"/>
          <w:lang w:eastAsia="en-AU"/>
        </w:rPr>
        <w:t>In performing these functions, the Commission does not represent any of the parties to a dispute. The Commission’s role is to advocate for the objectives of the Equal Opportunity Act and to be of assistance to the court or tribunal. The Explanatory Memorandum to the Equal Opportunity Act acknowledged the significance of these new functions:</w:t>
      </w:r>
    </w:p>
    <w:p w14:paraId="522FE1E0" w14:textId="77777777" w:rsidR="00EE1943" w:rsidRPr="00EE08D7" w:rsidRDefault="00EE1943" w:rsidP="00EE1943">
      <w:pPr>
        <w:autoSpaceDE w:val="0"/>
        <w:autoSpaceDN w:val="0"/>
        <w:adjustRightInd w:val="0"/>
        <w:rPr>
          <w:rFonts w:ascii="Arial" w:hAnsi="Arial" w:cs="Arial"/>
          <w:szCs w:val="24"/>
          <w:lang w:eastAsia="en-AU"/>
        </w:rPr>
      </w:pPr>
    </w:p>
    <w:p w14:paraId="11F936C1" w14:textId="77777777" w:rsidR="00EE1943" w:rsidRPr="00EE08D7" w:rsidRDefault="00EE1943" w:rsidP="00EE08D7">
      <w:pPr>
        <w:autoSpaceDE w:val="0"/>
        <w:autoSpaceDN w:val="0"/>
        <w:adjustRightInd w:val="0"/>
        <w:ind w:left="720"/>
        <w:rPr>
          <w:rFonts w:ascii="Arial" w:hAnsi="Arial" w:cs="Arial"/>
          <w:i/>
          <w:iCs/>
          <w:szCs w:val="24"/>
          <w:lang w:eastAsia="en-AU"/>
        </w:rPr>
      </w:pPr>
      <w:r w:rsidRPr="00EE08D7">
        <w:rPr>
          <w:rFonts w:ascii="Arial" w:hAnsi="Arial" w:cs="Arial"/>
          <w:i/>
          <w:iCs/>
          <w:szCs w:val="24"/>
          <w:lang w:eastAsia="en-AU"/>
        </w:rPr>
        <w:t>The expansion of the Commission’s role in relation to court or tribunal proceedings will enable the courts and tribunal to benefit from the Commission’s specialist knowledge and promote a consistent approach to the interpretation of the [Act].</w:t>
      </w:r>
    </w:p>
    <w:p w14:paraId="20B63E91" w14:textId="77777777" w:rsidR="00EE1943" w:rsidRPr="00EE08D7" w:rsidRDefault="00EE1943" w:rsidP="00EE08D7">
      <w:pPr>
        <w:autoSpaceDE w:val="0"/>
        <w:autoSpaceDN w:val="0"/>
        <w:adjustRightInd w:val="0"/>
        <w:ind w:left="720"/>
        <w:rPr>
          <w:rFonts w:ascii="Arial" w:hAnsi="Arial" w:cs="Arial"/>
          <w:i/>
          <w:iCs/>
          <w:szCs w:val="24"/>
          <w:lang w:eastAsia="en-AU"/>
        </w:rPr>
      </w:pPr>
      <w:r w:rsidRPr="00EE08D7">
        <w:rPr>
          <w:rFonts w:ascii="Arial" w:hAnsi="Arial" w:cs="Arial"/>
          <w:i/>
          <w:iCs/>
          <w:szCs w:val="24"/>
          <w:lang w:eastAsia="en-AU"/>
        </w:rPr>
        <w:t>…</w:t>
      </w:r>
    </w:p>
    <w:p w14:paraId="0A8AF9DA" w14:textId="77777777" w:rsidR="00EE1943" w:rsidRDefault="00EE1943" w:rsidP="00EE08D7">
      <w:pPr>
        <w:autoSpaceDE w:val="0"/>
        <w:autoSpaceDN w:val="0"/>
        <w:adjustRightInd w:val="0"/>
        <w:ind w:left="720"/>
        <w:rPr>
          <w:rFonts w:ascii="Arial" w:hAnsi="Arial" w:cs="Arial"/>
          <w:i/>
          <w:iCs/>
          <w:szCs w:val="24"/>
          <w:lang w:eastAsia="en-AU"/>
        </w:rPr>
      </w:pPr>
      <w:r w:rsidRPr="00EE08D7">
        <w:rPr>
          <w:rFonts w:ascii="Arial" w:hAnsi="Arial" w:cs="Arial"/>
          <w:i/>
          <w:iCs/>
          <w:szCs w:val="24"/>
          <w:lang w:eastAsia="en-AU"/>
        </w:rPr>
        <w:t>This function emphasises the importance of the jurisprudence to the development of the law and to progressing the objectives of the [Act].</w:t>
      </w:r>
    </w:p>
    <w:p w14:paraId="109FC404" w14:textId="77777777" w:rsidR="00443345" w:rsidRDefault="00443345" w:rsidP="00EE08D7">
      <w:pPr>
        <w:autoSpaceDE w:val="0"/>
        <w:autoSpaceDN w:val="0"/>
        <w:adjustRightInd w:val="0"/>
        <w:ind w:left="720"/>
        <w:rPr>
          <w:rFonts w:ascii="Arial" w:hAnsi="Arial" w:cs="Arial"/>
          <w:i/>
          <w:iCs/>
          <w:szCs w:val="24"/>
          <w:lang w:eastAsia="en-AU"/>
        </w:rPr>
      </w:pPr>
    </w:p>
    <w:p w14:paraId="5C2F7A2F" w14:textId="77777777" w:rsidR="007258C3" w:rsidRDefault="007258C3" w:rsidP="004C49BA">
      <w:pPr>
        <w:autoSpaceDE w:val="0"/>
        <w:autoSpaceDN w:val="0"/>
        <w:adjustRightInd w:val="0"/>
        <w:rPr>
          <w:rFonts w:ascii="Arial" w:hAnsi="Arial" w:cs="Arial"/>
        </w:rPr>
      </w:pPr>
      <w:r w:rsidRPr="007258C3">
        <w:rPr>
          <w:rFonts w:ascii="Arial" w:hAnsi="Arial" w:cs="Arial"/>
        </w:rPr>
        <w:t>Unlike other legislation providing</w:t>
      </w:r>
      <w:r w:rsidR="003378FA">
        <w:rPr>
          <w:rFonts w:ascii="Arial" w:hAnsi="Arial" w:cs="Arial"/>
        </w:rPr>
        <w:t xml:space="preserve"> a</w:t>
      </w:r>
      <w:r w:rsidRPr="007258C3">
        <w:rPr>
          <w:rFonts w:ascii="Arial" w:hAnsi="Arial" w:cs="Arial"/>
        </w:rPr>
        <w:t xml:space="preserve"> statutory</w:t>
      </w:r>
      <w:r w:rsidR="003378FA">
        <w:rPr>
          <w:rFonts w:ascii="Arial" w:hAnsi="Arial" w:cs="Arial"/>
        </w:rPr>
        <w:t xml:space="preserve"> right to</w:t>
      </w:r>
      <w:r w:rsidRPr="007258C3">
        <w:rPr>
          <w:rFonts w:ascii="Arial" w:hAnsi="Arial" w:cs="Arial"/>
        </w:rPr>
        <w:t xml:space="preserve"> interven</w:t>
      </w:r>
      <w:r w:rsidR="003378FA">
        <w:rPr>
          <w:rFonts w:ascii="Arial" w:hAnsi="Arial" w:cs="Arial"/>
        </w:rPr>
        <w:t>e</w:t>
      </w:r>
      <w:r w:rsidRPr="007258C3">
        <w:rPr>
          <w:rFonts w:ascii="Arial" w:hAnsi="Arial" w:cs="Arial"/>
        </w:rPr>
        <w:t xml:space="preserve">, the </w:t>
      </w:r>
      <w:r>
        <w:rPr>
          <w:rFonts w:ascii="Arial" w:hAnsi="Arial" w:cs="Arial"/>
        </w:rPr>
        <w:t>Equal Opportunity Act</w:t>
      </w:r>
      <w:r w:rsidRPr="007258C3">
        <w:rPr>
          <w:rFonts w:ascii="Arial" w:hAnsi="Arial" w:cs="Arial"/>
        </w:rPr>
        <w:t xml:space="preserve"> does not include a provision for costs orders against the Commission where it exercises its rights under section </w:t>
      </w:r>
      <w:r>
        <w:rPr>
          <w:rFonts w:ascii="Arial" w:hAnsi="Arial" w:cs="Arial"/>
        </w:rPr>
        <w:t>159</w:t>
      </w:r>
      <w:r w:rsidRPr="007258C3">
        <w:rPr>
          <w:rFonts w:ascii="Arial" w:hAnsi="Arial" w:cs="Arial"/>
        </w:rPr>
        <w:t xml:space="preserve"> or section </w:t>
      </w:r>
      <w:r>
        <w:rPr>
          <w:rFonts w:ascii="Arial" w:hAnsi="Arial" w:cs="Arial"/>
        </w:rPr>
        <w:t>160</w:t>
      </w:r>
      <w:r w:rsidRPr="007258C3">
        <w:rPr>
          <w:rFonts w:ascii="Arial" w:hAnsi="Arial" w:cs="Arial"/>
        </w:rPr>
        <w:t>.</w:t>
      </w:r>
      <w:r w:rsidRPr="007258C3">
        <w:rPr>
          <w:rStyle w:val="FootnoteReference"/>
          <w:rFonts w:ascii="Arial" w:hAnsi="Arial" w:cs="Arial"/>
        </w:rPr>
        <w:footnoteReference w:id="1"/>
      </w:r>
      <w:r w:rsidRPr="007258C3">
        <w:rPr>
          <w:rFonts w:ascii="Arial" w:hAnsi="Arial" w:cs="Arial"/>
        </w:rPr>
        <w:t xml:space="preserve"> Ultimately, of course, </w:t>
      </w:r>
      <w:r w:rsidR="003378FA">
        <w:rPr>
          <w:rFonts w:ascii="Arial" w:hAnsi="Arial" w:cs="Arial"/>
        </w:rPr>
        <w:t>an order for costs</w:t>
      </w:r>
      <w:r w:rsidRPr="007258C3">
        <w:rPr>
          <w:rFonts w:ascii="Arial" w:hAnsi="Arial" w:cs="Arial"/>
        </w:rPr>
        <w:t xml:space="preserve"> remains a matter for determination by the courts.  </w:t>
      </w:r>
    </w:p>
    <w:p w14:paraId="246F47C6" w14:textId="77777777" w:rsidR="00443345" w:rsidRPr="004C49BA" w:rsidRDefault="00443345" w:rsidP="004C49BA">
      <w:pPr>
        <w:autoSpaceDE w:val="0"/>
        <w:autoSpaceDN w:val="0"/>
        <w:adjustRightInd w:val="0"/>
        <w:rPr>
          <w:rFonts w:ascii="Arial" w:hAnsi="Arial" w:cs="Arial"/>
          <w:szCs w:val="24"/>
          <w:lang w:eastAsia="en-AU"/>
        </w:rPr>
      </w:pPr>
      <w:r w:rsidRPr="007258C3">
        <w:rPr>
          <w:rFonts w:ascii="Arial" w:hAnsi="Arial" w:cs="Arial"/>
          <w:szCs w:val="24"/>
          <w:lang w:eastAsia="en-AU"/>
        </w:rPr>
        <w:t>The Commission will</w:t>
      </w:r>
      <w:r w:rsidRPr="004C49BA">
        <w:rPr>
          <w:rFonts w:ascii="Arial" w:hAnsi="Arial" w:cs="Arial"/>
          <w:szCs w:val="24"/>
          <w:lang w:eastAsia="en-AU"/>
        </w:rPr>
        <w:t xml:space="preserve"> not ordinarily seek a costs order against a party in a proceeding in which the Commission has intervened.  </w:t>
      </w:r>
    </w:p>
    <w:p w14:paraId="5C214394" w14:textId="77777777" w:rsidR="00EE1943" w:rsidRDefault="00EE1943" w:rsidP="00EE1943">
      <w:pPr>
        <w:autoSpaceDE w:val="0"/>
        <w:autoSpaceDN w:val="0"/>
        <w:adjustRightInd w:val="0"/>
        <w:rPr>
          <w:rFonts w:ascii="Arial" w:hAnsi="Arial" w:cs="Arial"/>
          <w:i/>
          <w:iCs/>
          <w:sz w:val="23"/>
          <w:szCs w:val="23"/>
          <w:lang w:eastAsia="en-AU"/>
        </w:rPr>
      </w:pPr>
    </w:p>
    <w:p w14:paraId="032A7E01" w14:textId="77777777" w:rsidR="00EE1943" w:rsidRDefault="00EE1943" w:rsidP="00EE1943">
      <w:pPr>
        <w:autoSpaceDE w:val="0"/>
        <w:autoSpaceDN w:val="0"/>
        <w:adjustRightInd w:val="0"/>
        <w:rPr>
          <w:b/>
          <w:bCs/>
          <w:sz w:val="32"/>
          <w:szCs w:val="32"/>
          <w:lang w:eastAsia="en-AU"/>
        </w:rPr>
      </w:pPr>
      <w:r>
        <w:rPr>
          <w:b/>
          <w:bCs/>
          <w:sz w:val="32"/>
          <w:szCs w:val="32"/>
          <w:lang w:eastAsia="en-AU"/>
        </w:rPr>
        <w:t>Equal Opportunity Act-related matters in courts and tribunals</w:t>
      </w:r>
    </w:p>
    <w:p w14:paraId="10309BCC" w14:textId="77777777" w:rsidR="00EE1943" w:rsidRDefault="00EE1943" w:rsidP="00EE1943">
      <w:pPr>
        <w:autoSpaceDE w:val="0"/>
        <w:autoSpaceDN w:val="0"/>
        <w:adjustRightInd w:val="0"/>
        <w:rPr>
          <w:rFonts w:ascii="Arial" w:hAnsi="Arial" w:cs="Arial"/>
          <w:szCs w:val="24"/>
          <w:lang w:eastAsia="en-AU"/>
        </w:rPr>
      </w:pPr>
    </w:p>
    <w:p w14:paraId="33D593C4" w14:textId="4F8CCFB1" w:rsidR="00EE1943" w:rsidRPr="00EE1943" w:rsidRDefault="00EE1943" w:rsidP="00EE1943">
      <w:pPr>
        <w:autoSpaceDE w:val="0"/>
        <w:autoSpaceDN w:val="0"/>
        <w:adjustRightInd w:val="0"/>
        <w:rPr>
          <w:rFonts w:ascii="Arial" w:hAnsi="Arial" w:cs="Arial"/>
          <w:szCs w:val="24"/>
          <w:lang w:eastAsia="en-AU"/>
        </w:rPr>
      </w:pPr>
      <w:r>
        <w:rPr>
          <w:rFonts w:ascii="Arial" w:hAnsi="Arial" w:cs="Arial"/>
          <w:szCs w:val="24"/>
          <w:lang w:eastAsia="en-AU"/>
        </w:rPr>
        <w:t>Equal opportunity, discrimination, sexual harassment</w:t>
      </w:r>
      <w:r w:rsidR="000165CB">
        <w:rPr>
          <w:rFonts w:ascii="Arial" w:hAnsi="Arial" w:cs="Arial"/>
          <w:szCs w:val="24"/>
          <w:lang w:eastAsia="en-AU"/>
        </w:rPr>
        <w:t>, vilification</w:t>
      </w:r>
      <w:r w:rsidR="00D761E7">
        <w:rPr>
          <w:rFonts w:ascii="Arial" w:hAnsi="Arial" w:cs="Arial"/>
          <w:szCs w:val="24"/>
          <w:lang w:eastAsia="en-AU"/>
        </w:rPr>
        <w:t xml:space="preserve"> </w:t>
      </w:r>
      <w:r>
        <w:rPr>
          <w:rFonts w:ascii="Arial" w:hAnsi="Arial" w:cs="Arial"/>
          <w:szCs w:val="24"/>
          <w:lang w:eastAsia="en-AU"/>
        </w:rPr>
        <w:t>and victimisation are relevant to the work of Victorian courts and tribunals in a number of ways. Most frequently, cases will arise when complaints under the Equal Opportunity Act itself are brought before the Victorian Civil and Administrative Tribunal (</w:t>
      </w:r>
      <w:r>
        <w:rPr>
          <w:rFonts w:ascii="Arial" w:hAnsi="Arial" w:cs="Arial"/>
          <w:b/>
          <w:bCs/>
          <w:szCs w:val="24"/>
          <w:lang w:eastAsia="en-AU"/>
        </w:rPr>
        <w:t>VCAT</w:t>
      </w:r>
      <w:r>
        <w:rPr>
          <w:rFonts w:ascii="Arial" w:hAnsi="Arial" w:cs="Arial"/>
          <w:szCs w:val="24"/>
          <w:lang w:eastAsia="en-AU"/>
        </w:rPr>
        <w:t>) or are on appeal from VCAT to a higher court. Parties may also apply to VCAT for an exemption from the operation of the Equal Opportunity Act in particular circumstances. Equal opportunity issues may also occasionally arise in the context of other types of proceedings.</w:t>
      </w:r>
    </w:p>
    <w:p w14:paraId="23928897" w14:textId="77777777" w:rsidR="00EE1943" w:rsidRDefault="00EE1943" w:rsidP="00EE1943">
      <w:pPr>
        <w:autoSpaceDE w:val="0"/>
        <w:autoSpaceDN w:val="0"/>
        <w:adjustRightInd w:val="0"/>
        <w:rPr>
          <w:b/>
          <w:bCs/>
          <w:color w:val="000000"/>
          <w:sz w:val="40"/>
          <w:szCs w:val="40"/>
          <w:lang w:eastAsia="en-AU"/>
        </w:rPr>
      </w:pPr>
    </w:p>
    <w:p w14:paraId="478EE026" w14:textId="77777777" w:rsidR="00EE1943" w:rsidRPr="00EE08D7" w:rsidRDefault="00EE1943" w:rsidP="00EE1943">
      <w:pPr>
        <w:pStyle w:val="VEOHRCHeading1"/>
        <w:spacing w:before="0" w:after="240"/>
        <w:rPr>
          <w:rFonts w:ascii="Times New Roman" w:hAnsi="Times New Roman"/>
        </w:rPr>
      </w:pPr>
      <w:r w:rsidRPr="00EE08D7">
        <w:rPr>
          <w:rFonts w:ascii="Times New Roman" w:hAnsi="Times New Roman"/>
        </w:rPr>
        <w:t>B. Contacting the Commission</w:t>
      </w:r>
    </w:p>
    <w:p w14:paraId="4F39DCBB" w14:textId="77777777" w:rsidR="00EE1943" w:rsidRPr="00EE1943" w:rsidRDefault="00EE1943" w:rsidP="00EE1943">
      <w:pPr>
        <w:autoSpaceDE w:val="0"/>
        <w:autoSpaceDN w:val="0"/>
        <w:adjustRightInd w:val="0"/>
        <w:rPr>
          <w:rFonts w:ascii="Arial" w:hAnsi="Arial" w:cs="Arial"/>
          <w:color w:val="000000"/>
          <w:szCs w:val="24"/>
          <w:lang w:eastAsia="en-AU"/>
        </w:rPr>
      </w:pPr>
      <w:r w:rsidRPr="00EE1943">
        <w:rPr>
          <w:rFonts w:ascii="Arial" w:hAnsi="Arial" w:cs="Arial"/>
          <w:color w:val="000000"/>
          <w:szCs w:val="24"/>
          <w:lang w:eastAsia="en-AU"/>
        </w:rPr>
        <w:t>There is no requirement under the Equal Opportunity Act for parties to notify the Commission about a matter. However, if you want to let the Commission know about a case that may fall within these guidelines, you can contact us by:</w:t>
      </w:r>
    </w:p>
    <w:p w14:paraId="79D5E459" w14:textId="77777777" w:rsidR="00EE1943" w:rsidRPr="00EE1943" w:rsidRDefault="00EE1943" w:rsidP="00EE1943">
      <w:pPr>
        <w:autoSpaceDE w:val="0"/>
        <w:autoSpaceDN w:val="0"/>
        <w:adjustRightInd w:val="0"/>
        <w:rPr>
          <w:rFonts w:ascii="Arial" w:hAnsi="Arial" w:cs="Arial"/>
          <w:color w:val="000000"/>
          <w:szCs w:val="24"/>
          <w:lang w:eastAsia="en-AU"/>
        </w:rPr>
      </w:pPr>
    </w:p>
    <w:p w14:paraId="1DA6122F" w14:textId="6808A592" w:rsidR="00EE1943" w:rsidRPr="00EE1943" w:rsidRDefault="00EE1943" w:rsidP="00EE1943">
      <w:pPr>
        <w:autoSpaceDE w:val="0"/>
        <w:autoSpaceDN w:val="0"/>
        <w:adjustRightInd w:val="0"/>
        <w:rPr>
          <w:rFonts w:ascii="Arial" w:hAnsi="Arial" w:cs="Arial"/>
          <w:color w:val="000000"/>
          <w:szCs w:val="24"/>
          <w:lang w:eastAsia="en-AU"/>
        </w:rPr>
      </w:pPr>
      <w:r w:rsidRPr="00EE1943">
        <w:rPr>
          <w:rFonts w:ascii="Arial" w:hAnsi="Arial" w:cs="Arial"/>
          <w:color w:val="000000"/>
          <w:szCs w:val="24"/>
          <w:lang w:eastAsia="en-AU"/>
        </w:rPr>
        <w:t xml:space="preserve">Telephone: 1300 </w:t>
      </w:r>
      <w:r w:rsidR="000B6D43" w:rsidRPr="000B6D43">
        <w:rPr>
          <w:rFonts w:ascii="Arial" w:hAnsi="Arial" w:cs="Arial"/>
          <w:color w:val="000000"/>
          <w:szCs w:val="24"/>
          <w:lang w:eastAsia="en-AU"/>
        </w:rPr>
        <w:t>292 153</w:t>
      </w:r>
    </w:p>
    <w:p w14:paraId="071465A0" w14:textId="77777777" w:rsidR="00EE1943" w:rsidRPr="00EE1943" w:rsidRDefault="00EE1943" w:rsidP="00EE1943">
      <w:pPr>
        <w:autoSpaceDE w:val="0"/>
        <w:autoSpaceDN w:val="0"/>
        <w:adjustRightInd w:val="0"/>
        <w:rPr>
          <w:rFonts w:ascii="Arial" w:hAnsi="Arial" w:cs="Arial"/>
          <w:color w:val="0000FF"/>
          <w:szCs w:val="24"/>
          <w:lang w:eastAsia="en-AU"/>
        </w:rPr>
      </w:pPr>
      <w:r w:rsidRPr="00EE1943">
        <w:rPr>
          <w:rFonts w:ascii="Arial" w:hAnsi="Arial" w:cs="Arial"/>
          <w:color w:val="000000"/>
          <w:szCs w:val="24"/>
          <w:lang w:eastAsia="en-AU"/>
        </w:rPr>
        <w:t xml:space="preserve">Email: </w:t>
      </w:r>
      <w:r w:rsidRPr="00EE1943">
        <w:rPr>
          <w:rFonts w:ascii="Arial" w:hAnsi="Arial" w:cs="Arial"/>
          <w:color w:val="0000FF"/>
          <w:szCs w:val="24"/>
          <w:lang w:eastAsia="en-AU"/>
        </w:rPr>
        <w:t>legal@veohrc.vic.gov.au</w:t>
      </w:r>
    </w:p>
    <w:p w14:paraId="633D1A28" w14:textId="77777777" w:rsidR="00EE1943" w:rsidRPr="00EE1943" w:rsidRDefault="00EE1943" w:rsidP="00EE1943">
      <w:pPr>
        <w:autoSpaceDE w:val="0"/>
        <w:autoSpaceDN w:val="0"/>
        <w:adjustRightInd w:val="0"/>
        <w:rPr>
          <w:rFonts w:ascii="Arial" w:hAnsi="Arial" w:cs="Arial"/>
          <w:color w:val="000000"/>
          <w:szCs w:val="24"/>
          <w:lang w:eastAsia="en-AU"/>
        </w:rPr>
      </w:pPr>
    </w:p>
    <w:p w14:paraId="3A215D07" w14:textId="77777777" w:rsidR="00EE1943" w:rsidRPr="00EE1943" w:rsidRDefault="00EE1943" w:rsidP="00EE08D7">
      <w:pPr>
        <w:autoSpaceDE w:val="0"/>
        <w:autoSpaceDN w:val="0"/>
        <w:adjustRightInd w:val="0"/>
        <w:spacing w:before="60" w:after="60"/>
        <w:rPr>
          <w:rFonts w:ascii="Arial" w:hAnsi="Arial" w:cs="Arial"/>
          <w:color w:val="000000"/>
          <w:szCs w:val="24"/>
          <w:lang w:eastAsia="en-AU"/>
        </w:rPr>
      </w:pPr>
      <w:r w:rsidRPr="00EE1943">
        <w:rPr>
          <w:rFonts w:ascii="Arial" w:hAnsi="Arial" w:cs="Arial"/>
          <w:color w:val="000000"/>
          <w:szCs w:val="24"/>
          <w:lang w:eastAsia="en-AU"/>
        </w:rPr>
        <w:t>Please provide information about:</w:t>
      </w:r>
    </w:p>
    <w:p w14:paraId="2CFAAFFC" w14:textId="77777777" w:rsidR="00EE1943" w:rsidRPr="00EE1943" w:rsidRDefault="00EE1943" w:rsidP="00EE08D7">
      <w:pPr>
        <w:numPr>
          <w:ilvl w:val="0"/>
          <w:numId w:val="21"/>
        </w:numPr>
        <w:autoSpaceDE w:val="0"/>
        <w:autoSpaceDN w:val="0"/>
        <w:adjustRightInd w:val="0"/>
        <w:spacing w:before="60" w:after="60"/>
        <w:rPr>
          <w:rFonts w:ascii="Arial" w:hAnsi="Arial" w:cs="Arial"/>
          <w:color w:val="000000"/>
          <w:szCs w:val="24"/>
          <w:lang w:eastAsia="en-AU"/>
        </w:rPr>
      </w:pPr>
      <w:r w:rsidRPr="00EE1943">
        <w:rPr>
          <w:rFonts w:ascii="Arial" w:hAnsi="Arial" w:cs="Arial"/>
          <w:color w:val="000000"/>
          <w:szCs w:val="24"/>
          <w:lang w:eastAsia="en-AU"/>
        </w:rPr>
        <w:t>the facts of the case</w:t>
      </w:r>
    </w:p>
    <w:p w14:paraId="283E133E" w14:textId="77777777" w:rsidR="00EE1943" w:rsidRPr="00EE1943" w:rsidRDefault="00EE1943" w:rsidP="00EE08D7">
      <w:pPr>
        <w:numPr>
          <w:ilvl w:val="0"/>
          <w:numId w:val="21"/>
        </w:numPr>
        <w:autoSpaceDE w:val="0"/>
        <w:autoSpaceDN w:val="0"/>
        <w:adjustRightInd w:val="0"/>
        <w:spacing w:before="60" w:after="60"/>
        <w:rPr>
          <w:rFonts w:ascii="Arial" w:hAnsi="Arial" w:cs="Arial"/>
          <w:color w:val="000000"/>
          <w:szCs w:val="24"/>
          <w:lang w:eastAsia="en-AU"/>
        </w:rPr>
      </w:pPr>
      <w:r w:rsidRPr="00EE1943">
        <w:rPr>
          <w:rFonts w:ascii="Arial" w:hAnsi="Arial" w:cs="Arial"/>
          <w:color w:val="000000"/>
          <w:szCs w:val="24"/>
          <w:lang w:eastAsia="en-AU"/>
        </w:rPr>
        <w:t>if already before a court or tribunal, the name of the proceedings, the court/tribunal it is before</w:t>
      </w:r>
    </w:p>
    <w:p w14:paraId="7074E9F1" w14:textId="77777777" w:rsidR="00EE1943" w:rsidRPr="00EE1943" w:rsidRDefault="00EE1943" w:rsidP="00EE08D7">
      <w:pPr>
        <w:numPr>
          <w:ilvl w:val="0"/>
          <w:numId w:val="21"/>
        </w:numPr>
        <w:autoSpaceDE w:val="0"/>
        <w:autoSpaceDN w:val="0"/>
        <w:adjustRightInd w:val="0"/>
        <w:spacing w:before="60" w:after="60"/>
        <w:rPr>
          <w:rFonts w:ascii="Arial" w:hAnsi="Arial" w:cs="Arial"/>
          <w:color w:val="000000"/>
          <w:szCs w:val="24"/>
          <w:lang w:eastAsia="en-AU"/>
        </w:rPr>
      </w:pPr>
      <w:r w:rsidRPr="00EE1943">
        <w:rPr>
          <w:rFonts w:ascii="Arial" w:hAnsi="Arial" w:cs="Arial"/>
          <w:color w:val="000000"/>
          <w:szCs w:val="24"/>
          <w:lang w:eastAsia="en-AU"/>
        </w:rPr>
        <w:t xml:space="preserve">the equal opportunity issues that are being raised </w:t>
      </w:r>
    </w:p>
    <w:p w14:paraId="503FBA23" w14:textId="77777777" w:rsidR="00EE1943" w:rsidRPr="00EE1943" w:rsidRDefault="00EE1943" w:rsidP="00EE08D7">
      <w:pPr>
        <w:numPr>
          <w:ilvl w:val="0"/>
          <w:numId w:val="21"/>
        </w:numPr>
        <w:autoSpaceDE w:val="0"/>
        <w:autoSpaceDN w:val="0"/>
        <w:adjustRightInd w:val="0"/>
        <w:spacing w:before="60" w:after="60"/>
        <w:rPr>
          <w:rFonts w:ascii="Arial" w:hAnsi="Arial" w:cs="Arial"/>
          <w:color w:val="000000"/>
          <w:szCs w:val="24"/>
          <w:lang w:eastAsia="en-AU"/>
        </w:rPr>
      </w:pPr>
      <w:r w:rsidRPr="00EE1943">
        <w:rPr>
          <w:rFonts w:ascii="Arial" w:hAnsi="Arial" w:cs="Arial"/>
          <w:color w:val="000000"/>
          <w:szCs w:val="24"/>
          <w:lang w:eastAsia="en-AU"/>
        </w:rPr>
        <w:t>any submissions that have already been made</w:t>
      </w:r>
    </w:p>
    <w:p w14:paraId="37D4A6A9" w14:textId="77777777" w:rsidR="00EE1943" w:rsidRPr="00EE1943" w:rsidRDefault="00EE1943" w:rsidP="00EE08D7">
      <w:pPr>
        <w:numPr>
          <w:ilvl w:val="0"/>
          <w:numId w:val="21"/>
        </w:numPr>
        <w:autoSpaceDE w:val="0"/>
        <w:autoSpaceDN w:val="0"/>
        <w:adjustRightInd w:val="0"/>
        <w:spacing w:before="60" w:after="60"/>
        <w:rPr>
          <w:rFonts w:ascii="Arial" w:hAnsi="Arial" w:cs="Arial"/>
          <w:color w:val="000000"/>
          <w:szCs w:val="24"/>
          <w:lang w:eastAsia="en-AU"/>
        </w:rPr>
      </w:pPr>
      <w:r w:rsidRPr="00EE1943">
        <w:rPr>
          <w:rFonts w:ascii="Arial" w:hAnsi="Arial" w:cs="Arial"/>
          <w:color w:val="000000"/>
          <w:szCs w:val="24"/>
          <w:lang w:eastAsia="en-AU"/>
        </w:rPr>
        <w:t>any court or tribunal timetable or other relevant directions that have been set.</w:t>
      </w:r>
    </w:p>
    <w:p w14:paraId="740A61FB" w14:textId="77777777" w:rsidR="00EE1943" w:rsidRPr="00EE08D7" w:rsidRDefault="00EE08D7" w:rsidP="00EE08D7">
      <w:pPr>
        <w:pStyle w:val="VEOHRCHeading1"/>
        <w:tabs>
          <w:tab w:val="left" w:pos="2100"/>
        </w:tabs>
        <w:spacing w:before="0"/>
        <w:rPr>
          <w:sz w:val="24"/>
          <w:szCs w:val="24"/>
        </w:rPr>
      </w:pPr>
      <w:r>
        <w:rPr>
          <w:sz w:val="24"/>
          <w:szCs w:val="24"/>
        </w:rPr>
        <w:tab/>
      </w:r>
    </w:p>
    <w:p w14:paraId="4D5DCA0D" w14:textId="77777777" w:rsidR="007A63CE" w:rsidRPr="00EE08D7" w:rsidRDefault="0018151C" w:rsidP="00EE1943">
      <w:pPr>
        <w:pStyle w:val="VEOHRCHeading1"/>
        <w:spacing w:before="0" w:after="240"/>
        <w:rPr>
          <w:rFonts w:ascii="Times New Roman" w:hAnsi="Times New Roman"/>
        </w:rPr>
      </w:pPr>
      <w:r w:rsidRPr="00EE08D7">
        <w:rPr>
          <w:rFonts w:ascii="Times New Roman" w:hAnsi="Times New Roman"/>
        </w:rPr>
        <w:t xml:space="preserve">C. </w:t>
      </w:r>
      <w:r w:rsidR="001B7E35" w:rsidRPr="00EE08D7">
        <w:rPr>
          <w:rFonts w:ascii="Times New Roman" w:hAnsi="Times New Roman"/>
        </w:rPr>
        <w:t>Guidelines: Invention</w:t>
      </w:r>
      <w:r w:rsidRPr="00EE08D7">
        <w:rPr>
          <w:rFonts w:ascii="Times New Roman" w:hAnsi="Times New Roman"/>
        </w:rPr>
        <w:t xml:space="preserve"> and amicus c</w:t>
      </w:r>
      <w:r w:rsidR="007A63CE" w:rsidRPr="00EE08D7">
        <w:rPr>
          <w:rFonts w:ascii="Times New Roman" w:hAnsi="Times New Roman"/>
        </w:rPr>
        <w:t xml:space="preserve">uriae </w:t>
      </w:r>
      <w:r w:rsidRPr="00EE08D7">
        <w:rPr>
          <w:rFonts w:ascii="Times New Roman" w:hAnsi="Times New Roman"/>
        </w:rPr>
        <w:t>function</w:t>
      </w:r>
    </w:p>
    <w:p w14:paraId="221D35E8" w14:textId="77777777" w:rsidR="007A63CE" w:rsidRPr="00EE1943" w:rsidRDefault="007A63CE" w:rsidP="00EE08D7">
      <w:pPr>
        <w:pStyle w:val="VEOHRCNumberedlist"/>
        <w:tabs>
          <w:tab w:val="clear" w:pos="1724"/>
          <w:tab w:val="num" w:pos="360"/>
        </w:tabs>
        <w:spacing w:before="60" w:line="240" w:lineRule="auto"/>
        <w:ind w:left="360"/>
        <w:rPr>
          <w:rFonts w:cs="Arial"/>
        </w:rPr>
      </w:pPr>
      <w:r w:rsidRPr="00EE1943">
        <w:t>The Commission may intervene in proceedings involving issues of equality of opportunity, discrimination, sexual harassment</w:t>
      </w:r>
      <w:r w:rsidR="000165CB">
        <w:t>, vilification</w:t>
      </w:r>
      <w:r w:rsidRPr="00EE1943">
        <w:t xml:space="preserve"> or victimisation with the agreement</w:t>
      </w:r>
      <w:r w:rsidRPr="00EE1943">
        <w:rPr>
          <w:rFonts w:cs="Arial"/>
        </w:rPr>
        <w:t xml:space="preserve"> of the relevant court or tribunal.</w:t>
      </w:r>
      <w:r w:rsidR="007258C3">
        <w:rPr>
          <w:rStyle w:val="FootnoteReference"/>
          <w:rFonts w:cs="Arial"/>
        </w:rPr>
        <w:footnoteReference w:id="2"/>
      </w:r>
      <w:r w:rsidRPr="00EE1943">
        <w:rPr>
          <w:rFonts w:cs="Arial"/>
        </w:rPr>
        <w:t xml:space="preserve"> In addition, the Commission may seek to act as amicus curiae, with the leave of the relevant court or tribunal, in proceedings where:</w:t>
      </w:r>
      <w:r w:rsidR="007258C3">
        <w:rPr>
          <w:rStyle w:val="FootnoteReference"/>
          <w:rFonts w:cs="Arial"/>
        </w:rPr>
        <w:footnoteReference w:id="3"/>
      </w:r>
    </w:p>
    <w:p w14:paraId="55A9CF4F" w14:textId="77777777" w:rsidR="007A63CE" w:rsidRPr="00EE1943" w:rsidRDefault="007A63CE" w:rsidP="00EE08D7">
      <w:pPr>
        <w:numPr>
          <w:ilvl w:val="0"/>
          <w:numId w:val="10"/>
        </w:numPr>
        <w:spacing w:before="60" w:after="60"/>
        <w:ind w:left="714"/>
        <w:rPr>
          <w:rFonts w:ascii="Arial" w:hAnsi="Arial" w:cs="Arial"/>
          <w:szCs w:val="24"/>
        </w:rPr>
      </w:pPr>
      <w:r w:rsidRPr="00EE1943">
        <w:rPr>
          <w:rFonts w:ascii="Arial" w:hAnsi="Arial" w:cs="Arial"/>
          <w:szCs w:val="24"/>
        </w:rPr>
        <w:t xml:space="preserve">there is a likelihood that orders sought may significantly affect the right to protection against discrimination of persons who are not parties to the proceedings </w:t>
      </w:r>
    </w:p>
    <w:p w14:paraId="6E82F538" w14:textId="77777777" w:rsidR="007A63CE" w:rsidRPr="00EE1943" w:rsidRDefault="007A63CE" w:rsidP="00EE08D7">
      <w:pPr>
        <w:numPr>
          <w:ilvl w:val="0"/>
          <w:numId w:val="10"/>
        </w:numPr>
        <w:spacing w:before="60" w:after="60"/>
        <w:ind w:left="714"/>
        <w:rPr>
          <w:rFonts w:ascii="Arial" w:hAnsi="Arial" w:cs="Arial"/>
          <w:szCs w:val="24"/>
        </w:rPr>
      </w:pPr>
      <w:r w:rsidRPr="00EE1943">
        <w:rPr>
          <w:rFonts w:ascii="Arial" w:hAnsi="Arial" w:cs="Arial"/>
          <w:szCs w:val="24"/>
        </w:rPr>
        <w:t xml:space="preserve">there is a likelihood that the proceedings will have significant implications for the administration of the Equal Opportunity Act, or </w:t>
      </w:r>
    </w:p>
    <w:p w14:paraId="31065849" w14:textId="77777777" w:rsidR="007A63CE" w:rsidRPr="00EE1943" w:rsidRDefault="007A63CE" w:rsidP="00EE08D7">
      <w:pPr>
        <w:numPr>
          <w:ilvl w:val="0"/>
          <w:numId w:val="10"/>
        </w:numPr>
        <w:spacing w:before="60" w:after="60"/>
        <w:ind w:left="714"/>
        <w:rPr>
          <w:rFonts w:ascii="Arial" w:hAnsi="Arial" w:cs="Arial"/>
          <w:szCs w:val="24"/>
        </w:rPr>
      </w:pPr>
      <w:r w:rsidRPr="00EE1943">
        <w:rPr>
          <w:rFonts w:ascii="Arial" w:hAnsi="Arial" w:cs="Arial"/>
          <w:szCs w:val="24"/>
        </w:rPr>
        <w:t>the Commission is satisfied that it would be in the public interest for the Commission to assist the court or tribunal.</w:t>
      </w:r>
    </w:p>
    <w:p w14:paraId="5B75B492" w14:textId="77777777" w:rsidR="007A63CE" w:rsidRPr="00EE1943" w:rsidRDefault="007A63CE" w:rsidP="00EE08D7">
      <w:pPr>
        <w:pStyle w:val="VEOHRCNumberedlist"/>
        <w:tabs>
          <w:tab w:val="clear" w:pos="1724"/>
          <w:tab w:val="num" w:pos="360"/>
        </w:tabs>
        <w:spacing w:before="60" w:line="240" w:lineRule="auto"/>
        <w:ind w:left="360"/>
        <w:rPr>
          <w:rFonts w:cs="Arial"/>
        </w:rPr>
      </w:pPr>
      <w:r w:rsidRPr="00EE1943">
        <w:rPr>
          <w:rFonts w:cs="Arial"/>
        </w:rPr>
        <w:t>The Commission will consider intervening in proceedings where:</w:t>
      </w:r>
    </w:p>
    <w:p w14:paraId="4D9D2CE4" w14:textId="77777777" w:rsidR="007A63CE" w:rsidRPr="00EE1943" w:rsidRDefault="007A63CE" w:rsidP="007258C3">
      <w:pPr>
        <w:numPr>
          <w:ilvl w:val="0"/>
          <w:numId w:val="31"/>
        </w:numPr>
        <w:spacing w:before="60" w:after="60"/>
        <w:rPr>
          <w:rFonts w:ascii="Arial" w:hAnsi="Arial" w:cs="Arial"/>
          <w:szCs w:val="24"/>
        </w:rPr>
      </w:pPr>
      <w:r w:rsidRPr="00EE1943">
        <w:rPr>
          <w:rFonts w:ascii="Arial" w:hAnsi="Arial" w:cs="Arial"/>
          <w:szCs w:val="24"/>
        </w:rPr>
        <w:t xml:space="preserve">the equal opportunity issues are significant and not peripheral to the proceedings, </w:t>
      </w:r>
    </w:p>
    <w:p w14:paraId="21CFF73A" w14:textId="77777777" w:rsidR="007A63CE" w:rsidRPr="00EE1943" w:rsidRDefault="007A63CE" w:rsidP="007258C3">
      <w:pPr>
        <w:numPr>
          <w:ilvl w:val="0"/>
          <w:numId w:val="31"/>
        </w:numPr>
        <w:spacing w:before="60" w:after="60"/>
        <w:rPr>
          <w:rFonts w:ascii="Arial" w:hAnsi="Arial" w:cs="Arial"/>
          <w:szCs w:val="24"/>
        </w:rPr>
      </w:pPr>
      <w:r w:rsidRPr="00EE1943">
        <w:rPr>
          <w:rFonts w:ascii="Arial" w:hAnsi="Arial" w:cs="Arial"/>
          <w:szCs w:val="24"/>
        </w:rPr>
        <w:t xml:space="preserve">the orders that could be made in the proceedings may significantly affect the equality rights of persons who are not parties to the proceedings, </w:t>
      </w:r>
    </w:p>
    <w:p w14:paraId="424C4217" w14:textId="77777777" w:rsidR="007A63CE" w:rsidRPr="00EE1943" w:rsidRDefault="007A63CE" w:rsidP="007258C3">
      <w:pPr>
        <w:numPr>
          <w:ilvl w:val="0"/>
          <w:numId w:val="31"/>
        </w:numPr>
        <w:spacing w:before="60" w:after="60"/>
        <w:rPr>
          <w:rFonts w:ascii="Arial" w:hAnsi="Arial" w:cs="Arial"/>
          <w:szCs w:val="24"/>
        </w:rPr>
      </w:pPr>
      <w:r w:rsidRPr="00EE1943">
        <w:rPr>
          <w:rFonts w:ascii="Arial" w:hAnsi="Arial" w:cs="Arial"/>
          <w:szCs w:val="24"/>
        </w:rPr>
        <w:t>the proceedings may have significant implications for the ongoing interpretation or operation of the statutory provision being interpreted, and/or</w:t>
      </w:r>
      <w:r w:rsidRPr="004C49BA">
        <w:rPr>
          <w:rFonts w:ascii="Arial" w:hAnsi="Arial" w:cs="Arial"/>
          <w:szCs w:val="24"/>
        </w:rPr>
        <w:t xml:space="preserve"> </w:t>
      </w:r>
    </w:p>
    <w:p w14:paraId="029033EB" w14:textId="77777777" w:rsidR="007A63CE" w:rsidRPr="00EE1943" w:rsidRDefault="007A63CE" w:rsidP="007258C3">
      <w:pPr>
        <w:numPr>
          <w:ilvl w:val="0"/>
          <w:numId w:val="31"/>
        </w:numPr>
        <w:spacing w:before="60" w:after="60"/>
        <w:rPr>
          <w:rFonts w:ascii="Arial" w:hAnsi="Arial" w:cs="Arial"/>
          <w:szCs w:val="24"/>
        </w:rPr>
      </w:pPr>
      <w:r w:rsidRPr="00EE1943">
        <w:rPr>
          <w:rFonts w:ascii="Arial" w:hAnsi="Arial" w:cs="Arial"/>
          <w:szCs w:val="24"/>
        </w:rPr>
        <w:t>the proceedings may have significant implications for the ongoing application, implementation and/or operation of the Equal Opportunity Act.</w:t>
      </w:r>
    </w:p>
    <w:p w14:paraId="71245D64" w14:textId="77777777" w:rsidR="007A63CE" w:rsidRPr="00EE1943" w:rsidRDefault="007A63CE" w:rsidP="00EE08D7">
      <w:pPr>
        <w:pStyle w:val="VEOHRCNumberedlist"/>
        <w:tabs>
          <w:tab w:val="clear" w:pos="1724"/>
          <w:tab w:val="num" w:pos="360"/>
        </w:tabs>
        <w:spacing w:before="60" w:line="240" w:lineRule="auto"/>
        <w:ind w:left="360"/>
        <w:rPr>
          <w:rFonts w:cs="Arial"/>
        </w:rPr>
      </w:pPr>
      <w:r w:rsidRPr="00EE1943">
        <w:rPr>
          <w:rFonts w:cs="Arial"/>
        </w:rPr>
        <w:t xml:space="preserve">Factors that the Commission will take into account in deciding whether to exercise its functions </w:t>
      </w:r>
      <w:r w:rsidR="00443345">
        <w:t>generally include (but are not limited to)</w:t>
      </w:r>
      <w:r w:rsidRPr="00EE1943">
        <w:rPr>
          <w:rFonts w:cs="Arial"/>
        </w:rPr>
        <w:t>:</w:t>
      </w:r>
    </w:p>
    <w:p w14:paraId="1B1FA6D1" w14:textId="77777777" w:rsidR="00EE08D7" w:rsidRDefault="007A63CE" w:rsidP="004C49BA">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 xml:space="preserve">Whether the Commission would be likely to be granted </w:t>
      </w:r>
      <w:r w:rsidR="007258C3">
        <w:rPr>
          <w:rFonts w:ascii="Arial" w:hAnsi="Arial" w:cs="Arial"/>
          <w:szCs w:val="24"/>
          <w:lang w:eastAsia="en-AU"/>
        </w:rPr>
        <w:t>leave</w:t>
      </w:r>
      <w:r w:rsidRPr="00EE1943">
        <w:rPr>
          <w:rFonts w:ascii="Arial" w:hAnsi="Arial" w:cs="Arial"/>
          <w:szCs w:val="24"/>
          <w:lang w:eastAsia="en-AU"/>
        </w:rPr>
        <w:t xml:space="preserve"> to intervene or appear as an amicus curiae</w:t>
      </w:r>
      <w:r w:rsidR="00933778" w:rsidRPr="00EE1943">
        <w:rPr>
          <w:rFonts w:ascii="Arial" w:hAnsi="Arial" w:cs="Arial"/>
          <w:szCs w:val="24"/>
          <w:lang w:eastAsia="en-AU"/>
        </w:rPr>
        <w:t>, i.e.</w:t>
      </w:r>
    </w:p>
    <w:p w14:paraId="284F501B" w14:textId="77777777" w:rsidR="00EE08D7" w:rsidRDefault="007A63CE" w:rsidP="004C49BA">
      <w:pPr>
        <w:numPr>
          <w:ilvl w:val="1"/>
          <w:numId w:val="28"/>
        </w:numPr>
        <w:autoSpaceDE w:val="0"/>
        <w:autoSpaceDN w:val="0"/>
        <w:adjustRightInd w:val="0"/>
        <w:spacing w:before="60" w:after="60"/>
        <w:rPr>
          <w:rFonts w:ascii="Arial" w:hAnsi="Arial" w:cs="Arial"/>
          <w:szCs w:val="24"/>
          <w:lang w:eastAsia="en-AU"/>
        </w:rPr>
      </w:pPr>
      <w:r w:rsidRPr="00EE08D7">
        <w:rPr>
          <w:rFonts w:ascii="Arial" w:hAnsi="Arial" w:cs="Arial"/>
          <w:szCs w:val="24"/>
          <w:lang w:eastAsia="en-AU"/>
        </w:rPr>
        <w:t>Does the Commission propose to pres</w:t>
      </w:r>
      <w:r w:rsidR="00EE08D7">
        <w:rPr>
          <w:rFonts w:ascii="Arial" w:hAnsi="Arial" w:cs="Arial"/>
          <w:szCs w:val="24"/>
          <w:lang w:eastAsia="en-AU"/>
        </w:rPr>
        <w:t xml:space="preserve">ent arguments or facts that the </w:t>
      </w:r>
      <w:r w:rsidRPr="00EE08D7">
        <w:rPr>
          <w:rFonts w:ascii="Arial" w:hAnsi="Arial" w:cs="Arial"/>
          <w:szCs w:val="24"/>
          <w:lang w:eastAsia="en-AU"/>
        </w:rPr>
        <w:t>other parties will not be canvassing?</w:t>
      </w:r>
    </w:p>
    <w:p w14:paraId="05C0EDC9" w14:textId="77777777" w:rsidR="007A63CE" w:rsidRPr="00EE08D7" w:rsidRDefault="007A63CE" w:rsidP="004C49BA">
      <w:pPr>
        <w:numPr>
          <w:ilvl w:val="1"/>
          <w:numId w:val="28"/>
        </w:numPr>
        <w:autoSpaceDE w:val="0"/>
        <w:autoSpaceDN w:val="0"/>
        <w:adjustRightInd w:val="0"/>
        <w:spacing w:before="60" w:after="60"/>
        <w:rPr>
          <w:rFonts w:ascii="Arial" w:hAnsi="Arial" w:cs="Arial"/>
          <w:szCs w:val="24"/>
          <w:lang w:eastAsia="en-AU"/>
        </w:rPr>
      </w:pPr>
      <w:r w:rsidRPr="00EE08D7">
        <w:rPr>
          <w:rFonts w:ascii="Arial" w:hAnsi="Arial" w:cs="Arial"/>
          <w:szCs w:val="24"/>
          <w:lang w:eastAsia="en-AU"/>
        </w:rPr>
        <w:t>Will the Commission’s involvement contribute to the decision-maker reaching an informed decision?</w:t>
      </w:r>
      <w:r w:rsidRPr="00663960">
        <w:rPr>
          <w:vertAlign w:val="superscript"/>
        </w:rPr>
        <w:footnoteReference w:id="4"/>
      </w:r>
      <w:r w:rsidRPr="00EE08D7">
        <w:rPr>
          <w:rFonts w:ascii="Arial" w:hAnsi="Arial" w:cs="Arial"/>
          <w:szCs w:val="24"/>
          <w:lang w:eastAsia="en-AU"/>
        </w:rPr>
        <w:t xml:space="preserve"> </w:t>
      </w:r>
    </w:p>
    <w:p w14:paraId="556EE08E"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 xml:space="preserve">Whether the case involves a new or unsettled area of the law. </w:t>
      </w:r>
    </w:p>
    <w:p w14:paraId="19A98BB1"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Whether the case would clarify a disputed interpretation of the law.</w:t>
      </w:r>
    </w:p>
    <w:p w14:paraId="1860D28E"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Whether the case has significant ramifications beyond the parties to the proceedings.</w:t>
      </w:r>
    </w:p>
    <w:p w14:paraId="557A4F7A"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 xml:space="preserve">Whether the relevant court or tribunal has asked the Commission to be involved. </w:t>
      </w:r>
    </w:p>
    <w:p w14:paraId="5047D682"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 xml:space="preserve">Whether any party has asked the Commission to be involved and whether any party would or does oppose such a role. </w:t>
      </w:r>
    </w:p>
    <w:p w14:paraId="6EFD153C"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Whether any other person or organisation is seeking leave to intervene/appear.</w:t>
      </w:r>
    </w:p>
    <w:p w14:paraId="7E24A118"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The likely impact of the Commission’s role on the individuals involved in the litigation.</w:t>
      </w:r>
      <w:r w:rsidR="00B24323" w:rsidRPr="00B24323">
        <w:rPr>
          <w:vertAlign w:val="superscript"/>
        </w:rPr>
        <w:t xml:space="preserve"> </w:t>
      </w:r>
      <w:r w:rsidR="00B24323" w:rsidRPr="00B24323">
        <w:rPr>
          <w:rFonts w:ascii="Arial" w:hAnsi="Arial" w:cs="Arial"/>
          <w:vertAlign w:val="superscript"/>
        </w:rPr>
        <w:footnoteReference w:id="5"/>
      </w:r>
    </w:p>
    <w:p w14:paraId="5E451120"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Whether the issue is an intermediate one or will result in a final determination of the issues.</w:t>
      </w:r>
    </w:p>
    <w:p w14:paraId="1AAED8C3" w14:textId="77777777" w:rsidR="007A63CE" w:rsidRPr="00EE1943"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The resource or other administrative implications of the Commission joining the litigation in the context of all its other functions.</w:t>
      </w:r>
    </w:p>
    <w:p w14:paraId="40BE660A" w14:textId="77777777" w:rsidR="007A63CE" w:rsidRDefault="007A63CE" w:rsidP="003E6B5D">
      <w:pPr>
        <w:numPr>
          <w:ilvl w:val="0"/>
          <w:numId w:val="28"/>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Any broader strategic issues relating to the role, function or reputation of the Commission.</w:t>
      </w:r>
    </w:p>
    <w:p w14:paraId="635D661F" w14:textId="77777777" w:rsidR="00C20A46" w:rsidRPr="004C49BA" w:rsidRDefault="00C20A46" w:rsidP="007258C3">
      <w:pPr>
        <w:numPr>
          <w:ilvl w:val="0"/>
          <w:numId w:val="28"/>
        </w:numPr>
        <w:autoSpaceDE w:val="0"/>
        <w:autoSpaceDN w:val="0"/>
        <w:adjustRightInd w:val="0"/>
        <w:spacing w:before="60" w:after="60"/>
        <w:rPr>
          <w:rFonts w:ascii="Arial" w:hAnsi="Arial" w:cs="Arial"/>
          <w:szCs w:val="24"/>
          <w:lang w:eastAsia="en-AU"/>
        </w:rPr>
      </w:pPr>
      <w:r w:rsidRPr="004C49BA">
        <w:rPr>
          <w:rFonts w:ascii="Arial" w:hAnsi="Arial" w:cs="Arial"/>
          <w:szCs w:val="24"/>
          <w:lang w:eastAsia="en-AU"/>
        </w:rPr>
        <w:t xml:space="preserve">Whether the case involves </w:t>
      </w:r>
      <w:r w:rsidR="00BC0428">
        <w:rPr>
          <w:rFonts w:ascii="Arial" w:hAnsi="Arial" w:cs="Arial"/>
          <w:szCs w:val="24"/>
          <w:lang w:eastAsia="en-AU"/>
        </w:rPr>
        <w:t xml:space="preserve">issues </w:t>
      </w:r>
      <w:r w:rsidRPr="004C49BA">
        <w:rPr>
          <w:rFonts w:ascii="Arial" w:hAnsi="Arial" w:cs="Arial"/>
          <w:szCs w:val="24"/>
          <w:lang w:eastAsia="en-AU"/>
        </w:rPr>
        <w:t>that are a strategic priority of the Commission.</w:t>
      </w:r>
    </w:p>
    <w:p w14:paraId="1123A0F6" w14:textId="77777777" w:rsidR="00C20A46" w:rsidRPr="00EE1943" w:rsidRDefault="00C20A46" w:rsidP="007258C3">
      <w:pPr>
        <w:numPr>
          <w:ilvl w:val="0"/>
          <w:numId w:val="28"/>
        </w:numPr>
        <w:autoSpaceDE w:val="0"/>
        <w:autoSpaceDN w:val="0"/>
        <w:adjustRightInd w:val="0"/>
        <w:spacing w:before="60" w:after="60"/>
        <w:rPr>
          <w:rFonts w:ascii="Arial" w:hAnsi="Arial" w:cs="Arial"/>
          <w:szCs w:val="24"/>
          <w:lang w:eastAsia="en-AU"/>
        </w:rPr>
      </w:pPr>
      <w:r w:rsidRPr="004C49BA">
        <w:rPr>
          <w:rFonts w:ascii="Arial" w:hAnsi="Arial" w:cs="Arial"/>
          <w:szCs w:val="24"/>
          <w:lang w:eastAsia="en-AU"/>
        </w:rPr>
        <w:t>Whether the parties have legal representation.</w:t>
      </w:r>
    </w:p>
    <w:p w14:paraId="1EE2ADD9" w14:textId="77777777" w:rsidR="007A63CE" w:rsidRPr="00EE1943" w:rsidRDefault="007A63CE" w:rsidP="00EE08D7">
      <w:pPr>
        <w:pStyle w:val="VEOHRCNumberedlist"/>
        <w:tabs>
          <w:tab w:val="clear" w:pos="1724"/>
          <w:tab w:val="num" w:pos="360"/>
        </w:tabs>
        <w:spacing w:before="60" w:line="240" w:lineRule="auto"/>
        <w:ind w:left="360"/>
        <w:rPr>
          <w:rFonts w:cs="Arial"/>
        </w:rPr>
      </w:pPr>
      <w:r w:rsidRPr="00EE1943">
        <w:rPr>
          <w:rFonts w:cs="Arial"/>
        </w:rPr>
        <w:t xml:space="preserve">The Commission’s role is to advocate for the </w:t>
      </w:r>
      <w:r w:rsidR="007258C3">
        <w:rPr>
          <w:rFonts w:cs="Arial"/>
        </w:rPr>
        <w:t>objectives</w:t>
      </w:r>
      <w:r w:rsidRPr="00EE1943">
        <w:rPr>
          <w:rFonts w:cs="Arial"/>
        </w:rPr>
        <w:t xml:space="preserve"> of the Equal Opportunity Act. The Commission does not represent individuals.</w:t>
      </w:r>
    </w:p>
    <w:p w14:paraId="7934254F" w14:textId="77777777" w:rsidR="007A63CE" w:rsidRPr="00EE1943" w:rsidRDefault="007A63CE" w:rsidP="00EE08D7">
      <w:pPr>
        <w:pStyle w:val="VEOHRCNumberedlist"/>
        <w:tabs>
          <w:tab w:val="clear" w:pos="1724"/>
          <w:tab w:val="num" w:pos="360"/>
        </w:tabs>
        <w:spacing w:before="60" w:line="240" w:lineRule="auto"/>
        <w:ind w:left="360"/>
        <w:rPr>
          <w:rFonts w:cs="Arial"/>
        </w:rPr>
      </w:pPr>
      <w:r w:rsidRPr="00EE1943">
        <w:rPr>
          <w:rFonts w:cs="Arial"/>
        </w:rPr>
        <w:t>The Commission’s submissions will generally focus on questions of law, policy and issues of broader public interest rather than detailed arguments about the facts of a particular case, except to the extent that those facts are relevant to systemic issues.</w:t>
      </w:r>
    </w:p>
    <w:p w14:paraId="608852D7" w14:textId="77777777" w:rsidR="007A63CE" w:rsidRPr="00EE1943" w:rsidRDefault="007A63CE" w:rsidP="00EE08D7">
      <w:pPr>
        <w:pStyle w:val="VEOHRCNumberedlist"/>
        <w:tabs>
          <w:tab w:val="clear" w:pos="1724"/>
          <w:tab w:val="num" w:pos="360"/>
        </w:tabs>
        <w:spacing w:before="60" w:line="240" w:lineRule="auto"/>
        <w:ind w:left="360"/>
      </w:pPr>
      <w:r w:rsidRPr="00EE1943">
        <w:t>Through its intervention or amicus curiae role, the Commission aims to advocate for interpretations of the law that fulfil the objectives of the Equal Opportunity Act:</w:t>
      </w:r>
    </w:p>
    <w:p w14:paraId="68DEE7C8" w14:textId="77777777" w:rsidR="007A63CE" w:rsidRDefault="007A63CE" w:rsidP="007258C3">
      <w:pPr>
        <w:numPr>
          <w:ilvl w:val="0"/>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To eliminate discrimination, sexual harassment and victimisation, to the greatest possible extent</w:t>
      </w:r>
    </w:p>
    <w:p w14:paraId="4A6ED027" w14:textId="77777777" w:rsidR="00230BCE" w:rsidRPr="00EE1943" w:rsidRDefault="00230BCE" w:rsidP="007258C3">
      <w:pPr>
        <w:numPr>
          <w:ilvl w:val="0"/>
          <w:numId w:val="29"/>
        </w:numPr>
        <w:autoSpaceDE w:val="0"/>
        <w:autoSpaceDN w:val="0"/>
        <w:adjustRightInd w:val="0"/>
        <w:spacing w:before="60" w:after="60"/>
        <w:rPr>
          <w:rFonts w:ascii="Arial" w:hAnsi="Arial" w:cs="Arial"/>
          <w:szCs w:val="24"/>
          <w:lang w:eastAsia="en-AU"/>
        </w:rPr>
      </w:pPr>
      <w:r>
        <w:rPr>
          <w:rFonts w:ascii="Arial" w:hAnsi="Arial" w:cs="Arial"/>
          <w:szCs w:val="24"/>
          <w:lang w:eastAsia="en-AU"/>
        </w:rPr>
        <w:t xml:space="preserve">To protect and promote the right to equality by prohibiting certain conduct involving the vilification of persons with a protected attribute </w:t>
      </w:r>
    </w:p>
    <w:p w14:paraId="1834429C" w14:textId="77777777" w:rsidR="007A63CE" w:rsidRPr="00EE1943" w:rsidRDefault="007A63CE" w:rsidP="007258C3">
      <w:pPr>
        <w:numPr>
          <w:ilvl w:val="0"/>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To further promote and protect the right to equality set out in the Charter of Human Rights and Responsibilities</w:t>
      </w:r>
      <w:r w:rsidR="00031DCE">
        <w:rPr>
          <w:rFonts w:ascii="Arial" w:hAnsi="Arial" w:cs="Arial"/>
          <w:szCs w:val="24"/>
          <w:lang w:eastAsia="en-AU"/>
        </w:rPr>
        <w:t xml:space="preserve"> (</w:t>
      </w:r>
      <w:r w:rsidR="00031DCE" w:rsidRPr="00031DCE">
        <w:rPr>
          <w:rFonts w:ascii="Arial" w:hAnsi="Arial" w:cs="Arial"/>
          <w:b/>
          <w:szCs w:val="24"/>
          <w:lang w:eastAsia="en-AU"/>
        </w:rPr>
        <w:t>Charter</w:t>
      </w:r>
      <w:r w:rsidR="00031DCE">
        <w:rPr>
          <w:rFonts w:ascii="Arial" w:hAnsi="Arial" w:cs="Arial"/>
          <w:szCs w:val="24"/>
          <w:lang w:eastAsia="en-AU"/>
        </w:rPr>
        <w:t>)</w:t>
      </w:r>
      <w:r w:rsidRPr="00EE1943">
        <w:rPr>
          <w:rFonts w:ascii="Arial" w:hAnsi="Arial" w:cs="Arial"/>
          <w:szCs w:val="24"/>
          <w:lang w:eastAsia="en-AU"/>
        </w:rPr>
        <w:t xml:space="preserve"> </w:t>
      </w:r>
    </w:p>
    <w:p w14:paraId="27EC175E" w14:textId="77777777" w:rsidR="007A63CE" w:rsidRPr="00EE1943" w:rsidRDefault="007A63CE" w:rsidP="007258C3">
      <w:pPr>
        <w:numPr>
          <w:ilvl w:val="0"/>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 xml:space="preserve">To encourage the identification and elimination of systemic causes of discrimination, sexual harassment and victimisation </w:t>
      </w:r>
    </w:p>
    <w:p w14:paraId="27492992" w14:textId="77777777" w:rsidR="007A63CE" w:rsidRPr="00EE1943" w:rsidRDefault="007A63CE" w:rsidP="007258C3">
      <w:pPr>
        <w:numPr>
          <w:ilvl w:val="0"/>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To promote and facilitate the progressive realisation of equality, as far as reasonably practicable, by recognising that –</w:t>
      </w:r>
    </w:p>
    <w:p w14:paraId="3CCC9743" w14:textId="77777777" w:rsidR="007A63CE" w:rsidRPr="00EE1943" w:rsidRDefault="007A63CE" w:rsidP="007258C3">
      <w:pPr>
        <w:numPr>
          <w:ilvl w:val="1"/>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discrimination can cause social and economic disadvantage and that access to opportunities is not equitably distributed throughout society</w:t>
      </w:r>
    </w:p>
    <w:p w14:paraId="0FD3BB49" w14:textId="77777777" w:rsidR="007A63CE" w:rsidRPr="00EE1943" w:rsidRDefault="007A63CE" w:rsidP="007258C3">
      <w:pPr>
        <w:numPr>
          <w:ilvl w:val="1"/>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 xml:space="preserve">equal application of a rule to different groups can have unequal results or outcomes </w:t>
      </w:r>
    </w:p>
    <w:p w14:paraId="48C4A01C" w14:textId="77777777" w:rsidR="007A63CE" w:rsidRPr="00EE1943" w:rsidRDefault="007A63CE" w:rsidP="007258C3">
      <w:pPr>
        <w:numPr>
          <w:ilvl w:val="1"/>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the achievement of substantive equality may require the making of reasonable adjustments and reasonable accommodation and the taking of special measures</w:t>
      </w:r>
    </w:p>
    <w:p w14:paraId="3A3F1BAD" w14:textId="77777777" w:rsidR="007A63CE" w:rsidRPr="004C49BA" w:rsidRDefault="007A63CE" w:rsidP="007258C3">
      <w:pPr>
        <w:numPr>
          <w:ilvl w:val="0"/>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 xml:space="preserve">To enable the Victorian Equal Opportunity and Human Rights Commission to encourage best practice and facilitate compliance with this Act by undertaking research, educative and enforcement functions </w:t>
      </w:r>
    </w:p>
    <w:p w14:paraId="22159CF5" w14:textId="77777777" w:rsidR="007A63CE" w:rsidRPr="004C49BA" w:rsidRDefault="007A63CE" w:rsidP="007258C3">
      <w:pPr>
        <w:numPr>
          <w:ilvl w:val="0"/>
          <w:numId w:val="29"/>
        </w:numPr>
        <w:autoSpaceDE w:val="0"/>
        <w:autoSpaceDN w:val="0"/>
        <w:adjustRightInd w:val="0"/>
        <w:spacing w:before="60" w:after="60"/>
        <w:rPr>
          <w:rFonts w:ascii="Arial" w:hAnsi="Arial" w:cs="Arial"/>
          <w:szCs w:val="24"/>
          <w:lang w:eastAsia="en-AU"/>
        </w:rPr>
      </w:pPr>
      <w:r w:rsidRPr="00EE1943">
        <w:rPr>
          <w:rFonts w:ascii="Arial" w:hAnsi="Arial" w:cs="Arial"/>
          <w:szCs w:val="24"/>
          <w:lang w:eastAsia="en-AU"/>
        </w:rPr>
        <w:t>To enable the Commissioner of the Victorian Equal Opportunity and Human Rights Commission to resolve disputes about discrimination, sexual harassment</w:t>
      </w:r>
      <w:r w:rsidR="00230BCE">
        <w:rPr>
          <w:rFonts w:ascii="Arial" w:hAnsi="Arial" w:cs="Arial"/>
          <w:szCs w:val="24"/>
          <w:lang w:eastAsia="en-AU"/>
        </w:rPr>
        <w:t>, vilification</w:t>
      </w:r>
      <w:r w:rsidRPr="00EE1943">
        <w:rPr>
          <w:rFonts w:ascii="Arial" w:hAnsi="Arial" w:cs="Arial"/>
          <w:szCs w:val="24"/>
          <w:lang w:eastAsia="en-AU"/>
        </w:rPr>
        <w:t xml:space="preserve"> and victimisation in a timely and effective manner, and to also provide direct access to the Victorian Civil and Administrative Tribunal for resolution of such disputes</w:t>
      </w:r>
    </w:p>
    <w:p w14:paraId="32332611" w14:textId="77777777" w:rsidR="00C20A46" w:rsidRDefault="00C20A46" w:rsidP="007258C3">
      <w:pPr>
        <w:pStyle w:val="VEOHRCNumberedlist"/>
        <w:tabs>
          <w:tab w:val="clear" w:pos="1724"/>
          <w:tab w:val="num" w:pos="360"/>
        </w:tabs>
        <w:spacing w:before="60" w:line="240" w:lineRule="auto"/>
        <w:ind w:left="360"/>
      </w:pPr>
      <w:r w:rsidRPr="00816E01">
        <w:t>The Commission may</w:t>
      </w:r>
      <w:r>
        <w:t xml:space="preserve"> initiate an appeal </w:t>
      </w:r>
      <w:r w:rsidRPr="00816E01">
        <w:t>in proceedings</w:t>
      </w:r>
      <w:r>
        <w:t xml:space="preserve"> where it has intervened</w:t>
      </w:r>
      <w:r w:rsidR="007779C2">
        <w:t xml:space="preserve"> in a proceeding</w:t>
      </w:r>
      <w:r>
        <w:t xml:space="preserve">. </w:t>
      </w:r>
      <w:r w:rsidRPr="004A3740">
        <w:t xml:space="preserve">Factors that the Commission considers relevant to its consideration of whether </w:t>
      </w:r>
      <w:r>
        <w:t>to initiate an appeal generally include:</w:t>
      </w:r>
    </w:p>
    <w:p w14:paraId="6F482374" w14:textId="77777777" w:rsidR="00C20A46" w:rsidRPr="00FF37A5" w:rsidRDefault="00C20A46" w:rsidP="007258C3">
      <w:pPr>
        <w:numPr>
          <w:ilvl w:val="0"/>
          <w:numId w:val="30"/>
        </w:numPr>
        <w:autoSpaceDE w:val="0"/>
        <w:autoSpaceDN w:val="0"/>
        <w:adjustRightInd w:val="0"/>
        <w:spacing w:before="60" w:after="60"/>
        <w:rPr>
          <w:rFonts w:ascii="Arial" w:hAnsi="Arial" w:cs="Arial"/>
          <w:szCs w:val="24"/>
          <w:lang w:eastAsia="en-AU"/>
        </w:rPr>
      </w:pPr>
      <w:r w:rsidRPr="00FF37A5">
        <w:rPr>
          <w:rFonts w:ascii="Arial" w:hAnsi="Arial" w:cs="Arial"/>
          <w:szCs w:val="24"/>
          <w:lang w:eastAsia="en-AU"/>
        </w:rPr>
        <w:t>the factors outlined in paragraph 3 above; and</w:t>
      </w:r>
    </w:p>
    <w:p w14:paraId="3D850BB5" w14:textId="77777777" w:rsidR="00C20A46" w:rsidRPr="00FF37A5" w:rsidRDefault="00C20A46" w:rsidP="007258C3">
      <w:pPr>
        <w:numPr>
          <w:ilvl w:val="0"/>
          <w:numId w:val="30"/>
        </w:numPr>
        <w:autoSpaceDE w:val="0"/>
        <w:autoSpaceDN w:val="0"/>
        <w:adjustRightInd w:val="0"/>
        <w:spacing w:before="60" w:after="60"/>
        <w:rPr>
          <w:rFonts w:ascii="Arial" w:hAnsi="Arial" w:cs="Arial"/>
          <w:szCs w:val="24"/>
          <w:lang w:eastAsia="en-AU"/>
        </w:rPr>
      </w:pPr>
      <w:r w:rsidRPr="00FF37A5">
        <w:rPr>
          <w:rFonts w:ascii="Arial" w:hAnsi="Arial" w:cs="Arial"/>
          <w:szCs w:val="24"/>
          <w:lang w:eastAsia="en-AU"/>
        </w:rPr>
        <w:t>the merits of the appeal.</w:t>
      </w:r>
    </w:p>
    <w:p w14:paraId="341EEE41" w14:textId="77777777" w:rsidR="00031DCE" w:rsidRDefault="00031DCE" w:rsidP="007258C3">
      <w:pPr>
        <w:pStyle w:val="VEOHRCNumberedlist"/>
        <w:tabs>
          <w:tab w:val="clear" w:pos="1724"/>
          <w:tab w:val="num" w:pos="360"/>
        </w:tabs>
        <w:spacing w:before="60" w:line="240" w:lineRule="auto"/>
        <w:ind w:left="360"/>
      </w:pPr>
      <w:r>
        <w:t xml:space="preserve">There may be occasions in which a proceeding raises matters under the Equal Opportunity Act </w:t>
      </w:r>
      <w:r w:rsidRPr="0017444C">
        <w:rPr>
          <w:i/>
        </w:rPr>
        <w:t>and</w:t>
      </w:r>
      <w:r>
        <w:t xml:space="preserve"> the Charter, and the Commission may intervene as of right</w:t>
      </w:r>
      <w:r w:rsidRPr="00031DCE">
        <w:t xml:space="preserve"> </w:t>
      </w:r>
      <w:r w:rsidRPr="009112C3">
        <w:t xml:space="preserve">under </w:t>
      </w:r>
      <w:r>
        <w:t>the Charter.</w:t>
      </w:r>
    </w:p>
    <w:p w14:paraId="21A702BD" w14:textId="77777777" w:rsidR="00C20A46" w:rsidRPr="009112C3" w:rsidRDefault="00C20A46" w:rsidP="007258C3">
      <w:pPr>
        <w:pStyle w:val="VEOHRCNumberedlist"/>
        <w:tabs>
          <w:tab w:val="clear" w:pos="1724"/>
          <w:tab w:val="num" w:pos="360"/>
        </w:tabs>
        <w:spacing w:before="60" w:line="240" w:lineRule="auto"/>
        <w:ind w:left="360"/>
      </w:pPr>
      <w:r w:rsidRPr="00FF37A5">
        <w:t>The Commissioner or a delegate of the Commissioner can make a decision about whether or not to intervene in proceedings.</w:t>
      </w:r>
    </w:p>
    <w:p w14:paraId="1F20DF4F" w14:textId="77777777" w:rsidR="00EE1943" w:rsidRDefault="00EE1943" w:rsidP="00EE1943">
      <w:pPr>
        <w:autoSpaceDE w:val="0"/>
        <w:autoSpaceDN w:val="0"/>
        <w:adjustRightInd w:val="0"/>
        <w:spacing w:before="80" w:after="120"/>
        <w:rPr>
          <w:rFonts w:ascii="Arial" w:hAnsi="Arial" w:cs="Arial"/>
          <w:szCs w:val="24"/>
          <w:lang w:eastAsia="en-AU"/>
        </w:rPr>
      </w:pPr>
    </w:p>
    <w:p w14:paraId="4B239A96" w14:textId="77777777" w:rsidR="00E505A4" w:rsidRDefault="00E505A4" w:rsidP="00EE1943">
      <w:pPr>
        <w:autoSpaceDE w:val="0"/>
        <w:autoSpaceDN w:val="0"/>
        <w:adjustRightInd w:val="0"/>
        <w:spacing w:before="80" w:after="120"/>
        <w:rPr>
          <w:rFonts w:ascii="Arial" w:hAnsi="Arial" w:cs="Arial"/>
          <w:szCs w:val="24"/>
          <w:lang w:eastAsia="en-AU"/>
        </w:rPr>
      </w:pPr>
    </w:p>
    <w:p w14:paraId="2FEE51DF" w14:textId="77777777" w:rsidR="00EE1943" w:rsidRPr="00EE08D7" w:rsidRDefault="00EE1943" w:rsidP="00EE1943">
      <w:pPr>
        <w:pStyle w:val="VEOHRCHeading1"/>
        <w:spacing w:before="0" w:after="240"/>
        <w:rPr>
          <w:rFonts w:ascii="Times New Roman" w:hAnsi="Times New Roman"/>
        </w:rPr>
      </w:pPr>
      <w:r w:rsidRPr="00EE08D7">
        <w:rPr>
          <w:rFonts w:ascii="Times New Roman" w:hAnsi="Times New Roman"/>
        </w:rPr>
        <w:t>D. Relevant sections from the Equal Opportunity Act</w:t>
      </w:r>
    </w:p>
    <w:p w14:paraId="64C7A8A2" w14:textId="77777777" w:rsidR="00EE1943" w:rsidRPr="00EE08D7" w:rsidRDefault="00EE1943" w:rsidP="00C20A46">
      <w:pPr>
        <w:autoSpaceDE w:val="0"/>
        <w:autoSpaceDN w:val="0"/>
        <w:adjustRightInd w:val="0"/>
        <w:spacing w:before="60" w:after="60"/>
        <w:rPr>
          <w:rFonts w:ascii="Arial" w:hAnsi="Arial" w:cs="Arial"/>
          <w:szCs w:val="24"/>
          <w:lang w:eastAsia="en-AU"/>
        </w:rPr>
      </w:pPr>
      <w:r w:rsidRPr="00EE08D7">
        <w:rPr>
          <w:rFonts w:ascii="Arial" w:hAnsi="Arial" w:cs="Arial"/>
          <w:szCs w:val="24"/>
          <w:lang w:eastAsia="en-AU"/>
        </w:rPr>
        <w:t>Section 159 of the Equal Opportunity Act provides that:</w:t>
      </w:r>
    </w:p>
    <w:p w14:paraId="5A9D39C6" w14:textId="2EC4BDF0" w:rsidR="00EE1943" w:rsidRPr="00EE08D7" w:rsidRDefault="00EE1943" w:rsidP="00C20A46">
      <w:pPr>
        <w:autoSpaceDE w:val="0"/>
        <w:autoSpaceDN w:val="0"/>
        <w:adjustRightInd w:val="0"/>
        <w:spacing w:before="60" w:after="60"/>
        <w:ind w:left="720"/>
        <w:rPr>
          <w:rFonts w:ascii="Arial" w:hAnsi="Arial" w:cs="Arial"/>
          <w:i/>
          <w:iCs/>
          <w:szCs w:val="24"/>
          <w:lang w:eastAsia="en-AU"/>
        </w:rPr>
      </w:pPr>
      <w:r w:rsidRPr="00EE08D7">
        <w:rPr>
          <w:rFonts w:ascii="Arial" w:hAnsi="Arial" w:cs="Arial"/>
          <w:i/>
          <w:iCs/>
          <w:szCs w:val="24"/>
          <w:lang w:eastAsia="en-AU"/>
        </w:rPr>
        <w:t>The Commission may, with the leave of the court or a tribunal, intervene in and be joined as a party to proceedings in the court or tribunal that involve issues of equality of opportunity, discrimination, sexual harassment or victimisation</w:t>
      </w:r>
      <w:r w:rsidR="00722D09">
        <w:rPr>
          <w:rFonts w:ascii="Arial" w:hAnsi="Arial" w:cs="Arial"/>
          <w:i/>
          <w:iCs/>
          <w:szCs w:val="24"/>
          <w:lang w:eastAsia="en-AU"/>
        </w:rPr>
        <w:t xml:space="preserve"> or vilification</w:t>
      </w:r>
      <w:r w:rsidRPr="00EE08D7">
        <w:rPr>
          <w:rFonts w:ascii="Arial" w:hAnsi="Arial" w:cs="Arial"/>
          <w:i/>
          <w:iCs/>
          <w:szCs w:val="24"/>
          <w:lang w:eastAsia="en-AU"/>
        </w:rPr>
        <w:t>.</w:t>
      </w:r>
    </w:p>
    <w:p w14:paraId="5CBE427C" w14:textId="77777777" w:rsidR="00C20A46" w:rsidRDefault="00C20A46" w:rsidP="00C20A46">
      <w:pPr>
        <w:autoSpaceDE w:val="0"/>
        <w:autoSpaceDN w:val="0"/>
        <w:adjustRightInd w:val="0"/>
        <w:spacing w:before="60" w:after="60"/>
        <w:rPr>
          <w:rFonts w:ascii="Arial" w:hAnsi="Arial" w:cs="Arial"/>
          <w:szCs w:val="24"/>
          <w:lang w:eastAsia="en-AU"/>
        </w:rPr>
      </w:pPr>
    </w:p>
    <w:p w14:paraId="0A097BEC" w14:textId="77777777" w:rsidR="00EE1943" w:rsidRPr="00EE08D7" w:rsidRDefault="00EE1943" w:rsidP="00C20A46">
      <w:pPr>
        <w:autoSpaceDE w:val="0"/>
        <w:autoSpaceDN w:val="0"/>
        <w:adjustRightInd w:val="0"/>
        <w:spacing w:before="60" w:after="60"/>
        <w:rPr>
          <w:rFonts w:ascii="Arial" w:hAnsi="Arial" w:cs="Arial"/>
          <w:szCs w:val="24"/>
          <w:lang w:eastAsia="en-AU"/>
        </w:rPr>
      </w:pPr>
      <w:r w:rsidRPr="00EE08D7">
        <w:rPr>
          <w:rFonts w:ascii="Arial" w:hAnsi="Arial" w:cs="Arial"/>
          <w:szCs w:val="24"/>
          <w:lang w:eastAsia="en-AU"/>
        </w:rPr>
        <w:t>Section 160 of the Equal Opportunity Act provides that:</w:t>
      </w:r>
    </w:p>
    <w:p w14:paraId="28E3BD4A" w14:textId="77777777" w:rsidR="00EE1943" w:rsidRPr="00EE08D7" w:rsidRDefault="00EE1943" w:rsidP="00C20A46">
      <w:pPr>
        <w:autoSpaceDE w:val="0"/>
        <w:autoSpaceDN w:val="0"/>
        <w:adjustRightInd w:val="0"/>
        <w:spacing w:before="60" w:after="60"/>
        <w:ind w:left="720"/>
        <w:rPr>
          <w:rFonts w:ascii="Arial" w:hAnsi="Arial" w:cs="Arial"/>
          <w:i/>
          <w:iCs/>
          <w:szCs w:val="24"/>
          <w:lang w:eastAsia="en-AU"/>
        </w:rPr>
      </w:pPr>
      <w:r w:rsidRPr="00EE08D7">
        <w:rPr>
          <w:rFonts w:ascii="Arial" w:hAnsi="Arial" w:cs="Arial"/>
          <w:i/>
          <w:iCs/>
          <w:szCs w:val="24"/>
          <w:lang w:eastAsia="en-AU"/>
        </w:rPr>
        <w:t>The Commission may, with the leave of the court or tribunal, assist a court or tribunal, as amicus curiae, in the following proceedings:</w:t>
      </w:r>
    </w:p>
    <w:p w14:paraId="43E18E55" w14:textId="77777777" w:rsidR="00EE1943" w:rsidRDefault="00EE1943" w:rsidP="00C20A46">
      <w:pPr>
        <w:numPr>
          <w:ilvl w:val="0"/>
          <w:numId w:val="23"/>
        </w:numPr>
        <w:autoSpaceDE w:val="0"/>
        <w:autoSpaceDN w:val="0"/>
        <w:adjustRightInd w:val="0"/>
        <w:spacing w:before="60" w:after="60"/>
        <w:rPr>
          <w:rFonts w:ascii="Arial" w:hAnsi="Arial" w:cs="Arial"/>
          <w:i/>
          <w:iCs/>
          <w:szCs w:val="24"/>
          <w:lang w:eastAsia="en-AU"/>
        </w:rPr>
      </w:pPr>
      <w:r w:rsidRPr="00EE08D7">
        <w:rPr>
          <w:rFonts w:ascii="Arial" w:hAnsi="Arial" w:cs="Arial"/>
          <w:i/>
          <w:iCs/>
          <w:szCs w:val="24"/>
          <w:lang w:eastAsia="en-AU"/>
        </w:rPr>
        <w:t xml:space="preserve">Proceedings in which the Commission considers that the orders sought, or likely to be sought, may significantly affect the right to protection against discrimination </w:t>
      </w:r>
      <w:r w:rsidR="00722D09">
        <w:rPr>
          <w:rFonts w:ascii="Arial" w:hAnsi="Arial" w:cs="Arial"/>
          <w:i/>
          <w:iCs/>
          <w:szCs w:val="24"/>
          <w:lang w:eastAsia="en-AU"/>
        </w:rPr>
        <w:t xml:space="preserve">or vilification </w:t>
      </w:r>
      <w:r w:rsidRPr="00EE08D7">
        <w:rPr>
          <w:rFonts w:ascii="Arial" w:hAnsi="Arial" w:cs="Arial"/>
          <w:i/>
          <w:iCs/>
          <w:szCs w:val="24"/>
          <w:lang w:eastAsia="en-AU"/>
        </w:rPr>
        <w:t>of persons who are not parties to the proceedings;</w:t>
      </w:r>
    </w:p>
    <w:p w14:paraId="3F1E3389" w14:textId="77777777" w:rsidR="00EE1943" w:rsidRPr="00EE08D7" w:rsidRDefault="00EE1943" w:rsidP="00C20A46">
      <w:pPr>
        <w:numPr>
          <w:ilvl w:val="0"/>
          <w:numId w:val="23"/>
        </w:numPr>
        <w:autoSpaceDE w:val="0"/>
        <w:autoSpaceDN w:val="0"/>
        <w:adjustRightInd w:val="0"/>
        <w:spacing w:before="60" w:after="60"/>
        <w:rPr>
          <w:rFonts w:ascii="Arial" w:hAnsi="Arial" w:cs="Arial"/>
          <w:i/>
          <w:iCs/>
          <w:szCs w:val="24"/>
          <w:lang w:eastAsia="en-AU"/>
        </w:rPr>
      </w:pPr>
      <w:r w:rsidRPr="00EE08D7">
        <w:rPr>
          <w:rFonts w:ascii="Arial" w:hAnsi="Arial" w:cs="Arial"/>
          <w:i/>
          <w:iCs/>
          <w:szCs w:val="24"/>
          <w:lang w:eastAsia="en-AU"/>
        </w:rPr>
        <w:t>Proceedings that, in the opinion of the Commission, have significant implications for the administration of this Act;</w:t>
      </w:r>
    </w:p>
    <w:p w14:paraId="04ABF4C0" w14:textId="77777777" w:rsidR="00EE1943" w:rsidRPr="00EE08D7" w:rsidRDefault="00EE1943" w:rsidP="00C20A46">
      <w:pPr>
        <w:numPr>
          <w:ilvl w:val="0"/>
          <w:numId w:val="23"/>
        </w:numPr>
        <w:autoSpaceDE w:val="0"/>
        <w:autoSpaceDN w:val="0"/>
        <w:adjustRightInd w:val="0"/>
        <w:spacing w:before="60" w:after="60"/>
        <w:rPr>
          <w:rFonts w:ascii="Arial" w:hAnsi="Arial" w:cs="Arial"/>
          <w:i/>
          <w:iCs/>
          <w:szCs w:val="24"/>
          <w:lang w:eastAsia="en-AU"/>
        </w:rPr>
      </w:pPr>
      <w:r w:rsidRPr="00EE08D7">
        <w:rPr>
          <w:rFonts w:ascii="Arial" w:hAnsi="Arial" w:cs="Arial"/>
          <w:i/>
          <w:iCs/>
          <w:szCs w:val="24"/>
          <w:lang w:eastAsia="en-AU"/>
        </w:rPr>
        <w:t>Proceedings where the Commission is satisfied that it would be in the public interest for the Commission to assist the court or tribunal as amicus curiae.</w:t>
      </w:r>
    </w:p>
    <w:p w14:paraId="53D92564" w14:textId="77777777" w:rsidR="00EE1943" w:rsidRPr="00EE08D7" w:rsidRDefault="00EE1943" w:rsidP="00EE1943">
      <w:pPr>
        <w:autoSpaceDE w:val="0"/>
        <w:autoSpaceDN w:val="0"/>
        <w:adjustRightInd w:val="0"/>
        <w:rPr>
          <w:rFonts w:ascii="Arial" w:hAnsi="Arial" w:cs="Arial"/>
          <w:i/>
          <w:iCs/>
          <w:szCs w:val="24"/>
          <w:lang w:eastAsia="en-AU"/>
        </w:rPr>
      </w:pPr>
    </w:p>
    <w:p w14:paraId="4C7C5DA5" w14:textId="77777777" w:rsidR="00EE1943" w:rsidRPr="00EE08D7" w:rsidRDefault="00EE1943" w:rsidP="00EE1943">
      <w:pPr>
        <w:pStyle w:val="VEOHRCHeading1"/>
        <w:spacing w:before="0" w:after="240"/>
        <w:rPr>
          <w:rFonts w:ascii="Times New Roman" w:hAnsi="Times New Roman"/>
        </w:rPr>
      </w:pPr>
      <w:r w:rsidRPr="00EE08D7">
        <w:rPr>
          <w:rFonts w:ascii="Times New Roman" w:hAnsi="Times New Roman"/>
        </w:rPr>
        <w:t>E. Review of the Guidelines</w:t>
      </w:r>
    </w:p>
    <w:p w14:paraId="5A21677E" w14:textId="77777777" w:rsidR="00EE1943" w:rsidRDefault="00EE1943" w:rsidP="00EE1943">
      <w:pPr>
        <w:autoSpaceDE w:val="0"/>
        <w:autoSpaceDN w:val="0"/>
        <w:adjustRightInd w:val="0"/>
        <w:rPr>
          <w:rFonts w:ascii="Arial" w:hAnsi="Arial" w:cs="Arial"/>
          <w:szCs w:val="24"/>
          <w:lang w:eastAsia="en-AU"/>
        </w:rPr>
      </w:pPr>
      <w:r>
        <w:rPr>
          <w:rFonts w:ascii="Arial" w:hAnsi="Arial" w:cs="Arial"/>
          <w:szCs w:val="24"/>
          <w:lang w:eastAsia="en-AU"/>
        </w:rPr>
        <w:t>These guidelines will be subject to regular review. We invite</w:t>
      </w:r>
      <w:r w:rsidR="00EE08D7">
        <w:rPr>
          <w:rFonts w:ascii="Arial" w:hAnsi="Arial" w:cs="Arial"/>
          <w:szCs w:val="24"/>
          <w:lang w:eastAsia="en-AU"/>
        </w:rPr>
        <w:t xml:space="preserve"> </w:t>
      </w:r>
      <w:r>
        <w:rPr>
          <w:rFonts w:ascii="Arial" w:hAnsi="Arial" w:cs="Arial"/>
          <w:szCs w:val="24"/>
          <w:lang w:eastAsia="en-AU"/>
        </w:rPr>
        <w:t>your feedback about these guidelines and the use of our functions more generally.</w:t>
      </w:r>
    </w:p>
    <w:p w14:paraId="4E8C43D5" w14:textId="77777777" w:rsidR="00EE08D7" w:rsidRDefault="00EE08D7" w:rsidP="00EE1943">
      <w:pPr>
        <w:autoSpaceDE w:val="0"/>
        <w:autoSpaceDN w:val="0"/>
        <w:adjustRightInd w:val="0"/>
        <w:rPr>
          <w:rFonts w:ascii="Arial" w:hAnsi="Arial" w:cs="Arial"/>
          <w:szCs w:val="24"/>
          <w:lang w:eastAsia="en-AU"/>
        </w:rPr>
      </w:pPr>
    </w:p>
    <w:p w14:paraId="76133444" w14:textId="3796DFDD" w:rsidR="00EE1943" w:rsidRDefault="00EE1943" w:rsidP="00EE1943">
      <w:pPr>
        <w:autoSpaceDE w:val="0"/>
        <w:autoSpaceDN w:val="0"/>
        <w:adjustRightInd w:val="0"/>
        <w:rPr>
          <w:rFonts w:ascii="Arial" w:hAnsi="Arial" w:cs="Arial"/>
          <w:szCs w:val="24"/>
          <w:lang w:eastAsia="en-AU"/>
        </w:rPr>
      </w:pPr>
      <w:r>
        <w:rPr>
          <w:rFonts w:ascii="Arial" w:hAnsi="Arial" w:cs="Arial"/>
          <w:b/>
          <w:bCs/>
          <w:szCs w:val="24"/>
          <w:lang w:eastAsia="en-AU"/>
        </w:rPr>
        <w:t xml:space="preserve">Contact: </w:t>
      </w:r>
      <w:r w:rsidR="000165CB">
        <w:rPr>
          <w:rFonts w:ascii="Arial" w:hAnsi="Arial" w:cs="Arial"/>
          <w:szCs w:val="24"/>
          <w:lang w:eastAsia="en-AU"/>
        </w:rPr>
        <w:t>Head of Legal</w:t>
      </w:r>
      <w:r>
        <w:rPr>
          <w:rFonts w:ascii="Arial" w:hAnsi="Arial" w:cs="Arial"/>
          <w:szCs w:val="24"/>
          <w:lang w:eastAsia="en-AU"/>
        </w:rPr>
        <w:t xml:space="preserve"> </w:t>
      </w:r>
    </w:p>
    <w:p w14:paraId="12BDD3D3" w14:textId="77777777" w:rsidR="00021EA7" w:rsidRPr="00C20A46" w:rsidRDefault="00EE1943" w:rsidP="00C20A46">
      <w:pPr>
        <w:autoSpaceDE w:val="0"/>
        <w:autoSpaceDN w:val="0"/>
        <w:adjustRightInd w:val="0"/>
        <w:rPr>
          <w:rFonts w:ascii="Arial" w:hAnsi="Arial" w:cs="Arial"/>
          <w:szCs w:val="24"/>
          <w:lang w:eastAsia="en-AU"/>
        </w:rPr>
      </w:pPr>
      <w:r>
        <w:rPr>
          <w:rFonts w:ascii="Arial" w:hAnsi="Arial" w:cs="Arial"/>
          <w:b/>
          <w:bCs/>
          <w:szCs w:val="24"/>
          <w:lang w:eastAsia="en-AU"/>
        </w:rPr>
        <w:t xml:space="preserve">Email: </w:t>
      </w:r>
      <w:r>
        <w:rPr>
          <w:rFonts w:ascii="Arial" w:hAnsi="Arial" w:cs="Arial"/>
          <w:szCs w:val="24"/>
          <w:lang w:eastAsia="en-AU"/>
        </w:rPr>
        <w:t>legal@veohrc.vic.gov.au</w:t>
      </w:r>
    </w:p>
    <w:sectPr w:rsidR="00021EA7" w:rsidRPr="00C20A46" w:rsidSect="004B37B1">
      <w:headerReference w:type="even" r:id="rId13"/>
      <w:headerReference w:type="default" r:id="rId14"/>
      <w:footerReference w:type="default" r:id="rId15"/>
      <w:headerReference w:type="first" r:id="rId16"/>
      <w:pgSz w:w="11906" w:h="16838" w:code="9"/>
      <w:pgMar w:top="1418" w:right="1418"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BD817" w14:textId="77777777" w:rsidR="00DE5045" w:rsidRDefault="00DE5045">
      <w:r>
        <w:separator/>
      </w:r>
    </w:p>
  </w:endnote>
  <w:endnote w:type="continuationSeparator" w:id="0">
    <w:p w14:paraId="03C03B5C" w14:textId="77777777" w:rsidR="00DE5045" w:rsidRDefault="00DE50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627D" w14:textId="77777777" w:rsidR="00C20A46" w:rsidRDefault="00C20A46">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2206A6">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2206A6">
      <w:rPr>
        <w:b/>
        <w:bCs/>
        <w:noProof/>
      </w:rPr>
      <w:t>5</w:t>
    </w:r>
    <w:r>
      <w:rPr>
        <w:b/>
        <w:bCs/>
        <w:szCs w:val="24"/>
      </w:rPr>
      <w:fldChar w:fldCharType="end"/>
    </w:r>
  </w:p>
  <w:p w14:paraId="53581061" w14:textId="045E8056" w:rsidR="00C20A46" w:rsidRDefault="00C20A46">
    <w:pPr>
      <w:pStyle w:val="Footer"/>
    </w:pPr>
    <w:r>
      <w:rPr>
        <w:rFonts w:ascii="Arial" w:hAnsi="Arial" w:cs="Arial"/>
        <w:sz w:val="20"/>
        <w:lang w:eastAsia="en-AU"/>
      </w:rPr>
      <w:t xml:space="preserve">The </w:t>
    </w:r>
    <w:r>
      <w:rPr>
        <w:rFonts w:ascii="Arial" w:hAnsi="Arial" w:cs="Arial"/>
        <w:i/>
        <w:iCs/>
        <w:sz w:val="20"/>
        <w:lang w:eastAsia="en-AU"/>
      </w:rPr>
      <w:t xml:space="preserve">Equal Opportunity Act 2010 </w:t>
    </w:r>
    <w:r>
      <w:rPr>
        <w:rFonts w:ascii="Arial" w:hAnsi="Arial" w:cs="Arial"/>
        <w:sz w:val="20"/>
        <w:lang w:eastAsia="en-AU"/>
      </w:rPr>
      <w:t>intervention and amicus curiae functions</w:t>
    </w:r>
    <w:r w:rsidR="00CF7481">
      <w:rPr>
        <w:rFonts w:ascii="Arial" w:hAnsi="Arial" w:cs="Arial"/>
        <w:sz w:val="20"/>
        <w:lang w:eastAsia="en-AU"/>
      </w:rPr>
      <w:t xml:space="preserve"> – this document was last revised on </w:t>
    </w:r>
    <w:r w:rsidR="00A4146A">
      <w:rPr>
        <w:rFonts w:ascii="Arial" w:hAnsi="Arial" w:cs="Arial"/>
        <w:sz w:val="20"/>
        <w:lang w:eastAsia="en-AU"/>
      </w:rPr>
      <w:t>15 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22A1D" w14:textId="77777777" w:rsidR="00DE5045" w:rsidRDefault="00DE5045">
      <w:r>
        <w:separator/>
      </w:r>
    </w:p>
  </w:footnote>
  <w:footnote w:type="continuationSeparator" w:id="0">
    <w:p w14:paraId="463DDD25" w14:textId="77777777" w:rsidR="00DE5045" w:rsidRDefault="00DE5045">
      <w:r>
        <w:continuationSeparator/>
      </w:r>
    </w:p>
  </w:footnote>
  <w:footnote w:id="1">
    <w:p w14:paraId="7EBF1462" w14:textId="77777777" w:rsidR="007258C3" w:rsidRPr="00E505A4" w:rsidRDefault="007258C3" w:rsidP="007258C3">
      <w:pPr>
        <w:pStyle w:val="FootnoteText"/>
        <w:rPr>
          <w:rFonts w:ascii="Arial" w:hAnsi="Arial" w:cs="Arial"/>
        </w:rPr>
      </w:pPr>
      <w:r w:rsidRPr="00E505A4">
        <w:rPr>
          <w:rStyle w:val="FootnoteReference"/>
          <w:rFonts w:ascii="Arial" w:hAnsi="Arial" w:cs="Arial"/>
        </w:rPr>
        <w:footnoteRef/>
      </w:r>
      <w:r w:rsidRPr="00E505A4">
        <w:rPr>
          <w:rFonts w:ascii="Arial" w:hAnsi="Arial" w:cs="Arial"/>
        </w:rPr>
        <w:t xml:space="preserve"> Subsection 73(1) of the </w:t>
      </w:r>
      <w:r w:rsidRPr="00E505A4">
        <w:rPr>
          <w:rFonts w:ascii="Arial" w:hAnsi="Arial" w:cs="Arial"/>
          <w:i/>
        </w:rPr>
        <w:t>Victorian Civil and Administrative Tribunal Act 1998</w:t>
      </w:r>
      <w:r w:rsidRPr="00E505A4">
        <w:rPr>
          <w:rFonts w:ascii="Arial" w:hAnsi="Arial" w:cs="Arial"/>
        </w:rPr>
        <w:t xml:space="preserve"> (Vic) provides the Attorney-General with a right to intervene whilst section 110 specifies that the Attorney-General may have costs orders made against him. Section 427 of the </w:t>
      </w:r>
      <w:r w:rsidRPr="00E505A4">
        <w:rPr>
          <w:rFonts w:ascii="Arial" w:hAnsi="Arial" w:cs="Arial"/>
          <w:i/>
        </w:rPr>
        <w:t>Co-operatives Act 1996</w:t>
      </w:r>
      <w:r w:rsidRPr="00E505A4">
        <w:rPr>
          <w:rFonts w:ascii="Arial" w:hAnsi="Arial" w:cs="Arial"/>
        </w:rPr>
        <w:t xml:space="preserve"> (Vic) provides the Registrar with a statutory right to intervene and specifies that it “has all the rights, duties </w:t>
      </w:r>
      <w:r w:rsidRPr="00E505A4">
        <w:rPr>
          <w:rFonts w:ascii="Arial" w:hAnsi="Arial" w:cs="Arial"/>
          <w:i/>
        </w:rPr>
        <w:t>and</w:t>
      </w:r>
      <w:r w:rsidRPr="00E505A4">
        <w:rPr>
          <w:rFonts w:ascii="Arial" w:hAnsi="Arial" w:cs="Arial"/>
        </w:rPr>
        <w:t xml:space="preserve"> </w:t>
      </w:r>
      <w:r w:rsidRPr="00E505A4">
        <w:rPr>
          <w:rFonts w:ascii="Arial" w:hAnsi="Arial" w:cs="Arial"/>
          <w:i/>
        </w:rPr>
        <w:t>liabilities</w:t>
      </w:r>
      <w:r w:rsidRPr="00E505A4">
        <w:rPr>
          <w:rFonts w:ascii="Arial" w:hAnsi="Arial" w:cs="Arial"/>
        </w:rPr>
        <w:t>” of other parties to the proceedings (emphasis added).</w:t>
      </w:r>
    </w:p>
  </w:footnote>
  <w:footnote w:id="2">
    <w:p w14:paraId="037DE5CC" w14:textId="77777777" w:rsidR="007258C3" w:rsidRPr="007258C3" w:rsidRDefault="007258C3">
      <w:pPr>
        <w:pStyle w:val="FootnoteText"/>
        <w:rPr>
          <w:rFonts w:ascii="Arial" w:hAnsi="Arial" w:cs="Arial"/>
        </w:rPr>
      </w:pPr>
      <w:r w:rsidRPr="007258C3">
        <w:rPr>
          <w:rStyle w:val="FootnoteReference"/>
          <w:rFonts w:ascii="Arial" w:hAnsi="Arial" w:cs="Arial"/>
        </w:rPr>
        <w:footnoteRef/>
      </w:r>
      <w:r w:rsidRPr="007258C3">
        <w:rPr>
          <w:rFonts w:ascii="Arial" w:hAnsi="Arial" w:cs="Arial"/>
        </w:rPr>
        <w:t xml:space="preserve"> </w:t>
      </w:r>
      <w:r w:rsidRPr="007258C3">
        <w:rPr>
          <w:rFonts w:ascii="Arial" w:hAnsi="Arial" w:cs="Arial"/>
          <w:i/>
        </w:rPr>
        <w:t>Equal Opportunity Act 2010</w:t>
      </w:r>
      <w:r w:rsidRPr="007258C3">
        <w:rPr>
          <w:rFonts w:ascii="Arial" w:hAnsi="Arial" w:cs="Arial"/>
        </w:rPr>
        <w:t xml:space="preserve"> (Vic), s 159.</w:t>
      </w:r>
    </w:p>
  </w:footnote>
  <w:footnote w:id="3">
    <w:p w14:paraId="0FE56FB2" w14:textId="77777777" w:rsidR="007258C3" w:rsidRDefault="007258C3">
      <w:pPr>
        <w:pStyle w:val="FootnoteText"/>
      </w:pPr>
      <w:r w:rsidRPr="007258C3">
        <w:rPr>
          <w:rStyle w:val="FootnoteReference"/>
          <w:rFonts w:ascii="Arial" w:hAnsi="Arial" w:cs="Arial"/>
        </w:rPr>
        <w:footnoteRef/>
      </w:r>
      <w:r w:rsidRPr="007258C3">
        <w:rPr>
          <w:rFonts w:ascii="Arial" w:hAnsi="Arial" w:cs="Arial"/>
        </w:rPr>
        <w:t xml:space="preserve"> </w:t>
      </w:r>
      <w:r w:rsidRPr="007258C3">
        <w:rPr>
          <w:rFonts w:ascii="Arial" w:hAnsi="Arial" w:cs="Arial"/>
          <w:i/>
        </w:rPr>
        <w:t>Equal Opportunity Act 2010</w:t>
      </w:r>
      <w:r w:rsidRPr="007258C3">
        <w:rPr>
          <w:rFonts w:ascii="Arial" w:hAnsi="Arial" w:cs="Arial"/>
        </w:rPr>
        <w:t xml:space="preserve"> (Vic), s 160.</w:t>
      </w:r>
    </w:p>
  </w:footnote>
  <w:footnote w:id="4">
    <w:p w14:paraId="6FFAB60F" w14:textId="77777777" w:rsidR="007A63CE" w:rsidRPr="00A7441A" w:rsidRDefault="007A63CE" w:rsidP="007A63CE">
      <w:pPr>
        <w:pStyle w:val="FootnoteText"/>
      </w:pPr>
      <w:r w:rsidRPr="00A7441A">
        <w:rPr>
          <w:rStyle w:val="FootnoteReference"/>
        </w:rPr>
        <w:footnoteRef/>
      </w:r>
      <w:r w:rsidRPr="00A7441A">
        <w:t xml:space="preserve"> </w:t>
      </w:r>
      <w:r w:rsidRPr="00A7441A">
        <w:rPr>
          <w:rFonts w:ascii="Arial" w:hAnsi="Arial" w:cs="Arial"/>
          <w:i/>
          <w:lang w:eastAsia="en-AU"/>
        </w:rPr>
        <w:t xml:space="preserve">Levy v </w:t>
      </w:r>
      <w:smartTag w:uri="urn:schemas-microsoft-com:office:smarttags" w:element="State">
        <w:smartTag w:uri="urn:schemas-microsoft-com:office:smarttags" w:element="country-region">
          <w:smartTag w:uri="urn:schemas-microsoft-com:office:smarttags" w:element="PlaceType">
            <w:smartTag w:uri="urn:schemas-microsoft-com:office:smarttags" w:element="PlaceName">
              <w:r w:rsidRPr="00A7441A">
                <w:rPr>
                  <w:rFonts w:ascii="Arial" w:hAnsi="Arial" w:cs="Arial"/>
                  <w:i/>
                  <w:lang w:eastAsia="en-AU"/>
                </w:rPr>
                <w:t>Victoria</w:t>
              </w:r>
            </w:smartTag>
          </w:smartTag>
        </w:smartTag>
      </w:smartTag>
      <w:r w:rsidRPr="00A7441A">
        <w:rPr>
          <w:rFonts w:ascii="Arial" w:hAnsi="Arial" w:cs="Arial"/>
          <w:lang w:eastAsia="en-AU"/>
        </w:rPr>
        <w:t xml:space="preserve"> (1997) 189 CLR 579 per Brennan CJ at 603.</w:t>
      </w:r>
    </w:p>
  </w:footnote>
  <w:footnote w:id="5">
    <w:p w14:paraId="002758B6" w14:textId="77777777" w:rsidR="00B24323" w:rsidRDefault="00B24323" w:rsidP="00B24323">
      <w:pPr>
        <w:pStyle w:val="FootnoteText"/>
      </w:pPr>
      <w:r w:rsidRPr="00FF37A5">
        <w:rPr>
          <w:rStyle w:val="FootnoteReference"/>
          <w:rFonts w:ascii="Arial" w:hAnsi="Arial" w:cs="Arial"/>
        </w:rPr>
        <w:footnoteRef/>
      </w:r>
      <w:r w:rsidRPr="00FF37A5">
        <w:rPr>
          <w:rFonts w:ascii="Arial" w:hAnsi="Arial" w:cs="Arial"/>
        </w:rPr>
        <w:t xml:space="preserve"> The Commission is mindful that in promoting </w:t>
      </w:r>
      <w:r w:rsidR="007258C3">
        <w:rPr>
          <w:rFonts w:ascii="Arial" w:hAnsi="Arial" w:cs="Arial"/>
        </w:rPr>
        <w:t xml:space="preserve">the objectives of the Equal Opportunity Act </w:t>
      </w:r>
      <w:r w:rsidRPr="00FF37A5">
        <w:rPr>
          <w:rFonts w:ascii="Arial" w:hAnsi="Arial" w:cs="Arial"/>
        </w:rPr>
        <w:t xml:space="preserve">it cannot make intervention decisions without considering the impact of its activities on the individuals involved. This will require a consideration of the social, cultural and political context of the intervention and any other impact that intervention may have on the parties.  </w:t>
      </w:r>
      <w:r>
        <w:t xml:space="preserve"> </w:t>
      </w:r>
      <w:r w:rsidRPr="007F3C51">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2FC5" w14:textId="7BCD453E" w:rsidR="007E49CF" w:rsidRDefault="007E49CF">
    <w:pPr>
      <w:pStyle w:val="Header"/>
    </w:pPr>
    <w:r>
      <w:rPr>
        <w:noProof/>
      </w:rPr>
      <mc:AlternateContent>
        <mc:Choice Requires="wps">
          <w:drawing>
            <wp:anchor distT="0" distB="0" distL="0" distR="0" simplePos="0" relativeHeight="251659264" behindDoc="0" locked="0" layoutInCell="1" allowOverlap="1" wp14:anchorId="0CE66159" wp14:editId="2C2B94B4">
              <wp:simplePos x="635" y="635"/>
              <wp:positionH relativeFrom="page">
                <wp:align>center</wp:align>
              </wp:positionH>
              <wp:positionV relativeFrom="page">
                <wp:align>top</wp:align>
              </wp:positionV>
              <wp:extent cx="990600" cy="400050"/>
              <wp:effectExtent l="0" t="0" r="0" b="0"/>
              <wp:wrapNone/>
              <wp:docPr id="748554575"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0600" cy="400050"/>
                      </a:xfrm>
                      <a:prstGeom prst="rect">
                        <a:avLst/>
                      </a:prstGeom>
                      <a:noFill/>
                      <a:ln>
                        <a:noFill/>
                      </a:ln>
                    </wps:spPr>
                    <wps:txbx>
                      <w:txbxContent>
                        <w:p w14:paraId="348CA95F" w14:textId="134A8060" w:rsidR="007E49CF" w:rsidRPr="007E49CF" w:rsidRDefault="007E49CF" w:rsidP="007E49CF">
                          <w:pPr>
                            <w:rPr>
                              <w:rFonts w:ascii="Arial Black" w:eastAsia="Arial Black" w:hAnsi="Arial Black" w:cs="Arial Black"/>
                              <w:noProof/>
                              <w:color w:val="FF0000"/>
                              <w:sz w:val="22"/>
                              <w:szCs w:val="22"/>
                            </w:rPr>
                          </w:pPr>
                          <w:r w:rsidRPr="007E49CF">
                            <w:rPr>
                              <w:rFonts w:ascii="Arial Black" w:eastAsia="Arial Black" w:hAnsi="Arial Black" w:cs="Arial Black"/>
                              <w:noProof/>
                              <w:color w:val="FF0000"/>
                              <w:sz w:val="22"/>
                              <w:szCs w:val="22"/>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E66159" id="_x0000_t202" coordsize="21600,21600" o:spt="202" path="m,l,21600r21600,l21600,xe">
              <v:stroke joinstyle="miter"/>
              <v:path gradientshapeok="t" o:connecttype="rect"/>
            </v:shapetype>
            <v:shape id="Text Box 2" o:spid="_x0000_s1026" type="#_x0000_t202" alt="PROTECTED" style="position:absolute;margin-left:0;margin-top:0;width:78pt;height:3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" filled="f" stroked="f">
              <v:fill o:detectmouseclick="t"/>
              <v:textbox style="mso-fit-shape-to-text:t" inset="0,15pt,0,0">
                <w:txbxContent>
                  <w:p w14:paraId="348CA95F" w14:textId="134A8060" w:rsidR="007E49CF" w:rsidRPr="007E49CF" w:rsidRDefault="007E49CF" w:rsidP="007E49CF">
                    <w:pPr>
                      <w:rPr>
                        <w:rFonts w:ascii="Arial Black" w:eastAsia="Arial Black" w:hAnsi="Arial Black" w:cs="Arial Black"/>
                        <w:noProof/>
                        <w:color w:val="FF0000"/>
                        <w:sz w:val="22"/>
                        <w:szCs w:val="22"/>
                      </w:rPr>
                    </w:pPr>
                    <w:r w:rsidRPr="007E49CF">
                      <w:rPr>
                        <w:rFonts w:ascii="Arial Black" w:eastAsia="Arial Black" w:hAnsi="Arial Black" w:cs="Arial Black"/>
                        <w:noProof/>
                        <w:color w:val="FF0000"/>
                        <w:sz w:val="22"/>
                        <w:szCs w:val="22"/>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EF4D2" w14:textId="2726F1F2" w:rsidR="007E49CF" w:rsidRDefault="007E49CF">
    <w:pPr>
      <w:pStyle w:val="Header"/>
    </w:pPr>
    <w:r>
      <w:rPr>
        <w:noProof/>
      </w:rPr>
      <mc:AlternateContent>
        <mc:Choice Requires="wps">
          <w:drawing>
            <wp:anchor distT="0" distB="0" distL="0" distR="0" simplePos="0" relativeHeight="251660288" behindDoc="0" locked="0" layoutInCell="1" allowOverlap="1" wp14:anchorId="1C1C96E6" wp14:editId="0F9E837A">
              <wp:simplePos x="635" y="635"/>
              <wp:positionH relativeFrom="page">
                <wp:align>center</wp:align>
              </wp:positionH>
              <wp:positionV relativeFrom="page">
                <wp:align>top</wp:align>
              </wp:positionV>
              <wp:extent cx="990600" cy="400050"/>
              <wp:effectExtent l="0" t="0" r="0" b="0"/>
              <wp:wrapNone/>
              <wp:docPr id="1707926296"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0600" cy="400050"/>
                      </a:xfrm>
                      <a:prstGeom prst="rect">
                        <a:avLst/>
                      </a:prstGeom>
                      <a:noFill/>
                      <a:ln>
                        <a:noFill/>
                      </a:ln>
                    </wps:spPr>
                    <wps:txbx>
                      <w:txbxContent>
                        <w:p w14:paraId="273753A3" w14:textId="10906C7C" w:rsidR="007E49CF" w:rsidRPr="007E49CF" w:rsidRDefault="007E49CF" w:rsidP="007E49CF">
                          <w:pPr>
                            <w:rPr>
                              <w:rFonts w:ascii="Arial Black" w:eastAsia="Arial Black" w:hAnsi="Arial Black" w:cs="Arial Black"/>
                              <w:noProof/>
                              <w:color w:val="FF0000"/>
                              <w:sz w:val="22"/>
                              <w:szCs w:val="22"/>
                            </w:rPr>
                          </w:pPr>
                          <w:r w:rsidRPr="007E49CF">
                            <w:rPr>
                              <w:rFonts w:ascii="Arial Black" w:eastAsia="Arial Black" w:hAnsi="Arial Black" w:cs="Arial Black"/>
                              <w:noProof/>
                              <w:color w:val="FF0000"/>
                              <w:sz w:val="22"/>
                              <w:szCs w:val="22"/>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1C96E6" id="_x0000_t202" coordsize="21600,21600" o:spt="202" path="m,l,21600r21600,l21600,xe">
              <v:stroke joinstyle="miter"/>
              <v:path gradientshapeok="t" o:connecttype="rect"/>
            </v:shapetype>
            <v:shape id="Text Box 3" o:spid="_x0000_s1027" type="#_x0000_t202" alt="PROTECTED" style="position:absolute;margin-left:0;margin-top:0;width:78pt;height:3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" filled="f" stroked="f">
              <v:fill o:detectmouseclick="t"/>
              <v:textbox style="mso-fit-shape-to-text:t" inset="0,15pt,0,0">
                <w:txbxContent>
                  <w:p w14:paraId="273753A3" w14:textId="10906C7C" w:rsidR="007E49CF" w:rsidRPr="007E49CF" w:rsidRDefault="007E49CF" w:rsidP="007E49CF">
                    <w:pPr>
                      <w:rPr>
                        <w:rFonts w:ascii="Arial Black" w:eastAsia="Arial Black" w:hAnsi="Arial Black" w:cs="Arial Black"/>
                        <w:noProof/>
                        <w:color w:val="FF0000"/>
                        <w:sz w:val="22"/>
                        <w:szCs w:val="22"/>
                      </w:rPr>
                    </w:pPr>
                    <w:r w:rsidRPr="007E49CF">
                      <w:rPr>
                        <w:rFonts w:ascii="Arial Black" w:eastAsia="Arial Black" w:hAnsi="Arial Black" w:cs="Arial Black"/>
                        <w:noProof/>
                        <w:color w:val="FF0000"/>
                        <w:sz w:val="22"/>
                        <w:szCs w:val="22"/>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6D5C" w14:textId="5F720B9D" w:rsidR="007E49CF" w:rsidRDefault="007E49CF">
    <w:pPr>
      <w:pStyle w:val="Header"/>
    </w:pPr>
    <w:r>
      <w:rPr>
        <w:noProof/>
      </w:rPr>
      <mc:AlternateContent>
        <mc:Choice Requires="wps">
          <w:drawing>
            <wp:anchor distT="0" distB="0" distL="0" distR="0" simplePos="0" relativeHeight="251658240" behindDoc="0" locked="0" layoutInCell="1" allowOverlap="1" wp14:anchorId="35346C17" wp14:editId="389DD121">
              <wp:simplePos x="635" y="635"/>
              <wp:positionH relativeFrom="page">
                <wp:align>center</wp:align>
              </wp:positionH>
              <wp:positionV relativeFrom="page">
                <wp:align>top</wp:align>
              </wp:positionV>
              <wp:extent cx="990600" cy="400050"/>
              <wp:effectExtent l="0" t="0" r="0" b="0"/>
              <wp:wrapNone/>
              <wp:docPr id="1536593631"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90600" cy="400050"/>
                      </a:xfrm>
                      <a:prstGeom prst="rect">
                        <a:avLst/>
                      </a:prstGeom>
                      <a:noFill/>
                      <a:ln>
                        <a:noFill/>
                      </a:ln>
                    </wps:spPr>
                    <wps:txbx>
                      <w:txbxContent>
                        <w:p w14:paraId="6A512C06" w14:textId="4712D5B8" w:rsidR="007E49CF" w:rsidRPr="007E49CF" w:rsidRDefault="007E49CF" w:rsidP="007E49CF">
                          <w:pPr>
                            <w:rPr>
                              <w:rFonts w:ascii="Arial Black" w:eastAsia="Arial Black" w:hAnsi="Arial Black" w:cs="Arial Black"/>
                              <w:noProof/>
                              <w:color w:val="FF0000"/>
                              <w:sz w:val="22"/>
                              <w:szCs w:val="22"/>
                            </w:rPr>
                          </w:pPr>
                          <w:r w:rsidRPr="007E49CF">
                            <w:rPr>
                              <w:rFonts w:ascii="Arial Black" w:eastAsia="Arial Black" w:hAnsi="Arial Black" w:cs="Arial Black"/>
                              <w:noProof/>
                              <w:color w:val="FF0000"/>
                              <w:sz w:val="22"/>
                              <w:szCs w:val="22"/>
                            </w:rPr>
                            <w:t>PROTECTED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346C17" id="_x0000_t202" coordsize="21600,21600" o:spt="202" path="m,l,21600r21600,l21600,xe">
              <v:stroke joinstyle="miter"/>
              <v:path gradientshapeok="t" o:connecttype="rect"/>
            </v:shapetype>
            <v:shape id="Text Box 1" o:spid="_x0000_s1028" type="#_x0000_t202" alt="PROTECTED" style="position:absolute;margin-left:0;margin-top:0;width:78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" filled="f" stroked="f">
              <v:fill o:detectmouseclick="t"/>
              <v:textbox style="mso-fit-shape-to-text:t" inset="0,15pt,0,0">
                <w:txbxContent>
                  <w:p w14:paraId="6A512C06" w14:textId="4712D5B8" w:rsidR="007E49CF" w:rsidRPr="007E49CF" w:rsidRDefault="007E49CF" w:rsidP="007E49CF">
                    <w:pPr>
                      <w:rPr>
                        <w:rFonts w:ascii="Arial Black" w:eastAsia="Arial Black" w:hAnsi="Arial Black" w:cs="Arial Black"/>
                        <w:noProof/>
                        <w:color w:val="FF0000"/>
                        <w:sz w:val="22"/>
                        <w:szCs w:val="22"/>
                      </w:rPr>
                    </w:pPr>
                    <w:r w:rsidRPr="007E49CF">
                      <w:rPr>
                        <w:rFonts w:ascii="Arial Black" w:eastAsia="Arial Black" w:hAnsi="Arial Black" w:cs="Arial Black"/>
                        <w:noProof/>
                        <w:color w:val="FF0000"/>
                        <w:sz w:val="22"/>
                        <w:szCs w:val="22"/>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DBC533A"/>
    <w:lvl w:ilvl="0">
      <w:numFmt w:val="bullet"/>
      <w:pStyle w:val="VEOHRCListBullet2ndlevel"/>
      <w:lvlText w:val="-"/>
      <w:lvlJc w:val="left"/>
      <w:pPr>
        <w:tabs>
          <w:tab w:val="num" w:pos="720"/>
        </w:tabs>
        <w:ind w:left="720" w:hanging="360"/>
      </w:pPr>
      <w:rPr>
        <w:rFonts w:ascii="Arial" w:eastAsia="Times New Roman" w:hAnsi="Arial" w:cs="Arial" w:hint="default"/>
      </w:rPr>
    </w:lvl>
  </w:abstractNum>
  <w:abstractNum w:abstractNumId="1" w15:restartNumberingAfterBreak="0">
    <w:nsid w:val="FFFFFFFE"/>
    <w:multiLevelType w:val="singleLevel"/>
    <w:tmpl w:val="E41A56D0"/>
    <w:lvl w:ilvl="0">
      <w:numFmt w:val="bullet"/>
      <w:lvlText w:val="*"/>
      <w:lvlJc w:val="left"/>
    </w:lvl>
  </w:abstractNum>
  <w:abstractNum w:abstractNumId="2" w15:restartNumberingAfterBreak="0">
    <w:nsid w:val="039C2AF2"/>
    <w:multiLevelType w:val="multilevel"/>
    <w:tmpl w:val="6F6AC8A4"/>
    <w:styleLink w:val="Style1"/>
    <w:lvl w:ilvl="0">
      <w:start w:val="1"/>
      <w:numFmt w:val="decimal"/>
      <w:lvlText w:val="%1."/>
      <w:lvlJc w:val="left"/>
      <w:pPr>
        <w:tabs>
          <w:tab w:val="num" w:pos="1724"/>
        </w:tabs>
        <w:ind w:left="1364" w:hanging="360"/>
      </w:pPr>
      <w:rPr>
        <w:rFonts w:hint="default"/>
      </w:rPr>
    </w:lvl>
    <w:lvl w:ilvl="1">
      <w:start w:val="1"/>
      <w:numFmt w:val="decimal"/>
      <w:lvlText w:val="%1.%2."/>
      <w:lvlJc w:val="left"/>
      <w:pPr>
        <w:tabs>
          <w:tab w:val="num" w:pos="2444"/>
        </w:tabs>
        <w:ind w:left="1796" w:hanging="432"/>
      </w:pPr>
      <w:rPr>
        <w:rFonts w:hint="default"/>
      </w:rPr>
    </w:lvl>
    <w:lvl w:ilvl="2">
      <w:start w:val="1"/>
      <w:numFmt w:val="decimal"/>
      <w:lvlText w:val="%1.%2.%3."/>
      <w:lvlJc w:val="left"/>
      <w:pPr>
        <w:tabs>
          <w:tab w:val="num" w:pos="3164"/>
        </w:tabs>
        <w:ind w:left="2228" w:hanging="504"/>
      </w:pPr>
      <w:rPr>
        <w:rFonts w:hint="default"/>
      </w:rPr>
    </w:lvl>
    <w:lvl w:ilvl="3">
      <w:start w:val="1"/>
      <w:numFmt w:val="decimal"/>
      <w:lvlText w:val="%1.%2.%3.%4."/>
      <w:lvlJc w:val="left"/>
      <w:pPr>
        <w:tabs>
          <w:tab w:val="num" w:pos="3884"/>
        </w:tabs>
        <w:ind w:left="2732" w:hanging="648"/>
      </w:pPr>
      <w:rPr>
        <w:rFonts w:hint="default"/>
      </w:rPr>
    </w:lvl>
    <w:lvl w:ilvl="4">
      <w:start w:val="1"/>
      <w:numFmt w:val="decimal"/>
      <w:lvlText w:val="%1.%2.%3.%4.%5."/>
      <w:lvlJc w:val="left"/>
      <w:pPr>
        <w:tabs>
          <w:tab w:val="num" w:pos="4604"/>
        </w:tabs>
        <w:ind w:left="3236" w:hanging="792"/>
      </w:pPr>
      <w:rPr>
        <w:rFonts w:hint="default"/>
      </w:rPr>
    </w:lvl>
    <w:lvl w:ilvl="5">
      <w:start w:val="1"/>
      <w:numFmt w:val="decimal"/>
      <w:lvlText w:val="%1.%2.%3.%4.%5.%6."/>
      <w:lvlJc w:val="left"/>
      <w:pPr>
        <w:tabs>
          <w:tab w:val="num" w:pos="5324"/>
        </w:tabs>
        <w:ind w:left="3740" w:hanging="936"/>
      </w:pPr>
      <w:rPr>
        <w:rFonts w:hint="default"/>
      </w:rPr>
    </w:lvl>
    <w:lvl w:ilvl="6">
      <w:start w:val="1"/>
      <w:numFmt w:val="decimal"/>
      <w:lvlText w:val="%1.%2.%3.%4.%5.%6.%7."/>
      <w:lvlJc w:val="left"/>
      <w:pPr>
        <w:tabs>
          <w:tab w:val="num" w:pos="6404"/>
        </w:tabs>
        <w:ind w:left="4244" w:hanging="1080"/>
      </w:pPr>
      <w:rPr>
        <w:rFonts w:hint="default"/>
      </w:rPr>
    </w:lvl>
    <w:lvl w:ilvl="7">
      <w:start w:val="1"/>
      <w:numFmt w:val="decimal"/>
      <w:lvlText w:val="%1.%2.%3.%4.%5.%6.%7.%8."/>
      <w:lvlJc w:val="left"/>
      <w:pPr>
        <w:tabs>
          <w:tab w:val="num" w:pos="7124"/>
        </w:tabs>
        <w:ind w:left="4748" w:hanging="1224"/>
      </w:pPr>
      <w:rPr>
        <w:rFonts w:hint="default"/>
      </w:rPr>
    </w:lvl>
    <w:lvl w:ilvl="8">
      <w:start w:val="1"/>
      <w:numFmt w:val="decimal"/>
      <w:lvlText w:val="%1.%2.%3.%4.%5.%6.%7.%8.%9."/>
      <w:lvlJc w:val="left"/>
      <w:pPr>
        <w:tabs>
          <w:tab w:val="num" w:pos="7844"/>
        </w:tabs>
        <w:ind w:left="5324" w:hanging="1440"/>
      </w:pPr>
      <w:rPr>
        <w:rFonts w:hint="default"/>
      </w:rPr>
    </w:lvl>
  </w:abstractNum>
  <w:abstractNum w:abstractNumId="3" w15:restartNumberingAfterBreak="0">
    <w:nsid w:val="0A2135CF"/>
    <w:multiLevelType w:val="multilevel"/>
    <w:tmpl w:val="6F6AC8A4"/>
    <w:lvl w:ilvl="0">
      <w:start w:val="1"/>
      <w:numFmt w:val="decimal"/>
      <w:pStyle w:val="VEOHRCNumberedlist"/>
      <w:lvlText w:val="%1."/>
      <w:lvlJc w:val="left"/>
      <w:pPr>
        <w:tabs>
          <w:tab w:val="num" w:pos="1724"/>
        </w:tabs>
        <w:ind w:left="1364" w:hanging="360"/>
      </w:pPr>
      <w:rPr>
        <w:rFonts w:hint="default"/>
      </w:rPr>
    </w:lvl>
    <w:lvl w:ilvl="1">
      <w:start w:val="1"/>
      <w:numFmt w:val="decimal"/>
      <w:lvlText w:val="%1.%2."/>
      <w:lvlJc w:val="left"/>
      <w:pPr>
        <w:tabs>
          <w:tab w:val="num" w:pos="2444"/>
        </w:tabs>
        <w:ind w:left="1796" w:hanging="432"/>
      </w:pPr>
      <w:rPr>
        <w:rFonts w:hint="default"/>
      </w:rPr>
    </w:lvl>
    <w:lvl w:ilvl="2">
      <w:start w:val="1"/>
      <w:numFmt w:val="decimal"/>
      <w:lvlText w:val="%1.%2.%3."/>
      <w:lvlJc w:val="left"/>
      <w:pPr>
        <w:tabs>
          <w:tab w:val="num" w:pos="3164"/>
        </w:tabs>
        <w:ind w:left="2228" w:hanging="504"/>
      </w:pPr>
      <w:rPr>
        <w:rFonts w:hint="default"/>
      </w:rPr>
    </w:lvl>
    <w:lvl w:ilvl="3">
      <w:start w:val="1"/>
      <w:numFmt w:val="decimal"/>
      <w:lvlText w:val="%1.%2.%3.%4."/>
      <w:lvlJc w:val="left"/>
      <w:pPr>
        <w:tabs>
          <w:tab w:val="num" w:pos="3884"/>
        </w:tabs>
        <w:ind w:left="2732" w:hanging="648"/>
      </w:pPr>
      <w:rPr>
        <w:rFonts w:hint="default"/>
      </w:rPr>
    </w:lvl>
    <w:lvl w:ilvl="4">
      <w:start w:val="1"/>
      <w:numFmt w:val="decimal"/>
      <w:lvlText w:val="%1.%2.%3.%4.%5."/>
      <w:lvlJc w:val="left"/>
      <w:pPr>
        <w:tabs>
          <w:tab w:val="num" w:pos="4604"/>
        </w:tabs>
        <w:ind w:left="3236" w:hanging="792"/>
      </w:pPr>
      <w:rPr>
        <w:rFonts w:hint="default"/>
      </w:rPr>
    </w:lvl>
    <w:lvl w:ilvl="5">
      <w:start w:val="1"/>
      <w:numFmt w:val="decimal"/>
      <w:lvlText w:val="%1.%2.%3.%4.%5.%6."/>
      <w:lvlJc w:val="left"/>
      <w:pPr>
        <w:tabs>
          <w:tab w:val="num" w:pos="5324"/>
        </w:tabs>
        <w:ind w:left="3740" w:hanging="936"/>
      </w:pPr>
      <w:rPr>
        <w:rFonts w:hint="default"/>
      </w:rPr>
    </w:lvl>
    <w:lvl w:ilvl="6">
      <w:start w:val="1"/>
      <w:numFmt w:val="decimal"/>
      <w:lvlText w:val="%1.%2.%3.%4.%5.%6.%7."/>
      <w:lvlJc w:val="left"/>
      <w:pPr>
        <w:tabs>
          <w:tab w:val="num" w:pos="6404"/>
        </w:tabs>
        <w:ind w:left="4244" w:hanging="1080"/>
      </w:pPr>
      <w:rPr>
        <w:rFonts w:hint="default"/>
      </w:rPr>
    </w:lvl>
    <w:lvl w:ilvl="7">
      <w:start w:val="1"/>
      <w:numFmt w:val="decimal"/>
      <w:lvlText w:val="%1.%2.%3.%4.%5.%6.%7.%8."/>
      <w:lvlJc w:val="left"/>
      <w:pPr>
        <w:tabs>
          <w:tab w:val="num" w:pos="7124"/>
        </w:tabs>
        <w:ind w:left="4748" w:hanging="1224"/>
      </w:pPr>
      <w:rPr>
        <w:rFonts w:hint="default"/>
      </w:rPr>
    </w:lvl>
    <w:lvl w:ilvl="8">
      <w:start w:val="1"/>
      <w:numFmt w:val="decimal"/>
      <w:lvlText w:val="%1.%2.%3.%4.%5.%6.%7.%8.%9."/>
      <w:lvlJc w:val="left"/>
      <w:pPr>
        <w:tabs>
          <w:tab w:val="num" w:pos="7844"/>
        </w:tabs>
        <w:ind w:left="5324" w:hanging="1440"/>
      </w:pPr>
      <w:rPr>
        <w:rFonts w:hint="default"/>
      </w:rPr>
    </w:lvl>
  </w:abstractNum>
  <w:abstractNum w:abstractNumId="4" w15:restartNumberingAfterBreak="0">
    <w:nsid w:val="0BCB189F"/>
    <w:multiLevelType w:val="hybridMultilevel"/>
    <w:tmpl w:val="6B007C5C"/>
    <w:lvl w:ilvl="0" w:tplc="31B08C5E">
      <w:start w:val="160"/>
      <w:numFmt w:val="bullet"/>
      <w:lvlText w:val="-"/>
      <w:lvlJc w:val="left"/>
      <w:pPr>
        <w:ind w:left="1440" w:hanging="360"/>
      </w:pPr>
      <w:rPr>
        <w:rFonts w:ascii="Arial" w:eastAsia="Times New Roman" w:hAnsi="Arial" w:cs="Aria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8341C6"/>
    <w:multiLevelType w:val="hybridMultilevel"/>
    <w:tmpl w:val="936637D2"/>
    <w:lvl w:ilvl="0" w:tplc="4AAE72C0">
      <w:start w:val="1"/>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DB87B8D"/>
    <w:multiLevelType w:val="hybridMultilevel"/>
    <w:tmpl w:val="2B060044"/>
    <w:lvl w:ilvl="0" w:tplc="0C090005">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792B0F"/>
    <w:multiLevelType w:val="hybridMultilevel"/>
    <w:tmpl w:val="D7B6EC1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8744CB1"/>
    <w:multiLevelType w:val="hybridMultilevel"/>
    <w:tmpl w:val="BE287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CE2416"/>
    <w:multiLevelType w:val="hybridMultilevel"/>
    <w:tmpl w:val="10A279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CE92894"/>
    <w:multiLevelType w:val="hybridMultilevel"/>
    <w:tmpl w:val="ADF4F62C"/>
    <w:lvl w:ilvl="0" w:tplc="0C090017">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E3D1375"/>
    <w:multiLevelType w:val="hybridMultilevel"/>
    <w:tmpl w:val="30D4C086"/>
    <w:lvl w:ilvl="0" w:tplc="0C09000F">
      <w:start w:val="1"/>
      <w:numFmt w:val="bullet"/>
      <w:pStyle w:val="VEOHRCListBullet"/>
      <w:lvlText w:val=""/>
      <w:lvlJc w:val="left"/>
      <w:pPr>
        <w:tabs>
          <w:tab w:val="num" w:pos="360"/>
        </w:tabs>
        <w:ind w:left="360" w:hanging="360"/>
      </w:pPr>
      <w:rPr>
        <w:rFonts w:ascii="Symbol" w:hAnsi="Symbol" w:hint="default"/>
      </w:rPr>
    </w:lvl>
    <w:lvl w:ilvl="1" w:tplc="04090007">
      <w:start w:val="1"/>
      <w:numFmt w:val="bullet"/>
      <w:lvlText w:val="o"/>
      <w:lvlJc w:val="left"/>
      <w:pPr>
        <w:tabs>
          <w:tab w:val="num" w:pos="1440"/>
        </w:tabs>
        <w:ind w:left="1440" w:hanging="360"/>
      </w:pPr>
      <w:rPr>
        <w:rFonts w:ascii="Courier New" w:hAnsi="Courier New" w:cs="Courier New" w:hint="default"/>
      </w:rPr>
    </w:lvl>
    <w:lvl w:ilvl="2" w:tplc="AC1C3652"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716136C"/>
    <w:multiLevelType w:val="hybridMultilevel"/>
    <w:tmpl w:val="A19E916C"/>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77843BA"/>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3A894D50"/>
    <w:multiLevelType w:val="hybridMultilevel"/>
    <w:tmpl w:val="6BB0B5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C10A9A"/>
    <w:multiLevelType w:val="hybridMultilevel"/>
    <w:tmpl w:val="D584A5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D047DB7"/>
    <w:multiLevelType w:val="hybridMultilevel"/>
    <w:tmpl w:val="B5DEB98C"/>
    <w:lvl w:ilvl="0" w:tplc="0C090005">
      <w:start w:val="1"/>
      <w:numFmt w:val="bullet"/>
      <w:lvlText w:val=""/>
      <w:lvlJc w:val="left"/>
      <w:pPr>
        <w:tabs>
          <w:tab w:val="num" w:pos="720"/>
        </w:tabs>
        <w:ind w:left="720" w:hanging="360"/>
      </w:pPr>
      <w:rPr>
        <w:rFonts w:ascii="Wingdings" w:hAnsi="Wingdings" w:hint="default"/>
      </w:rPr>
    </w:lvl>
    <w:lvl w:ilvl="1" w:tplc="0C090001">
      <w:start w:val="1"/>
      <w:numFmt w:val="bullet"/>
      <w:lvlText w:val=""/>
      <w:lvlJc w:val="left"/>
      <w:pPr>
        <w:tabs>
          <w:tab w:val="num" w:pos="1440"/>
        </w:tabs>
        <w:ind w:left="1440" w:hanging="360"/>
      </w:pPr>
      <w:rPr>
        <w:rFonts w:ascii="Symbol" w:hAnsi="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A60B2"/>
    <w:multiLevelType w:val="hybridMultilevel"/>
    <w:tmpl w:val="36329756"/>
    <w:lvl w:ilvl="0" w:tplc="0C090005">
      <w:start w:val="1"/>
      <w:numFmt w:val="bullet"/>
      <w:lvlText w:val=""/>
      <w:lvlJc w:val="left"/>
      <w:pPr>
        <w:tabs>
          <w:tab w:val="num" w:pos="720"/>
        </w:tabs>
        <w:ind w:left="720" w:hanging="360"/>
      </w:pPr>
      <w:rPr>
        <w:rFonts w:ascii="Wingdings" w:hAnsi="Wingdings"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B00DA0"/>
    <w:multiLevelType w:val="hybridMultilevel"/>
    <w:tmpl w:val="DDD4931E"/>
    <w:lvl w:ilvl="0" w:tplc="7E16A770">
      <w:start w:val="1"/>
      <w:numFmt w:val="lowerLetter"/>
      <w:lvlText w:val="(%1)"/>
      <w:lvlJc w:val="left"/>
      <w:pPr>
        <w:tabs>
          <w:tab w:val="num" w:pos="1440"/>
        </w:tabs>
        <w:ind w:left="1440" w:hanging="360"/>
      </w:pPr>
      <w:rPr>
        <w:rFonts w:hint="default"/>
      </w:rPr>
    </w:lvl>
    <w:lvl w:ilvl="1" w:tplc="0C090019" w:tentative="1">
      <w:start w:val="1"/>
      <w:numFmt w:val="lowerLetter"/>
      <w:lvlText w:val="%2."/>
      <w:lvlJc w:val="left"/>
      <w:pPr>
        <w:tabs>
          <w:tab w:val="num" w:pos="2160"/>
        </w:tabs>
        <w:ind w:left="2160" w:hanging="360"/>
      </w:pPr>
    </w:lvl>
    <w:lvl w:ilvl="2" w:tplc="0C09001B" w:tentative="1">
      <w:start w:val="1"/>
      <w:numFmt w:val="lowerRoman"/>
      <w:lvlText w:val="%3."/>
      <w:lvlJc w:val="right"/>
      <w:pPr>
        <w:tabs>
          <w:tab w:val="num" w:pos="2880"/>
        </w:tabs>
        <w:ind w:left="2880" w:hanging="180"/>
      </w:pPr>
    </w:lvl>
    <w:lvl w:ilvl="3" w:tplc="0C09000F" w:tentative="1">
      <w:start w:val="1"/>
      <w:numFmt w:val="decimal"/>
      <w:lvlText w:val="%4."/>
      <w:lvlJc w:val="left"/>
      <w:pPr>
        <w:tabs>
          <w:tab w:val="num" w:pos="3600"/>
        </w:tabs>
        <w:ind w:left="3600" w:hanging="360"/>
      </w:pPr>
    </w:lvl>
    <w:lvl w:ilvl="4" w:tplc="0C090019" w:tentative="1">
      <w:start w:val="1"/>
      <w:numFmt w:val="lowerLetter"/>
      <w:lvlText w:val="%5."/>
      <w:lvlJc w:val="left"/>
      <w:pPr>
        <w:tabs>
          <w:tab w:val="num" w:pos="4320"/>
        </w:tabs>
        <w:ind w:left="4320" w:hanging="360"/>
      </w:pPr>
    </w:lvl>
    <w:lvl w:ilvl="5" w:tplc="0C09001B" w:tentative="1">
      <w:start w:val="1"/>
      <w:numFmt w:val="lowerRoman"/>
      <w:lvlText w:val="%6."/>
      <w:lvlJc w:val="right"/>
      <w:pPr>
        <w:tabs>
          <w:tab w:val="num" w:pos="5040"/>
        </w:tabs>
        <w:ind w:left="5040" w:hanging="180"/>
      </w:pPr>
    </w:lvl>
    <w:lvl w:ilvl="6" w:tplc="0C09000F" w:tentative="1">
      <w:start w:val="1"/>
      <w:numFmt w:val="decimal"/>
      <w:lvlText w:val="%7."/>
      <w:lvlJc w:val="left"/>
      <w:pPr>
        <w:tabs>
          <w:tab w:val="num" w:pos="5760"/>
        </w:tabs>
        <w:ind w:left="5760" w:hanging="360"/>
      </w:pPr>
    </w:lvl>
    <w:lvl w:ilvl="7" w:tplc="0C090019" w:tentative="1">
      <w:start w:val="1"/>
      <w:numFmt w:val="lowerLetter"/>
      <w:lvlText w:val="%8."/>
      <w:lvlJc w:val="left"/>
      <w:pPr>
        <w:tabs>
          <w:tab w:val="num" w:pos="6480"/>
        </w:tabs>
        <w:ind w:left="6480" w:hanging="360"/>
      </w:pPr>
    </w:lvl>
    <w:lvl w:ilvl="8" w:tplc="0C09001B" w:tentative="1">
      <w:start w:val="1"/>
      <w:numFmt w:val="lowerRoman"/>
      <w:lvlText w:val="%9."/>
      <w:lvlJc w:val="right"/>
      <w:pPr>
        <w:tabs>
          <w:tab w:val="num" w:pos="7200"/>
        </w:tabs>
        <w:ind w:left="7200" w:hanging="180"/>
      </w:pPr>
    </w:lvl>
  </w:abstractNum>
  <w:abstractNum w:abstractNumId="19" w15:restartNumberingAfterBreak="0">
    <w:nsid w:val="4861717F"/>
    <w:multiLevelType w:val="hybridMultilevel"/>
    <w:tmpl w:val="8A1CF0AA"/>
    <w:lvl w:ilvl="0" w:tplc="D2EAE09E">
      <w:start w:val="1"/>
      <w:numFmt w:val="lowerLetter"/>
      <w:lvlText w:val="%1."/>
      <w:lvlJc w:val="left"/>
      <w:pPr>
        <w:ind w:left="720" w:hanging="360"/>
      </w:pPr>
      <w:rPr>
        <w:rFonts w:hint="default"/>
        <w:b w:val="0"/>
        <w:i w:val="0"/>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CE0A22"/>
    <w:multiLevelType w:val="hybridMultilevel"/>
    <w:tmpl w:val="C3CC1C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ED254B"/>
    <w:multiLevelType w:val="hybridMultilevel"/>
    <w:tmpl w:val="8A1CF0AA"/>
    <w:lvl w:ilvl="0" w:tplc="D2EAE09E">
      <w:start w:val="1"/>
      <w:numFmt w:val="lowerLetter"/>
      <w:lvlText w:val="%1."/>
      <w:lvlJc w:val="left"/>
      <w:pPr>
        <w:ind w:left="720" w:hanging="360"/>
      </w:pPr>
      <w:rPr>
        <w:rFonts w:hint="default"/>
        <w:b w:val="0"/>
        <w:i w:val="0"/>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3E39AE"/>
    <w:multiLevelType w:val="hybridMultilevel"/>
    <w:tmpl w:val="C456D2AA"/>
    <w:lvl w:ilvl="0" w:tplc="50A433DC">
      <w:start w:val="1"/>
      <w:numFmt w:val="lowerLetter"/>
      <w:lvlText w:val="(%1)"/>
      <w:lvlJc w:val="left"/>
      <w:pPr>
        <w:ind w:left="720" w:hanging="360"/>
      </w:pPr>
      <w:rPr>
        <w:rFonts w:ascii="Arial" w:eastAsia="Times New Roman" w:hAnsi="Arial" w:cs="Aria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AD2582"/>
    <w:multiLevelType w:val="hybridMultilevel"/>
    <w:tmpl w:val="BEB0E348"/>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9082DC3"/>
    <w:multiLevelType w:val="hybridMultilevel"/>
    <w:tmpl w:val="246A3E58"/>
    <w:lvl w:ilvl="0" w:tplc="0FDE00AC">
      <w:start w:val="20"/>
      <w:numFmt w:val="bullet"/>
      <w:lvlText w:val="-"/>
      <w:lvlJc w:val="left"/>
      <w:pPr>
        <w:ind w:left="720" w:hanging="360"/>
      </w:pPr>
      <w:rPr>
        <w:rFonts w:ascii="Arial" w:eastAsia="Times New Roman"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AB0E6C"/>
    <w:multiLevelType w:val="hybridMultilevel"/>
    <w:tmpl w:val="37923388"/>
    <w:lvl w:ilvl="0" w:tplc="D2EAE09E">
      <w:start w:val="1"/>
      <w:numFmt w:val="lowerLetter"/>
      <w:lvlText w:val="%1."/>
      <w:lvlJc w:val="left"/>
      <w:pPr>
        <w:tabs>
          <w:tab w:val="num" w:pos="717"/>
        </w:tabs>
        <w:ind w:left="717" w:hanging="35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707512AD"/>
    <w:multiLevelType w:val="hybridMultilevel"/>
    <w:tmpl w:val="37923388"/>
    <w:lvl w:ilvl="0" w:tplc="D2EAE09E">
      <w:start w:val="1"/>
      <w:numFmt w:val="lowerLetter"/>
      <w:lvlText w:val="%1."/>
      <w:lvlJc w:val="left"/>
      <w:pPr>
        <w:tabs>
          <w:tab w:val="num" w:pos="717"/>
        </w:tabs>
        <w:ind w:left="717" w:hanging="357"/>
      </w:pPr>
      <w:rPr>
        <w:rFonts w:hint="default"/>
        <w:b w:val="0"/>
        <w:i w:val="0"/>
        <w:sz w:val="24"/>
        <w:szCs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70E372BF"/>
    <w:multiLevelType w:val="hybridMultilevel"/>
    <w:tmpl w:val="C924116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59E063A"/>
    <w:multiLevelType w:val="hybridMultilevel"/>
    <w:tmpl w:val="3E3AB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E9147E6"/>
    <w:multiLevelType w:val="hybridMultilevel"/>
    <w:tmpl w:val="8A1CF0AA"/>
    <w:lvl w:ilvl="0" w:tplc="D2EAE09E">
      <w:start w:val="1"/>
      <w:numFmt w:val="lowerLetter"/>
      <w:lvlText w:val="%1."/>
      <w:lvlJc w:val="left"/>
      <w:pPr>
        <w:ind w:left="720" w:hanging="360"/>
      </w:pPr>
      <w:rPr>
        <w:rFonts w:hint="default"/>
        <w:b w:val="0"/>
        <w:i w:val="0"/>
        <w:sz w:val="24"/>
        <w:szCs w:val="24"/>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72056158">
    <w:abstractNumId w:val="13"/>
  </w:num>
  <w:num w:numId="2" w16cid:durableId="1826120858">
    <w:abstractNumId w:val="11"/>
  </w:num>
  <w:num w:numId="3" w16cid:durableId="1008672600">
    <w:abstractNumId w:val="0"/>
  </w:num>
  <w:num w:numId="4" w16cid:durableId="750736732">
    <w:abstractNumId w:val="3"/>
  </w:num>
  <w:num w:numId="5" w16cid:durableId="1997226053">
    <w:abstractNumId w:val="17"/>
  </w:num>
  <w:num w:numId="6" w16cid:durableId="1589117652">
    <w:abstractNumId w:val="16"/>
  </w:num>
  <w:num w:numId="7" w16cid:durableId="493179007">
    <w:abstractNumId w:val="12"/>
  </w:num>
  <w:num w:numId="8" w16cid:durableId="1744251911">
    <w:abstractNumId w:val="23"/>
  </w:num>
  <w:num w:numId="9" w16cid:durableId="1417241113">
    <w:abstractNumId w:val="2"/>
  </w:num>
  <w:num w:numId="10" w16cid:durableId="843205628">
    <w:abstractNumId w:val="26"/>
  </w:num>
  <w:num w:numId="11" w16cid:durableId="1420367620">
    <w:abstractNumId w:val="6"/>
  </w:num>
  <w:num w:numId="12" w16cid:durableId="718631731">
    <w:abstractNumId w:val="20"/>
  </w:num>
  <w:num w:numId="13" w16cid:durableId="1236742093">
    <w:abstractNumId w:val="7"/>
  </w:num>
  <w:num w:numId="14" w16cid:durableId="357390609">
    <w:abstractNumId w:val="9"/>
  </w:num>
  <w:num w:numId="15" w16cid:durableId="958032658">
    <w:abstractNumId w:val="24"/>
  </w:num>
  <w:num w:numId="16" w16cid:durableId="1820459198">
    <w:abstractNumId w:val="27"/>
  </w:num>
  <w:num w:numId="17" w16cid:durableId="456873884">
    <w:abstractNumId w:val="22"/>
  </w:num>
  <w:num w:numId="18" w16cid:durableId="1085224323">
    <w:abstractNumId w:val="28"/>
  </w:num>
  <w:num w:numId="19" w16cid:durableId="638806233">
    <w:abstractNumId w:val="8"/>
  </w:num>
  <w:num w:numId="20" w16cid:durableId="615605743">
    <w:abstractNumId w:val="1"/>
    <w:lvlOverride w:ilvl="0">
      <w:lvl w:ilvl="0">
        <w:numFmt w:val="bullet"/>
        <w:lvlText w:val=""/>
        <w:legacy w:legacy="1" w:legacySpace="0" w:legacyIndent="0"/>
        <w:lvlJc w:val="left"/>
        <w:rPr>
          <w:rFonts w:ascii="Symbol" w:hAnsi="Symbol" w:hint="default"/>
          <w:sz w:val="22"/>
        </w:rPr>
      </w:lvl>
    </w:lvlOverride>
  </w:num>
  <w:num w:numId="21" w16cid:durableId="1197430577">
    <w:abstractNumId w:val="14"/>
  </w:num>
  <w:num w:numId="22" w16cid:durableId="967277178">
    <w:abstractNumId w:val="15"/>
  </w:num>
  <w:num w:numId="23" w16cid:durableId="1647393605">
    <w:abstractNumId w:val="10"/>
  </w:num>
  <w:num w:numId="24" w16cid:durableId="96104594">
    <w:abstractNumId w:val="4"/>
  </w:num>
  <w:num w:numId="25" w16cid:durableId="1735395428">
    <w:abstractNumId w:val="5"/>
  </w:num>
  <w:num w:numId="26" w16cid:durableId="213006532">
    <w:abstractNumId w:val="3"/>
  </w:num>
  <w:num w:numId="27" w16cid:durableId="1941595840">
    <w:abstractNumId w:val="18"/>
  </w:num>
  <w:num w:numId="28" w16cid:durableId="846289372">
    <w:abstractNumId w:val="19"/>
  </w:num>
  <w:num w:numId="29" w16cid:durableId="291401144">
    <w:abstractNumId w:val="21"/>
  </w:num>
  <w:num w:numId="30" w16cid:durableId="195243577">
    <w:abstractNumId w:val="29"/>
  </w:num>
  <w:num w:numId="31" w16cid:durableId="2050911459">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AE5"/>
    <w:rsid w:val="000165CB"/>
    <w:rsid w:val="000176C1"/>
    <w:rsid w:val="00021EA7"/>
    <w:rsid w:val="00031DCE"/>
    <w:rsid w:val="00033AEB"/>
    <w:rsid w:val="00033C9F"/>
    <w:rsid w:val="000401AC"/>
    <w:rsid w:val="00047859"/>
    <w:rsid w:val="00051F51"/>
    <w:rsid w:val="000532C6"/>
    <w:rsid w:val="00057FB4"/>
    <w:rsid w:val="00066378"/>
    <w:rsid w:val="00067074"/>
    <w:rsid w:val="00074BEA"/>
    <w:rsid w:val="00080C2E"/>
    <w:rsid w:val="00097ADD"/>
    <w:rsid w:val="000A0BE5"/>
    <w:rsid w:val="000A331A"/>
    <w:rsid w:val="000A75DD"/>
    <w:rsid w:val="000A7A97"/>
    <w:rsid w:val="000B014B"/>
    <w:rsid w:val="000B6D43"/>
    <w:rsid w:val="000C4473"/>
    <w:rsid w:val="000C79CF"/>
    <w:rsid w:val="000C7F27"/>
    <w:rsid w:val="000D329B"/>
    <w:rsid w:val="000D44AB"/>
    <w:rsid w:val="000D652E"/>
    <w:rsid w:val="000E0A6C"/>
    <w:rsid w:val="000E6F6A"/>
    <w:rsid w:val="000F1432"/>
    <w:rsid w:val="000F23A4"/>
    <w:rsid w:val="001061A5"/>
    <w:rsid w:val="00125D1C"/>
    <w:rsid w:val="001433EF"/>
    <w:rsid w:val="00144E32"/>
    <w:rsid w:val="001508C1"/>
    <w:rsid w:val="00160532"/>
    <w:rsid w:val="0017101F"/>
    <w:rsid w:val="0017444C"/>
    <w:rsid w:val="00180A57"/>
    <w:rsid w:val="0018151C"/>
    <w:rsid w:val="001871E1"/>
    <w:rsid w:val="00191052"/>
    <w:rsid w:val="001A2D46"/>
    <w:rsid w:val="001A4F24"/>
    <w:rsid w:val="001B5E7B"/>
    <w:rsid w:val="001B7E35"/>
    <w:rsid w:val="001D2A29"/>
    <w:rsid w:val="001D4209"/>
    <w:rsid w:val="001D6D80"/>
    <w:rsid w:val="001E05F7"/>
    <w:rsid w:val="001E3E1D"/>
    <w:rsid w:val="001E428B"/>
    <w:rsid w:val="001E4A0C"/>
    <w:rsid w:val="00207AE6"/>
    <w:rsid w:val="00210622"/>
    <w:rsid w:val="00215036"/>
    <w:rsid w:val="002206A6"/>
    <w:rsid w:val="00230BCE"/>
    <w:rsid w:val="00234F2E"/>
    <w:rsid w:val="00240045"/>
    <w:rsid w:val="00242EA3"/>
    <w:rsid w:val="00251053"/>
    <w:rsid w:val="00257BC1"/>
    <w:rsid w:val="00270E04"/>
    <w:rsid w:val="00282BA6"/>
    <w:rsid w:val="002A039D"/>
    <w:rsid w:val="002A1BF4"/>
    <w:rsid w:val="002A5B74"/>
    <w:rsid w:val="002B1015"/>
    <w:rsid w:val="002B43B5"/>
    <w:rsid w:val="002C23BE"/>
    <w:rsid w:val="002C6A02"/>
    <w:rsid w:val="002D0A0B"/>
    <w:rsid w:val="002E5289"/>
    <w:rsid w:val="002F45D6"/>
    <w:rsid w:val="00304224"/>
    <w:rsid w:val="0030730D"/>
    <w:rsid w:val="003224C6"/>
    <w:rsid w:val="00332788"/>
    <w:rsid w:val="00333C96"/>
    <w:rsid w:val="003378FA"/>
    <w:rsid w:val="00340933"/>
    <w:rsid w:val="003423BA"/>
    <w:rsid w:val="0035449C"/>
    <w:rsid w:val="003740A9"/>
    <w:rsid w:val="003759CE"/>
    <w:rsid w:val="00380F4F"/>
    <w:rsid w:val="00387A97"/>
    <w:rsid w:val="0039432E"/>
    <w:rsid w:val="003A2285"/>
    <w:rsid w:val="003B6D41"/>
    <w:rsid w:val="003C4AE5"/>
    <w:rsid w:val="003C4CAD"/>
    <w:rsid w:val="003C77F7"/>
    <w:rsid w:val="003D07EB"/>
    <w:rsid w:val="003D6A4A"/>
    <w:rsid w:val="003E05D2"/>
    <w:rsid w:val="003E30A9"/>
    <w:rsid w:val="003E6904"/>
    <w:rsid w:val="003E6B5D"/>
    <w:rsid w:val="003F4CCA"/>
    <w:rsid w:val="00401A08"/>
    <w:rsid w:val="00407C8B"/>
    <w:rsid w:val="00413527"/>
    <w:rsid w:val="00416552"/>
    <w:rsid w:val="00435349"/>
    <w:rsid w:val="00443345"/>
    <w:rsid w:val="004532F5"/>
    <w:rsid w:val="00463610"/>
    <w:rsid w:val="00465B48"/>
    <w:rsid w:val="00472360"/>
    <w:rsid w:val="004740A4"/>
    <w:rsid w:val="004844B6"/>
    <w:rsid w:val="004A173B"/>
    <w:rsid w:val="004A1CB2"/>
    <w:rsid w:val="004B1788"/>
    <w:rsid w:val="004B37B1"/>
    <w:rsid w:val="004C49BA"/>
    <w:rsid w:val="004D4D02"/>
    <w:rsid w:val="004D5FEB"/>
    <w:rsid w:val="004D78A1"/>
    <w:rsid w:val="00503059"/>
    <w:rsid w:val="005105E5"/>
    <w:rsid w:val="005221EC"/>
    <w:rsid w:val="00524EC7"/>
    <w:rsid w:val="00527B9E"/>
    <w:rsid w:val="00542317"/>
    <w:rsid w:val="005447E7"/>
    <w:rsid w:val="00545A03"/>
    <w:rsid w:val="00554A7F"/>
    <w:rsid w:val="005565EB"/>
    <w:rsid w:val="00563CA1"/>
    <w:rsid w:val="00563D97"/>
    <w:rsid w:val="00565F85"/>
    <w:rsid w:val="005701F0"/>
    <w:rsid w:val="00574C2E"/>
    <w:rsid w:val="0058079F"/>
    <w:rsid w:val="00582A91"/>
    <w:rsid w:val="00597394"/>
    <w:rsid w:val="005A2331"/>
    <w:rsid w:val="005A32DB"/>
    <w:rsid w:val="005B2878"/>
    <w:rsid w:val="005B28AA"/>
    <w:rsid w:val="005B51CD"/>
    <w:rsid w:val="005C170F"/>
    <w:rsid w:val="005D40E8"/>
    <w:rsid w:val="005D566B"/>
    <w:rsid w:val="005F36C1"/>
    <w:rsid w:val="005F4799"/>
    <w:rsid w:val="00606A1B"/>
    <w:rsid w:val="00606C36"/>
    <w:rsid w:val="00620CD0"/>
    <w:rsid w:val="00624123"/>
    <w:rsid w:val="00627E87"/>
    <w:rsid w:val="00636BE6"/>
    <w:rsid w:val="006370B4"/>
    <w:rsid w:val="00643DCB"/>
    <w:rsid w:val="0065286C"/>
    <w:rsid w:val="0066000C"/>
    <w:rsid w:val="00662DC4"/>
    <w:rsid w:val="00663960"/>
    <w:rsid w:val="006651BD"/>
    <w:rsid w:val="00690C3D"/>
    <w:rsid w:val="0069302D"/>
    <w:rsid w:val="006A2DB8"/>
    <w:rsid w:val="006A39DA"/>
    <w:rsid w:val="006A5CAA"/>
    <w:rsid w:val="006B45AD"/>
    <w:rsid w:val="006B5DB8"/>
    <w:rsid w:val="006B7106"/>
    <w:rsid w:val="006D1EFD"/>
    <w:rsid w:val="006F3890"/>
    <w:rsid w:val="006F45EB"/>
    <w:rsid w:val="0071022B"/>
    <w:rsid w:val="00714B71"/>
    <w:rsid w:val="00722D09"/>
    <w:rsid w:val="007258C3"/>
    <w:rsid w:val="0073099B"/>
    <w:rsid w:val="007322B6"/>
    <w:rsid w:val="00734E94"/>
    <w:rsid w:val="00742FE5"/>
    <w:rsid w:val="00761BA1"/>
    <w:rsid w:val="00765C39"/>
    <w:rsid w:val="00766043"/>
    <w:rsid w:val="00766D97"/>
    <w:rsid w:val="00775FA2"/>
    <w:rsid w:val="007779C2"/>
    <w:rsid w:val="00784574"/>
    <w:rsid w:val="00787AE8"/>
    <w:rsid w:val="00790FE2"/>
    <w:rsid w:val="00791588"/>
    <w:rsid w:val="00791859"/>
    <w:rsid w:val="00792E85"/>
    <w:rsid w:val="007A63CE"/>
    <w:rsid w:val="007A7786"/>
    <w:rsid w:val="007B265E"/>
    <w:rsid w:val="007B4CAD"/>
    <w:rsid w:val="007B6E2C"/>
    <w:rsid w:val="007C01C8"/>
    <w:rsid w:val="007C77DD"/>
    <w:rsid w:val="007D16AF"/>
    <w:rsid w:val="007E49CF"/>
    <w:rsid w:val="0080252F"/>
    <w:rsid w:val="00803C29"/>
    <w:rsid w:val="00812184"/>
    <w:rsid w:val="00825C75"/>
    <w:rsid w:val="0083565C"/>
    <w:rsid w:val="008361F1"/>
    <w:rsid w:val="00847922"/>
    <w:rsid w:val="0086208A"/>
    <w:rsid w:val="00886874"/>
    <w:rsid w:val="00891565"/>
    <w:rsid w:val="008A20A6"/>
    <w:rsid w:val="008A709D"/>
    <w:rsid w:val="008B0824"/>
    <w:rsid w:val="008D0F89"/>
    <w:rsid w:val="008E2016"/>
    <w:rsid w:val="008E3937"/>
    <w:rsid w:val="008E45CC"/>
    <w:rsid w:val="008E4708"/>
    <w:rsid w:val="008F0AFA"/>
    <w:rsid w:val="008F0BF7"/>
    <w:rsid w:val="0092029B"/>
    <w:rsid w:val="0092070B"/>
    <w:rsid w:val="00923406"/>
    <w:rsid w:val="0093171D"/>
    <w:rsid w:val="00933778"/>
    <w:rsid w:val="00940390"/>
    <w:rsid w:val="009419C6"/>
    <w:rsid w:val="00945344"/>
    <w:rsid w:val="00950331"/>
    <w:rsid w:val="009600B2"/>
    <w:rsid w:val="00965968"/>
    <w:rsid w:val="00971D12"/>
    <w:rsid w:val="00983CDF"/>
    <w:rsid w:val="009C0874"/>
    <w:rsid w:val="009C7802"/>
    <w:rsid w:val="009E391A"/>
    <w:rsid w:val="009E78A3"/>
    <w:rsid w:val="00A02366"/>
    <w:rsid w:val="00A0537B"/>
    <w:rsid w:val="00A05C8C"/>
    <w:rsid w:val="00A16F87"/>
    <w:rsid w:val="00A23EA5"/>
    <w:rsid w:val="00A27F81"/>
    <w:rsid w:val="00A4146A"/>
    <w:rsid w:val="00A42619"/>
    <w:rsid w:val="00A6286B"/>
    <w:rsid w:val="00A6682F"/>
    <w:rsid w:val="00A84217"/>
    <w:rsid w:val="00A84649"/>
    <w:rsid w:val="00A91922"/>
    <w:rsid w:val="00AA05A0"/>
    <w:rsid w:val="00AA65E1"/>
    <w:rsid w:val="00AA7D1E"/>
    <w:rsid w:val="00AB145C"/>
    <w:rsid w:val="00AB27FA"/>
    <w:rsid w:val="00AB2D07"/>
    <w:rsid w:val="00AB2F7A"/>
    <w:rsid w:val="00AB3E77"/>
    <w:rsid w:val="00AC1466"/>
    <w:rsid w:val="00AC34BD"/>
    <w:rsid w:val="00AD3B25"/>
    <w:rsid w:val="00AD6099"/>
    <w:rsid w:val="00AF029A"/>
    <w:rsid w:val="00AF07B2"/>
    <w:rsid w:val="00B002C8"/>
    <w:rsid w:val="00B01397"/>
    <w:rsid w:val="00B21F1E"/>
    <w:rsid w:val="00B24323"/>
    <w:rsid w:val="00B24A6E"/>
    <w:rsid w:val="00B32DEC"/>
    <w:rsid w:val="00B334BE"/>
    <w:rsid w:val="00B338AD"/>
    <w:rsid w:val="00B43FD8"/>
    <w:rsid w:val="00B568B0"/>
    <w:rsid w:val="00B671D3"/>
    <w:rsid w:val="00B8680A"/>
    <w:rsid w:val="00BB6687"/>
    <w:rsid w:val="00BC0428"/>
    <w:rsid w:val="00BE632C"/>
    <w:rsid w:val="00BE76A9"/>
    <w:rsid w:val="00BF1B25"/>
    <w:rsid w:val="00BF2D26"/>
    <w:rsid w:val="00BF684C"/>
    <w:rsid w:val="00C060AC"/>
    <w:rsid w:val="00C061BF"/>
    <w:rsid w:val="00C068F2"/>
    <w:rsid w:val="00C152EA"/>
    <w:rsid w:val="00C17E45"/>
    <w:rsid w:val="00C20A46"/>
    <w:rsid w:val="00C31866"/>
    <w:rsid w:val="00C40FBA"/>
    <w:rsid w:val="00C500F3"/>
    <w:rsid w:val="00C56AA0"/>
    <w:rsid w:val="00C81750"/>
    <w:rsid w:val="00C906FA"/>
    <w:rsid w:val="00C913DA"/>
    <w:rsid w:val="00C9643D"/>
    <w:rsid w:val="00CA06CB"/>
    <w:rsid w:val="00CA52C2"/>
    <w:rsid w:val="00CA546A"/>
    <w:rsid w:val="00CA65D4"/>
    <w:rsid w:val="00CB52B4"/>
    <w:rsid w:val="00CB594E"/>
    <w:rsid w:val="00CB6558"/>
    <w:rsid w:val="00CB6B4B"/>
    <w:rsid w:val="00CD1BBB"/>
    <w:rsid w:val="00CD1E6E"/>
    <w:rsid w:val="00CD4E0F"/>
    <w:rsid w:val="00CE4398"/>
    <w:rsid w:val="00CE4C86"/>
    <w:rsid w:val="00CF02E5"/>
    <w:rsid w:val="00CF1DAB"/>
    <w:rsid w:val="00CF39F2"/>
    <w:rsid w:val="00CF3EC0"/>
    <w:rsid w:val="00CF7481"/>
    <w:rsid w:val="00D00946"/>
    <w:rsid w:val="00D01740"/>
    <w:rsid w:val="00D03352"/>
    <w:rsid w:val="00D05D60"/>
    <w:rsid w:val="00D106BC"/>
    <w:rsid w:val="00D14214"/>
    <w:rsid w:val="00D204B9"/>
    <w:rsid w:val="00D204FE"/>
    <w:rsid w:val="00D2696A"/>
    <w:rsid w:val="00D415C0"/>
    <w:rsid w:val="00D551CE"/>
    <w:rsid w:val="00D6138E"/>
    <w:rsid w:val="00D62FEA"/>
    <w:rsid w:val="00D702DB"/>
    <w:rsid w:val="00D761E7"/>
    <w:rsid w:val="00D92435"/>
    <w:rsid w:val="00D94CDB"/>
    <w:rsid w:val="00DA2B13"/>
    <w:rsid w:val="00DB31BF"/>
    <w:rsid w:val="00DC23A8"/>
    <w:rsid w:val="00DC49DC"/>
    <w:rsid w:val="00DC6B0A"/>
    <w:rsid w:val="00DD10BE"/>
    <w:rsid w:val="00DD3AC6"/>
    <w:rsid w:val="00DE0BA1"/>
    <w:rsid w:val="00DE2F0A"/>
    <w:rsid w:val="00DE5045"/>
    <w:rsid w:val="00DE6F55"/>
    <w:rsid w:val="00DF3CEC"/>
    <w:rsid w:val="00DF471B"/>
    <w:rsid w:val="00E01AFF"/>
    <w:rsid w:val="00E06156"/>
    <w:rsid w:val="00E06191"/>
    <w:rsid w:val="00E10506"/>
    <w:rsid w:val="00E152C6"/>
    <w:rsid w:val="00E20297"/>
    <w:rsid w:val="00E25B79"/>
    <w:rsid w:val="00E27502"/>
    <w:rsid w:val="00E330CD"/>
    <w:rsid w:val="00E35609"/>
    <w:rsid w:val="00E47D26"/>
    <w:rsid w:val="00E505A4"/>
    <w:rsid w:val="00E61ADE"/>
    <w:rsid w:val="00E67E11"/>
    <w:rsid w:val="00E71065"/>
    <w:rsid w:val="00E82AAD"/>
    <w:rsid w:val="00EB0245"/>
    <w:rsid w:val="00EB0BF3"/>
    <w:rsid w:val="00EB3C98"/>
    <w:rsid w:val="00EC028F"/>
    <w:rsid w:val="00ED192E"/>
    <w:rsid w:val="00ED6E32"/>
    <w:rsid w:val="00ED70EB"/>
    <w:rsid w:val="00EE08D7"/>
    <w:rsid w:val="00EE1943"/>
    <w:rsid w:val="00EE1C05"/>
    <w:rsid w:val="00EE233C"/>
    <w:rsid w:val="00F01F59"/>
    <w:rsid w:val="00F07F8C"/>
    <w:rsid w:val="00F15D3B"/>
    <w:rsid w:val="00F26F8B"/>
    <w:rsid w:val="00F34273"/>
    <w:rsid w:val="00F43E97"/>
    <w:rsid w:val="00F52965"/>
    <w:rsid w:val="00F62E6F"/>
    <w:rsid w:val="00FA46D8"/>
    <w:rsid w:val="00FA7069"/>
    <w:rsid w:val="00FA7B9F"/>
    <w:rsid w:val="00FB0FAE"/>
    <w:rsid w:val="00FB3A13"/>
    <w:rsid w:val="00FB6A79"/>
    <w:rsid w:val="00FB78FC"/>
    <w:rsid w:val="00FC1D2A"/>
    <w:rsid w:val="00FE07CC"/>
    <w:rsid w:val="00FE08C8"/>
    <w:rsid w:val="00FE54D4"/>
    <w:rsid w:val="00FE7A6E"/>
    <w:rsid w:val="00FF362D"/>
    <w:rsid w:val="00FF37A5"/>
    <w:rsid w:val="31E2DAE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hapeDefaults>
    <o:shapedefaults v:ext="edit" spidmax="2050"/>
    <o:shapelayout v:ext="edit">
      <o:idmap v:ext="edit" data="2"/>
    </o:shapelayout>
  </w:shapeDefaults>
  <w:decimalSymbol w:val="."/>
  <w:listSeparator w:val=","/>
  <w14:docId w14:val="4D8485C2"/>
  <w15:chartTrackingRefBased/>
  <w15:docId w15:val="{CDC191FF-DDF2-4A6A-82D0-890F84CA9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3CE"/>
    <w:rPr>
      <w:sz w:val="24"/>
      <w:lang w:eastAsia="en-US"/>
    </w:rPr>
  </w:style>
  <w:style w:type="paragraph" w:styleId="Heading1">
    <w:name w:val="heading 1"/>
    <w:basedOn w:val="Normal"/>
    <w:next w:val="Normal"/>
    <w:link w:val="Heading1Char"/>
    <w:qFormat/>
    <w:rsid w:val="00A84649"/>
    <w:pPr>
      <w:keepNext/>
      <w:outlineLvl w:val="0"/>
    </w:pPr>
  </w:style>
  <w:style w:type="paragraph" w:styleId="Heading2">
    <w:name w:val="heading 2"/>
    <w:basedOn w:val="Normal"/>
    <w:next w:val="Normal"/>
    <w:qFormat/>
    <w:rsid w:val="00563CA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84649"/>
    <w:pPr>
      <w:keepNext/>
      <w:pBdr>
        <w:bottom w:val="single" w:sz="4" w:space="1" w:color="auto"/>
      </w:pBdr>
      <w:outlineLvl w:val="2"/>
    </w:pPr>
  </w:style>
  <w:style w:type="paragraph" w:styleId="Heading4">
    <w:name w:val="heading 4"/>
    <w:basedOn w:val="Normal"/>
    <w:next w:val="Normal"/>
    <w:qFormat/>
    <w:rsid w:val="00A84649"/>
    <w:pPr>
      <w:keepNext/>
      <w:outlineLvl w:val="3"/>
    </w:pPr>
    <w:rPr>
      <w:b/>
    </w:rPr>
  </w:style>
  <w:style w:type="paragraph" w:styleId="Heading5">
    <w:name w:val="heading 5"/>
    <w:basedOn w:val="Normal"/>
    <w:next w:val="Normal"/>
    <w:qFormat/>
    <w:rsid w:val="00A84649"/>
    <w:pPr>
      <w:keepNext/>
      <w:pBdr>
        <w:top w:val="single" w:sz="4" w:space="1" w:color="auto"/>
        <w:left w:val="single" w:sz="4" w:space="4" w:color="auto"/>
        <w:bottom w:val="single" w:sz="4" w:space="1" w:color="auto"/>
        <w:right w:val="single" w:sz="4" w:space="4" w:color="auto"/>
      </w:pBdr>
      <w:outlineLvl w:val="4"/>
    </w:pPr>
    <w:rPr>
      <w:i/>
    </w:rPr>
  </w:style>
  <w:style w:type="paragraph" w:styleId="Heading6">
    <w:name w:val="heading 6"/>
    <w:basedOn w:val="Normal"/>
    <w:next w:val="Normal"/>
    <w:qFormat/>
    <w:rsid w:val="00A84649"/>
    <w:pPr>
      <w:keepNext/>
      <w:pBdr>
        <w:top w:val="single" w:sz="4" w:space="1" w:color="auto"/>
        <w:left w:val="single" w:sz="4" w:space="4" w:color="auto"/>
        <w:bottom w:val="single" w:sz="4" w:space="1" w:color="auto"/>
        <w:right w:val="single" w:sz="4" w:space="4" w:color="auto"/>
      </w:pBdr>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84649"/>
    <w:pPr>
      <w:tabs>
        <w:tab w:val="center" w:pos="4153"/>
        <w:tab w:val="right" w:pos="8306"/>
      </w:tabs>
    </w:pPr>
  </w:style>
  <w:style w:type="paragraph" w:styleId="Footer">
    <w:name w:val="footer"/>
    <w:basedOn w:val="Normal"/>
    <w:link w:val="FooterChar"/>
    <w:uiPriority w:val="99"/>
    <w:rsid w:val="00A84649"/>
    <w:pPr>
      <w:tabs>
        <w:tab w:val="center" w:pos="4153"/>
        <w:tab w:val="right" w:pos="8306"/>
      </w:tabs>
    </w:pPr>
  </w:style>
  <w:style w:type="paragraph" w:styleId="NormalWeb">
    <w:name w:val="Normal (Web)"/>
    <w:basedOn w:val="Normal"/>
    <w:rsid w:val="00765C39"/>
    <w:pPr>
      <w:spacing w:before="100" w:beforeAutospacing="1" w:after="100" w:afterAutospacing="1"/>
    </w:pPr>
    <w:rPr>
      <w:szCs w:val="24"/>
      <w:lang w:eastAsia="en-AU"/>
    </w:rPr>
  </w:style>
  <w:style w:type="character" w:styleId="Strong">
    <w:name w:val="Strong"/>
    <w:qFormat/>
    <w:rsid w:val="00765C39"/>
    <w:rPr>
      <w:b/>
      <w:bCs/>
    </w:rPr>
  </w:style>
  <w:style w:type="paragraph" w:styleId="DocumentMap">
    <w:name w:val="Document Map"/>
    <w:basedOn w:val="Normal"/>
    <w:semiHidden/>
    <w:rsid w:val="00643DCB"/>
    <w:pPr>
      <w:shd w:val="clear" w:color="auto" w:fill="000080"/>
    </w:pPr>
    <w:rPr>
      <w:rFonts w:ascii="Tahoma" w:hAnsi="Tahoma" w:cs="Tahoma"/>
    </w:rPr>
  </w:style>
  <w:style w:type="table" w:styleId="TableGrid">
    <w:name w:val="Table Grid"/>
    <w:basedOn w:val="TableNormal"/>
    <w:rsid w:val="00643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66378"/>
    <w:rPr>
      <w:rFonts w:ascii="Tahoma" w:hAnsi="Tahoma" w:cs="Tahoma"/>
      <w:sz w:val="16"/>
      <w:szCs w:val="16"/>
    </w:rPr>
  </w:style>
  <w:style w:type="paragraph" w:customStyle="1" w:styleId="VEOHRCBodytext">
    <w:name w:val="VEOHRC Body text"/>
    <w:basedOn w:val="Normal"/>
    <w:link w:val="VEOHRCBodytextChar"/>
    <w:rsid w:val="0066000C"/>
    <w:pPr>
      <w:spacing w:before="80" w:after="120"/>
    </w:pPr>
    <w:rPr>
      <w:rFonts w:ascii="Arial" w:hAnsi="Arial"/>
      <w:szCs w:val="24"/>
      <w:lang w:val="en-GB" w:eastAsia="en-AU"/>
    </w:rPr>
  </w:style>
  <w:style w:type="paragraph" w:customStyle="1" w:styleId="VEOHRCsubhead">
    <w:name w:val="VEOHRC &gt; subhead"/>
    <w:basedOn w:val="VEOHRCBodytext"/>
    <w:rsid w:val="0066000C"/>
    <w:rPr>
      <w:sz w:val="28"/>
    </w:rPr>
  </w:style>
  <w:style w:type="character" w:customStyle="1" w:styleId="VEOHRCBodytextChar">
    <w:name w:val="VEOHRC Body text Char"/>
    <w:link w:val="VEOHRCBodytext"/>
    <w:rsid w:val="00563CA1"/>
    <w:rPr>
      <w:rFonts w:ascii="Arial" w:hAnsi="Arial"/>
      <w:sz w:val="24"/>
      <w:szCs w:val="24"/>
      <w:lang w:val="en-GB" w:eastAsia="en-AU" w:bidi="ar-SA"/>
    </w:rPr>
  </w:style>
  <w:style w:type="paragraph" w:customStyle="1" w:styleId="VEOHRCChapterTitle">
    <w:name w:val="VEOHRC Chapter Title"/>
    <w:basedOn w:val="Normal"/>
    <w:rsid w:val="0066000C"/>
    <w:pPr>
      <w:spacing w:after="120" w:line="360" w:lineRule="atLeast"/>
    </w:pPr>
    <w:rPr>
      <w:rFonts w:ascii="Arial" w:hAnsi="Arial"/>
      <w:sz w:val="48"/>
      <w:szCs w:val="24"/>
      <w:lang w:val="en-GB" w:eastAsia="en-AU"/>
    </w:rPr>
  </w:style>
  <w:style w:type="paragraph" w:customStyle="1" w:styleId="VEOHRCFootnotereference">
    <w:name w:val="VEOHRC Footnote reference"/>
    <w:basedOn w:val="FootnoteText"/>
    <w:link w:val="VEOHRCFootnotereferenceChar"/>
    <w:rsid w:val="0066000C"/>
    <w:rPr>
      <w:rFonts w:ascii="Arial" w:hAnsi="Arial"/>
      <w:vertAlign w:val="superscript"/>
      <w:lang w:eastAsia="en-AU"/>
    </w:rPr>
  </w:style>
  <w:style w:type="paragraph" w:styleId="FootnoteText">
    <w:name w:val="footnote text"/>
    <w:basedOn w:val="Normal"/>
    <w:link w:val="FootnoteTextChar"/>
    <w:semiHidden/>
    <w:rsid w:val="00563CA1"/>
    <w:rPr>
      <w:sz w:val="20"/>
    </w:rPr>
  </w:style>
  <w:style w:type="character" w:customStyle="1" w:styleId="VEOHRCFootnotereferenceChar">
    <w:name w:val="VEOHRC Footnote reference Char"/>
    <w:link w:val="VEOHRCFootnotereference"/>
    <w:rsid w:val="00563CA1"/>
    <w:rPr>
      <w:rFonts w:ascii="Arial" w:hAnsi="Arial"/>
      <w:vertAlign w:val="superscript"/>
      <w:lang w:val="en-AU" w:eastAsia="en-AU" w:bidi="ar-SA"/>
    </w:rPr>
  </w:style>
  <w:style w:type="paragraph" w:customStyle="1" w:styleId="VEOHRCFootnotetext">
    <w:name w:val="VEOHRC Footnote text"/>
    <w:basedOn w:val="Normal"/>
    <w:rsid w:val="00563CA1"/>
    <w:pPr>
      <w:spacing w:line="200" w:lineRule="atLeast"/>
    </w:pPr>
    <w:rPr>
      <w:rFonts w:ascii="Arial" w:hAnsi="Arial"/>
      <w:sz w:val="20"/>
      <w:lang w:val="en-GB" w:eastAsia="en-AU"/>
    </w:rPr>
  </w:style>
  <w:style w:type="paragraph" w:customStyle="1" w:styleId="VEOHRCHeading1">
    <w:name w:val="VEOHRC Heading 1"/>
    <w:basedOn w:val="Heading1"/>
    <w:rsid w:val="0066000C"/>
    <w:pPr>
      <w:spacing w:before="300" w:line="360" w:lineRule="atLeast"/>
    </w:pPr>
    <w:rPr>
      <w:rFonts w:ascii="Arial" w:hAnsi="Arial"/>
      <w:b/>
      <w:bCs/>
      <w:kern w:val="32"/>
      <w:sz w:val="36"/>
      <w:szCs w:val="32"/>
      <w:lang w:val="en-GB" w:eastAsia="en-AU"/>
    </w:rPr>
  </w:style>
  <w:style w:type="paragraph" w:customStyle="1" w:styleId="VEOHRCHeading2">
    <w:name w:val="VEOHRC Heading 2"/>
    <w:basedOn w:val="Heading2"/>
    <w:rsid w:val="0066000C"/>
    <w:pPr>
      <w:spacing w:after="0" w:line="280" w:lineRule="atLeast"/>
    </w:pPr>
    <w:rPr>
      <w:rFonts w:cs="Times New Roman"/>
      <w:i w:val="0"/>
      <w:lang w:val="en-GB" w:eastAsia="en-AU"/>
    </w:rPr>
  </w:style>
  <w:style w:type="paragraph" w:customStyle="1" w:styleId="VEOHRCHeading3">
    <w:name w:val="VEOHRC Heading 3"/>
    <w:basedOn w:val="Heading3"/>
    <w:next w:val="Normal"/>
    <w:link w:val="VEOHRCHeading3Char"/>
    <w:rsid w:val="0066000C"/>
    <w:pPr>
      <w:pBdr>
        <w:bottom w:val="none" w:sz="0" w:space="0" w:color="auto"/>
      </w:pBdr>
      <w:spacing w:before="180" w:line="240" w:lineRule="atLeast"/>
    </w:pPr>
    <w:rPr>
      <w:rFonts w:ascii="Arial" w:hAnsi="Arial" w:cs="Arial"/>
      <w:b/>
      <w:bCs/>
      <w:szCs w:val="26"/>
      <w:lang w:val="en-GB" w:eastAsia="en-AU"/>
    </w:rPr>
  </w:style>
  <w:style w:type="paragraph" w:customStyle="1" w:styleId="VEOHRCHeading4">
    <w:name w:val="VEOHRC Heading 4"/>
    <w:basedOn w:val="Heading4"/>
    <w:rsid w:val="0066000C"/>
    <w:pPr>
      <w:spacing w:before="120"/>
    </w:pPr>
    <w:rPr>
      <w:rFonts w:ascii="Arial" w:hAnsi="Arial"/>
      <w:b w:val="0"/>
      <w:bCs/>
      <w:i/>
      <w:szCs w:val="28"/>
      <w:lang w:val="en-GB" w:eastAsia="en-AU"/>
    </w:rPr>
  </w:style>
  <w:style w:type="paragraph" w:customStyle="1" w:styleId="VEOHRCListBullet">
    <w:name w:val="VEOHRC List Bullet"/>
    <w:basedOn w:val="Normal"/>
    <w:rsid w:val="0066000C"/>
    <w:pPr>
      <w:numPr>
        <w:numId w:val="2"/>
      </w:numPr>
      <w:spacing w:after="60" w:line="240" w:lineRule="atLeast"/>
    </w:pPr>
    <w:rPr>
      <w:rFonts w:ascii="Arial" w:hAnsi="Arial"/>
      <w:szCs w:val="24"/>
      <w:lang w:val="en-GB" w:eastAsia="en-AU"/>
    </w:rPr>
  </w:style>
  <w:style w:type="paragraph" w:customStyle="1" w:styleId="VEOHRCListBullet2ndlevel">
    <w:name w:val="VEOHRC List Bullet 2nd level"/>
    <w:basedOn w:val="VEOHRCListBullet"/>
    <w:rsid w:val="0066000C"/>
    <w:pPr>
      <w:numPr>
        <w:numId w:val="3"/>
      </w:numPr>
    </w:pPr>
  </w:style>
  <w:style w:type="paragraph" w:customStyle="1" w:styleId="VEOHRCNumberedlist">
    <w:name w:val="VEOHRC Numbered list"/>
    <w:basedOn w:val="VEOHRCListBullet"/>
    <w:rsid w:val="0066000C"/>
    <w:pPr>
      <w:numPr>
        <w:numId w:val="4"/>
      </w:numPr>
    </w:pPr>
  </w:style>
  <w:style w:type="paragraph" w:customStyle="1" w:styleId="VEOHRCQuotation">
    <w:name w:val="VEOHRC Quotation"/>
    <w:basedOn w:val="Normal"/>
    <w:rsid w:val="0066000C"/>
    <w:pPr>
      <w:spacing w:before="120" w:after="120"/>
      <w:ind w:left="720" w:right="788"/>
    </w:pPr>
    <w:rPr>
      <w:rFonts w:ascii="Arial" w:hAnsi="Arial" w:cs="Arial"/>
      <w:i/>
      <w:sz w:val="23"/>
      <w:szCs w:val="24"/>
      <w:lang w:val="en-GB" w:eastAsia="en-AU"/>
    </w:rPr>
  </w:style>
  <w:style w:type="paragraph" w:customStyle="1" w:styleId="VEOHRCURL">
    <w:name w:val="VEOHRC URL"/>
    <w:basedOn w:val="VEOHRCBodytext"/>
    <w:rsid w:val="0066000C"/>
    <w:rPr>
      <w:color w:val="0000FF"/>
    </w:rPr>
  </w:style>
  <w:style w:type="character" w:customStyle="1" w:styleId="Heading3Char">
    <w:name w:val="Heading 3 Char"/>
    <w:link w:val="Heading3"/>
    <w:rsid w:val="00563CA1"/>
    <w:rPr>
      <w:sz w:val="24"/>
      <w:lang w:val="en-AU" w:eastAsia="en-US" w:bidi="ar-SA"/>
    </w:rPr>
  </w:style>
  <w:style w:type="character" w:customStyle="1" w:styleId="VEOHRCHeading3Char">
    <w:name w:val="VEOHRC Heading 3 Char"/>
    <w:link w:val="VEOHRCHeading3"/>
    <w:rsid w:val="00563CA1"/>
    <w:rPr>
      <w:rFonts w:ascii="Arial" w:hAnsi="Arial" w:cs="Arial"/>
      <w:b/>
      <w:bCs/>
      <w:sz w:val="24"/>
      <w:szCs w:val="26"/>
      <w:lang w:val="en-GB" w:eastAsia="en-AU" w:bidi="ar-SA"/>
    </w:rPr>
  </w:style>
  <w:style w:type="character" w:styleId="PageNumber">
    <w:name w:val="page number"/>
    <w:basedOn w:val="DefaultParagraphFont"/>
    <w:rsid w:val="00DE0BA1"/>
  </w:style>
  <w:style w:type="character" w:styleId="FootnoteReference">
    <w:name w:val="footnote reference"/>
    <w:semiHidden/>
    <w:rsid w:val="00F01F59"/>
    <w:rPr>
      <w:vertAlign w:val="superscript"/>
    </w:rPr>
  </w:style>
  <w:style w:type="character" w:customStyle="1" w:styleId="FootnoteTextChar">
    <w:name w:val="Footnote Text Char"/>
    <w:link w:val="FootnoteText"/>
    <w:rsid w:val="005701F0"/>
    <w:rPr>
      <w:lang w:val="en-AU" w:eastAsia="en-US" w:bidi="ar-SA"/>
    </w:rPr>
  </w:style>
  <w:style w:type="numbering" w:customStyle="1" w:styleId="Style1">
    <w:name w:val="Style1"/>
    <w:rsid w:val="005F4799"/>
    <w:pPr>
      <w:numPr>
        <w:numId w:val="9"/>
      </w:numPr>
    </w:pPr>
  </w:style>
  <w:style w:type="character" w:customStyle="1" w:styleId="apple-converted-space">
    <w:name w:val="apple-converted-space"/>
    <w:rsid w:val="00FB3A13"/>
  </w:style>
  <w:style w:type="character" w:customStyle="1" w:styleId="Heading1Char">
    <w:name w:val="Heading 1 Char"/>
    <w:link w:val="Heading1"/>
    <w:rsid w:val="007A63CE"/>
    <w:rPr>
      <w:sz w:val="24"/>
      <w:lang w:eastAsia="en-US"/>
    </w:rPr>
  </w:style>
  <w:style w:type="character" w:customStyle="1" w:styleId="HeaderChar">
    <w:name w:val="Header Char"/>
    <w:link w:val="Header"/>
    <w:rsid w:val="007A63CE"/>
    <w:rPr>
      <w:sz w:val="24"/>
      <w:lang w:eastAsia="en-US"/>
    </w:rPr>
  </w:style>
  <w:style w:type="character" w:customStyle="1" w:styleId="FooterChar">
    <w:name w:val="Footer Char"/>
    <w:link w:val="Footer"/>
    <w:uiPriority w:val="99"/>
    <w:rsid w:val="00C20A46"/>
    <w:rPr>
      <w:sz w:val="24"/>
      <w:lang w:eastAsia="en-US"/>
    </w:rPr>
  </w:style>
  <w:style w:type="character" w:styleId="CommentReference">
    <w:name w:val="annotation reference"/>
    <w:rsid w:val="008F0AFA"/>
    <w:rPr>
      <w:sz w:val="16"/>
      <w:szCs w:val="16"/>
    </w:rPr>
  </w:style>
  <w:style w:type="paragraph" w:styleId="CommentText">
    <w:name w:val="annotation text"/>
    <w:basedOn w:val="Normal"/>
    <w:link w:val="CommentTextChar"/>
    <w:rsid w:val="008F0AFA"/>
    <w:rPr>
      <w:sz w:val="20"/>
    </w:rPr>
  </w:style>
  <w:style w:type="character" w:customStyle="1" w:styleId="CommentTextChar">
    <w:name w:val="Comment Text Char"/>
    <w:link w:val="CommentText"/>
    <w:rsid w:val="008F0AFA"/>
    <w:rPr>
      <w:lang w:eastAsia="en-US"/>
    </w:rPr>
  </w:style>
  <w:style w:type="paragraph" w:styleId="CommentSubject">
    <w:name w:val="annotation subject"/>
    <w:basedOn w:val="CommentText"/>
    <w:next w:val="CommentText"/>
    <w:link w:val="CommentSubjectChar"/>
    <w:rsid w:val="008F0AFA"/>
    <w:rPr>
      <w:b/>
      <w:bCs/>
    </w:rPr>
  </w:style>
  <w:style w:type="character" w:customStyle="1" w:styleId="CommentSubjectChar">
    <w:name w:val="Comment Subject Char"/>
    <w:link w:val="CommentSubject"/>
    <w:rsid w:val="008F0AFA"/>
    <w:rPr>
      <w:b/>
      <w:bCs/>
      <w:lang w:eastAsia="en-US"/>
    </w:rPr>
  </w:style>
  <w:style w:type="paragraph" w:styleId="Revision">
    <w:name w:val="Revision"/>
    <w:hidden/>
    <w:uiPriority w:val="99"/>
    <w:semiHidden/>
    <w:rsid w:val="004C49BA"/>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Template.01\Legal%20Unit\EO%20Intervention%20Assess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VEOHRC Document" ma:contentTypeID="0x010100E8398E855E0D6340A994BA3C63CA8B71001641DBC5DE180C4C8F7998506051B419" ma:contentTypeVersion="26" ma:contentTypeDescription="Standard document for use in the VEOHRC EDRMS" ma:contentTypeScope="" ma:versionID="1098bb97dc90eac1106b5b2eed8916c6">
  <xsd:schema xmlns:xsd="http://www.w3.org/2001/XMLSchema" xmlns:xs="http://www.w3.org/2001/XMLSchema" xmlns:p="http://schemas.microsoft.com/office/2006/metadata/properties" xmlns:ns2="3064daab-285f-489b-92f3-c9bf826e1074" xmlns:ns3="239a4057-9bda-4230-b949-cac907e8fca3" targetNamespace="http://schemas.microsoft.com/office/2006/metadata/properties" ma:root="true" ma:fieldsID="4c84de7ef5c34baf3bfd191a05cc4aed" ns2:_="" ns3:_="">
    <xsd:import namespace="3064daab-285f-489b-92f3-c9bf826e1074"/>
    <xsd:import namespace="239a4057-9bda-4230-b949-cac907e8fca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2:Agency" minOccurs="0"/>
                <xsd:element ref="ns2:BusinessUnit" minOccurs="0"/>
                <xsd:element ref="ns2:Section" minOccurs="0"/>
                <xsd:element ref="ns2:RDA" minOccurs="0"/>
                <xsd:element ref="ns2:RDAFunctionNo" minOccurs="0"/>
                <xsd:element ref="ns2:RDAFunction" minOccurs="0"/>
                <xsd:element ref="ns2:RDAClass" minOccurs="0"/>
                <xsd:element ref="ns2:RDADescription" minOccurs="0"/>
                <xsd:element ref="ns2:RDARecommendedRetention" minOccurs="0"/>
                <xsd:element ref="ns2:_dlc_DocId" minOccurs="0"/>
                <xsd:element ref="ns2:_dlc_DocIdUrl" minOccurs="0"/>
                <xsd:element ref="ns2:_dlc_DocIdPersistId" minOccurs="0"/>
                <xsd:element ref="ns3:MediaServiceSearchProperties" minOccurs="0"/>
                <xsd:element ref="ns3:Datemodified"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64daab-285f-489b-92f3-c9bf826e107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Agency" ma:index="15" nillable="true" ma:displayName="Agency" ma:default="VEOHRC" ma:internalName="Agency">
      <xsd:simpleType>
        <xsd:restriction base="dms:Text">
          <xsd:maxLength value="255"/>
        </xsd:restriction>
      </xsd:simpleType>
    </xsd:element>
    <xsd:element name="BusinessUnit" ma:index="16" nillable="true" ma:displayName="Business Unit" ma:default="Legal" ma:format="Dropdown" ma:internalName="BusinessUnit">
      <xsd:simpleType>
        <xsd:restriction base="dms:Choice">
          <xsd:enumeration value="Board Members and Commissioners Office"/>
          <xsd:enumeration value="Strategic Communications"/>
          <xsd:enumeration value="Education and Consulting"/>
          <xsd:enumeration value="Corporate Services"/>
          <xsd:enumeration value="Legal"/>
          <xsd:enumeration value="Dispute Resolution"/>
          <xsd:enumeration value="Policy and Research"/>
        </xsd:restriction>
      </xsd:simpleType>
    </xsd:element>
    <xsd:element name="Section" ma:index="17" nillable="true" ma:displayName="Section" ma:internalName="Section">
      <xsd:simpleType>
        <xsd:restriction base="dms:Text"/>
      </xsd:simpleType>
    </xsd:element>
    <xsd:element name="RDA" ma:index="18" nillable="true" ma:displayName="RDA" ma:default="PROS 07/01" ma:format="Dropdown" ma:internalName="RDA">
      <xsd:simpleType>
        <xsd:restriction base="dms:Choice">
          <xsd:enumeration value="PROS 07/01"/>
          <xsd:enumeration value="PROS 16/02"/>
          <xsd:enumeration value="PROS 21/04"/>
        </xsd:restriction>
      </xsd:simpleType>
    </xsd:element>
    <xsd:element name="RDAFunctionNo" ma:index="19" nillable="true" ma:displayName="RDA Function No" ma:default="7.9" ma:internalName="RDAFunctionNo">
      <xsd:simpleType>
        <xsd:restriction base="dms:Text">
          <xsd:maxLength value="255"/>
        </xsd:restriction>
      </xsd:simpleType>
    </xsd:element>
    <xsd:element name="RDAFunction" ma:index="20" nillable="true" ma:displayName="RDA Function" ma:default="GOVERNMENT RELATIONS" ma:internalName="RDAFunction">
      <xsd:simpleType>
        <xsd:restriction base="dms:Text">
          <xsd:maxLength value="255"/>
        </xsd:restriction>
      </xsd:simpleType>
    </xsd:element>
    <xsd:element name="RDAClass" ma:index="21" nillable="true" ma:displayName="RDA Class" ma:default="Submissions" ma:internalName="RDAClass">
      <xsd:simpleType>
        <xsd:restriction base="dms:Text">
          <xsd:maxLength value="255"/>
        </xsd:restriction>
      </xsd:simpleType>
    </xsd:element>
    <xsd:element name="RDADescription" ma:index="22" nillable="true" ma:displayName="RDA Description" ma:default="The preparation and submission of a formal  statement (e.g. reports, statistics, etc.) supporting a  case or opinion held by an agency to an internal or  external body." ma:internalName="RDADescription">
      <xsd:simpleType>
        <xsd:restriction base="dms:Text">
          <xsd:maxLength value="255"/>
        </xsd:restriction>
      </xsd:simpleType>
    </xsd:element>
    <xsd:element name="RDARecommendedRetention" ma:index="23" nillable="true" ma:displayName="RDA Recommended Retention" ma:default="Retain as State archives" ma:internalName="RDARecommendedRetention">
      <xsd:simpleType>
        <xsd:restriction base="dms:Text">
          <xsd:maxLength value="255"/>
        </xsd:restriction>
      </xsd:simple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TaxCatchAll" ma:index="31" nillable="true" ma:displayName="Taxonomy Catch All Column" ma:hidden="true" ma:list="{3ed311df-bac5-432f-9b8d-9b83e38c27de}" ma:internalName="TaxCatchAll" ma:showField="CatchAllData" ma:web="3064daab-285f-489b-92f3-c9bf826e10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9a4057-9bda-4230-b949-cac907e8fca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Datemodified" ma:index="28" nillable="true" ma:displayName="Date modified" ma:format="DateOnly" ma:internalName="Datemodified">
      <xsd:simpleType>
        <xsd:restriction base="dms:DateTime"/>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RDAClass xmlns="3064daab-285f-489b-92f3-c9bf826e1074">Submissions</RDAClass>
    <RDAFunction xmlns="3064daab-285f-489b-92f3-c9bf826e1074">GOVERNMENT RELATIONS</RDAFunction>
    <TaxCatchAll xmlns="3064daab-285f-489b-92f3-c9bf826e1074" xsi:nil="true"/>
    <RDAFunctionNo xmlns="3064daab-285f-489b-92f3-c9bf826e1074">7.9</RDAFunctionNo>
    <RDARecommendedRetention xmlns="3064daab-285f-489b-92f3-c9bf826e1074">Retain as State archives</RDARecommendedRetention>
    <Agency xmlns="3064daab-285f-489b-92f3-c9bf826e1074">VEOHRC</Agency>
    <BusinessUnit xmlns="3064daab-285f-489b-92f3-c9bf826e1074">Legal</BusinessUnit>
    <lcf76f155ced4ddcb4097134ff3c332f xmlns="239a4057-9bda-4230-b949-cac907e8fca3">
      <Terms xmlns="http://schemas.microsoft.com/office/infopath/2007/PartnerControls"/>
    </lcf76f155ced4ddcb4097134ff3c332f>
    <Datemodified xmlns="239a4057-9bda-4230-b949-cac907e8fca3" xsi:nil="true"/>
    <Section xmlns="3064daab-285f-489b-92f3-c9bf826e1074" xsi:nil="true"/>
    <RDA xmlns="3064daab-285f-489b-92f3-c9bf826e1074">PROS 07/01</RDA>
    <RDADescription xmlns="3064daab-285f-489b-92f3-c9bf826e1074">The preparation and submission of a formal  statement (e.g. reports, statistics, etc.) supporting a  case or opinion held by an agency to an internal or  external body.</RDADescription>
    <_dlc_DocId xmlns="3064daab-285f-489b-92f3-c9bf826e1074">CKPEDE2DJZQK-389857592-748</_dlc_DocId>
    <_dlc_DocIdUrl xmlns="3064daab-285f-489b-92f3-c9bf826e1074">
      <Url>https://vicgov.sharepoint.com/sites/msteams_bbc321/_layouts/15/DocIdRedir.aspx?ID=CKPEDE2DJZQK-389857592-748</Url>
      <Description>CKPEDE2DJZQK-389857592-748</Description>
    </_dlc_DocIdUrl>
  </documentManagement>
</p:properties>
</file>

<file path=customXml/itemProps1.xml><?xml version="1.0" encoding="utf-8"?>
<ds:datastoreItem xmlns:ds="http://schemas.openxmlformats.org/officeDocument/2006/customXml" ds:itemID="{5C2ED3A4-AB4E-4B43-88E5-C5F4F4190CBD}">
  <ds:schemaRefs>
    <ds:schemaRef ds:uri="http://schemas.microsoft.com/sharepoint/v3/contenttype/forms"/>
  </ds:schemaRefs>
</ds:datastoreItem>
</file>

<file path=customXml/itemProps2.xml><?xml version="1.0" encoding="utf-8"?>
<ds:datastoreItem xmlns:ds="http://schemas.openxmlformats.org/officeDocument/2006/customXml" ds:itemID="{91FA5023-BE49-4BC7-9296-1534D33974DD}">
  <ds:schemaRefs>
    <ds:schemaRef ds:uri="http://schemas.microsoft.com/office/2006/metadata/longProperties"/>
  </ds:schemaRefs>
</ds:datastoreItem>
</file>

<file path=customXml/itemProps3.xml><?xml version="1.0" encoding="utf-8"?>
<ds:datastoreItem xmlns:ds="http://schemas.openxmlformats.org/officeDocument/2006/customXml" ds:itemID="{9CE2A0FD-51B7-4DD4-BA1C-ADDB561BD3E9}">
  <ds:schemaRefs>
    <ds:schemaRef ds:uri="http://schemas.openxmlformats.org/officeDocument/2006/bibliography"/>
  </ds:schemaRefs>
</ds:datastoreItem>
</file>

<file path=customXml/itemProps4.xml><?xml version="1.0" encoding="utf-8"?>
<ds:datastoreItem xmlns:ds="http://schemas.openxmlformats.org/officeDocument/2006/customXml" ds:itemID="{0F819B32-B8A1-4187-9EAD-A3EE72E25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64daab-285f-489b-92f3-c9bf826e1074"/>
    <ds:schemaRef ds:uri="239a4057-9bda-4230-b949-cac907e8f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C15C5A7-359B-4330-B8E5-B1FFEB401BC8}">
  <ds:schemaRefs>
    <ds:schemaRef ds:uri="http://schemas.microsoft.com/sharepoint/events"/>
  </ds:schemaRefs>
</ds:datastoreItem>
</file>

<file path=customXml/itemProps6.xml><?xml version="1.0" encoding="utf-8"?>
<ds:datastoreItem xmlns:ds="http://schemas.openxmlformats.org/officeDocument/2006/customXml" ds:itemID="{A235CB12-6719-494D-9068-6C7FA664A245}">
  <ds:schemaRefs>
    <ds:schemaRef ds:uri="http://schemas.microsoft.com/office/2006/metadata/properties"/>
    <ds:schemaRef ds:uri="http://schemas.microsoft.com/office/infopath/2007/PartnerControls"/>
    <ds:schemaRef ds:uri="3064daab-285f-489b-92f3-c9bf826e1074"/>
    <ds:schemaRef ds:uri="239a4057-9bda-4230-b949-cac907e8fca3"/>
  </ds:schemaRefs>
</ds:datastoreItem>
</file>

<file path=docProps/app.xml><?xml version="1.0" encoding="utf-8"?>
<Properties xmlns="http://schemas.openxmlformats.org/officeDocument/2006/extended-properties" xmlns:vt="http://schemas.openxmlformats.org/officeDocument/2006/docPropsVTypes">
  <Template>EO%20Intervention%20Assessment%20TEMPLATE.dot</Template>
  <TotalTime>0</TotalTime>
  <Pages>1</Pages>
  <Words>1578</Words>
  <Characters>8997</Characters>
  <Application>Microsoft Office Word</Application>
  <DocSecurity>0</DocSecurity>
  <Lines>74</Lines>
  <Paragraphs>21</Paragraphs>
  <ScaleCrop>false</ScaleCrop>
  <Company>Department of Justice</Company>
  <LinksUpToDate>false</LinksUpToDate>
  <CharactersWithSpaces>10554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 Shmerling</dc:creator>
  <cp:keywords/>
  <dc:description/>
  <cp:lastModifiedBy>Ramona S Thambiratnam (DJCS)</cp:lastModifiedBy>
  <cp:revision>4</cp:revision>
  <cp:lastPrinted>2026-04-13T01:34:00Z</cp:lastPrinted>
  <dcterms:created xsi:type="dcterms:W3CDTF">2026-04-13T04:03:00Z</dcterms:created>
  <dcterms:modified xsi:type="dcterms:W3CDTF">2026-04-13T04:03:00Z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rimID">
    <vt:lpwstr/>
  </property>
  <property fmtid="{D5CDD505-2E9C-101B-9397-08002B2CF9AE}" pid="3" name="ContentTypeId">
    <vt:lpwstr>0x010100E8398E855E0D6340A994BA3C63CA8B71001641DBC5DE180C4C8F7998506051B419</vt:lpwstr>
  </property>
  <property fmtid="{D5CDD505-2E9C-101B-9397-08002B2CF9AE}" pid="4" name="_dlc_DocId">
    <vt:lpwstr>CKPEDE2DJZQK-389857592-564</vt:lpwstr>
  </property>
  <property fmtid="{D5CDD505-2E9C-101B-9397-08002B2CF9AE}" pid="5" name="_dlc_DocIdItemGuid">
    <vt:lpwstr>1e5517f3-7d41-48d9-975a-642dacaca8b1</vt:lpwstr>
  </property>
  <property fmtid="{D5CDD505-2E9C-101B-9397-08002B2CF9AE}" pid="6" name="_dlc_DocIdUrl">
    <vt:lpwstr>https://vicgov.sharepoint.com/sites/msteams_bbc321/_layouts/15/DocIdRedir.aspx?ID=CKPEDE2DJZQK-389857592-564, CKPEDE2DJZQK-389857592-564</vt:lpwstr>
  </property>
  <property fmtid="{D5CDD505-2E9C-101B-9397-08002B2CF9AE}" pid="7" name="MediaServiceImageTags">
    <vt:lpwstr/>
  </property>
  <property fmtid="{D5CDD505-2E9C-101B-9397-08002B2CF9AE}" pid="8" name="ClassificationContentMarkingHeaderShapeIds">
    <vt:lpwstr>5b968edf,2c9e094f,65cce318</vt:lpwstr>
  </property>
  <property fmtid="{D5CDD505-2E9C-101B-9397-08002B2CF9AE}" pid="9" name="ClassificationContentMarkingHeaderFontProps">
    <vt:lpwstr>#ff0000,11,Arial Black</vt:lpwstr>
  </property>
  <property fmtid="{D5CDD505-2E9C-101B-9397-08002B2CF9AE}" pid="10" name="ClassificationContentMarkingHeaderText">
    <vt:lpwstr>PROTECTED</vt:lpwstr>
  </property>
  <property fmtid="{D5CDD505-2E9C-101B-9397-08002B2CF9AE}" pid="11" name="MSIP_Label_51ec90bc-b80a-4e9f-ab54-e77133c765fe_Enabled">
    <vt:lpwstr>true</vt:lpwstr>
  </property>
  <property fmtid="{D5CDD505-2E9C-101B-9397-08002B2CF9AE}" pid="12" name="MSIP_Label_51ec90bc-b80a-4e9f-ab54-e77133c765fe_SetDate">
    <vt:lpwstr>2026-04-13T04:03:25Z</vt:lpwstr>
  </property>
  <property fmtid="{D5CDD505-2E9C-101B-9397-08002B2CF9AE}" pid="13" name="MSIP_Label_51ec90bc-b80a-4e9f-ab54-e77133c765fe_Method">
    <vt:lpwstr>Standard</vt:lpwstr>
  </property>
  <property fmtid="{D5CDD505-2E9C-101B-9397-08002B2CF9AE}" pid="14" name="MSIP_Label_51ec90bc-b80a-4e9f-ab54-e77133c765fe_Name">
    <vt:lpwstr>PROTECTED-PROTECTED (DJCS)</vt:lpwstr>
  </property>
  <property fmtid="{D5CDD505-2E9C-101B-9397-08002B2CF9AE}" pid="15" name="MSIP_Label_51ec90bc-b80a-4e9f-ab54-e77133c765fe_SiteId">
    <vt:lpwstr>722ea0be-3e1c-4b11-ad6f-9401d6856e24</vt:lpwstr>
  </property>
  <property fmtid="{D5CDD505-2E9C-101B-9397-08002B2CF9AE}" pid="16" name="MSIP_Label_51ec90bc-b80a-4e9f-ab54-e77133c765fe_ActionId">
    <vt:lpwstr>aecc2e5a-eebb-4b32-a93c-a73a9603003d</vt:lpwstr>
  </property>
  <property fmtid="{D5CDD505-2E9C-101B-9397-08002B2CF9AE}" pid="17" name="MSIP_Label_51ec90bc-b80a-4e9f-ab54-e77133c765fe_ContentBits">
    <vt:lpwstr>1</vt:lpwstr>
  </property>
  <property fmtid="{D5CDD505-2E9C-101B-9397-08002B2CF9AE}" pid="18" name="MSIP_Label_51ec90bc-b80a-4e9f-ab54-e77133c765fe_Tag">
    <vt:lpwstr>10, 3, 0, 2</vt:lpwstr>
  </property>
</Properties>
</file>